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0214" w:tblpY="-115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left w:w="108" w:type="dxa"/>
          <w:right w:w="108" w:type="dxa"/>
        </w:tblCellMar>
      </w:tblPr>
      <w:tblGrid>
        <w:gridCol w:w="2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699" w:type="dxa"/>
          </w:tcPr>
          <w:p>
            <w:pPr>
              <w:rPr>
                <w:rFonts w:hint="eastAsia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699" w:type="dxa"/>
          </w:tcPr>
          <w:p>
            <w:pPr>
              <w:rPr>
                <w:rFonts w:hint="eastAsia"/>
                <w:b/>
                <w:bCs/>
                <w:vertAlign w:val="baseli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T</w:t>
      </w:r>
      <w:r>
        <w:rPr>
          <w:rFonts w:hint="default" w:ascii="Arial" w:hAnsi="Arial" w:cs="Arial"/>
          <w:b/>
          <w:bCs/>
          <w:sz w:val="20"/>
          <w:szCs w:val="20"/>
        </w:rPr>
        <w:t>able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0"/>
          <w:szCs w:val="20"/>
        </w:rPr>
        <w:t>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RSNA Chest CT Classif</w:t>
      </w:r>
      <w:r>
        <w:rPr>
          <w:rFonts w:hint="default" w:ascii="Arial" w:hAnsi="Arial" w:cs="Arial"/>
          <w:sz w:val="20"/>
          <w:szCs w:val="20"/>
          <w:lang w:val="en-US" w:eastAsia="zh-CN"/>
        </w:rPr>
        <w:t>i</w:t>
      </w:r>
      <w:r>
        <w:rPr>
          <w:rFonts w:hint="default" w:ascii="Arial" w:hAnsi="Arial" w:cs="Arial"/>
          <w:sz w:val="20"/>
          <w:szCs w:val="20"/>
        </w:rPr>
        <w:t>cation System for Reporting COVID-19 pneumonia</w:t>
      </w:r>
    </w:p>
    <w:tbl>
      <w:tblPr>
        <w:tblStyle w:val="3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51"/>
        <w:gridCol w:w="6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</w:trPr>
        <w:tc>
          <w:tcPr>
            <w:tcW w:w="33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COVID-19 pneumonia pattern</w:t>
            </w:r>
          </w:p>
        </w:tc>
        <w:tc>
          <w:tcPr>
            <w:tcW w:w="61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CT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06" w:hRule="atLeast"/>
        </w:trPr>
        <w:tc>
          <w:tcPr>
            <w:tcW w:w="335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Typical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</w:p>
        </w:tc>
        <w:tc>
          <w:tcPr>
            <w:tcW w:w="612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Peripheral, bilateral, GGO with or without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consolidation or visible intralobular lines (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crazy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/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paving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)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Multifocal GGO of rounded morphology with or without consolidation or visible intralobular lines (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crazy-paving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)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Reverse halo sign or other 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ndings of organizing pneumonia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94" w:hRule="atLeast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Indeterminate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The absence of typical imaging feature of COVID-19 pneumonia and the presence of: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Multifocal, dif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use, perihilar or unilateral GGO with or without consolidation lacking a specif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c distribution or features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Few very small GGO with a non-rounded and non-peripheral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distribution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6" w:hRule="atLeast"/>
        </w:trPr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Atypical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</w:p>
        </w:tc>
        <w:tc>
          <w:tcPr>
            <w:tcW w:w="612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The absence of typical or indeterminate features of COVID-19 pneumonia and the presence of: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Isolated lobar or segmental consolidation without GGO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 xml:space="preserve">- Nodular pattern (centrilobular, 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“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tree- in-bud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”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)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Cavitation</w:t>
            </w:r>
          </w:p>
          <w:p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- Smooth interlobular septal thickening with pleural ef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usion</w:t>
            </w:r>
          </w:p>
        </w:tc>
      </w:tr>
    </w:tbl>
    <w:p/>
    <w:tbl>
      <w:tblPr>
        <w:tblStyle w:val="3"/>
        <w:tblpPr w:leftFromText="180" w:rightFromText="180" w:vertAnchor="text" w:tblpX="10214" w:tblpY="-4077"/>
        <w:tblOverlap w:val="never"/>
        <w:tblW w:w="19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left w:w="108" w:type="dxa"/>
          <w:right w:w="108" w:type="dxa"/>
        </w:tblCellMar>
      </w:tblPr>
      <w:tblGrid>
        <w:gridCol w:w="19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6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yriadPro-SemiboldSemi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IX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HONOR Sans Design Demibold DISP">
    <w:panose1 w:val="02000600000000000000"/>
    <w:charset w:val="86"/>
    <w:family w:val="auto"/>
    <w:pitch w:val="default"/>
    <w:sig w:usb0="A00002BF" w:usb1="38CF7CFA" w:usb2="00000016" w:usb3="00000000" w:csb0="00040001" w:csb1="00000000"/>
  </w:font>
  <w:font w:name="HONOR Sans Display GBK Thin">
    <w:panose1 w:val="02000600000000000000"/>
    <w:charset w:val="86"/>
    <w:family w:val="auto"/>
    <w:pitch w:val="default"/>
    <w:sig w:usb0="800002BF" w:usb1="38CF7CFA" w:usb2="00000016" w:usb3="00000000" w:csb0="00040001" w:csb1="00000000"/>
  </w:font>
  <w:font w:name="HONOR Sans Text GBK DemiBold">
    <w:panose1 w:val="02000600000000000000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87B6AE2"/>
    <w:rsid w:val="25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2024-02-02T15:10:25Z</dcterms:created>
  <dc:creator>猫猫老虎</dc:creator>
  <cp:lastModifiedBy>半仙</cp:lastModifiedBy>
  <dcterms:modified xsi:type="dcterms:W3CDTF">2024-02-02T15:26:58Z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1F53159C4496408FB43950AE1718F2B4_13</vt:lpwstr>
  </property>
</Properties>
</file>