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color w:val="222222"/>
          <w:sz w:val="20"/>
          <w:szCs w:val="20"/>
          <w:lang w:eastAsia="zh-CN"/>
        </w:rPr>
      </w:pPr>
      <w:bookmarkStart w:id="0" w:name="_Hlk11957525"/>
      <w:r>
        <w:rPr>
          <w:rFonts w:ascii="Times New Roman" w:hAnsi="Times New Roman" w:cs="Times New Roman"/>
          <w:b/>
          <w:color w:val="222222"/>
          <w:sz w:val="20"/>
          <w:szCs w:val="20"/>
        </w:rPr>
        <w:t>Supplemental Digital Content 1</w:t>
      </w:r>
    </w:p>
    <w:p>
      <w:pPr>
        <w:rPr>
          <w:rFonts w:ascii="Times New Roman" w:hAnsi="Times New Roman" w:cs="Times New Roman"/>
          <w:b w:val="0"/>
          <w:bCs/>
          <w:color w:val="222222"/>
          <w:sz w:val="20"/>
          <w:szCs w:val="20"/>
          <w:lang w:eastAsia="zh-CN"/>
        </w:rPr>
      </w:pPr>
      <w:r>
        <w:rPr>
          <w:rFonts w:ascii="Times New Roman" w:hAnsi="Times New Roman" w:cs="Times New Roman"/>
          <w:b w:val="0"/>
          <w:bCs/>
          <w:color w:val="222222"/>
          <w:sz w:val="20"/>
          <w:szCs w:val="20"/>
          <w:lang w:eastAsia="zh-CN"/>
        </w:rPr>
        <w:t>Best-corrected visual acuity (BCVA)</w:t>
      </w:r>
      <w:r>
        <w:rPr>
          <w:rFonts w:hint="eastAsia" w:ascii="Times New Roman" w:hAnsi="Times New Roman" w:cs="Times New Roman"/>
          <w:b w:val="0"/>
          <w:bCs/>
          <w:color w:val="222222"/>
          <w:sz w:val="20"/>
          <w:szCs w:val="20"/>
          <w:lang w:eastAsia="zh-CN"/>
        </w:rPr>
        <w:t xml:space="preserve"> </w:t>
      </w:r>
      <w:r>
        <w:rPr>
          <w:rFonts w:ascii="Times New Roman" w:hAnsi="Times New Roman" w:cs="Times New Roman"/>
          <w:b w:val="0"/>
          <w:bCs/>
          <w:color w:val="222222"/>
          <w:sz w:val="20"/>
          <w:szCs w:val="20"/>
          <w:lang w:eastAsia="zh-CN"/>
        </w:rPr>
        <w:t>after the first three injections</w:t>
      </w:r>
      <w:r>
        <w:rPr>
          <w:rFonts w:ascii="Times New Roman" w:hAnsi="Times New Roman" w:cs="Times New Roman"/>
          <w:b w:val="0"/>
          <w:bCs/>
          <w:color w:val="222222"/>
          <w:sz w:val="20"/>
          <w:szCs w:val="20"/>
        </w:rPr>
        <w:t>of conbercept plus dexamethasone or conbercept alone for macular edema secondary to central retinal vein occlusion</w:t>
      </w:r>
    </w:p>
    <w:tbl>
      <w:tblPr>
        <w:tblStyle w:val="10"/>
        <w:tblW w:w="0" w:type="auto"/>
        <w:tblInd w:w="108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6"/>
        <w:gridCol w:w="2701"/>
        <w:gridCol w:w="2701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71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>Conbercept</w:t>
            </w:r>
          </w:p>
        </w:tc>
        <w:tc>
          <w:tcPr>
            <w:tcW w:w="270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 xml:space="preserve">Conbercept+DEX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716" w:type="dxa"/>
            <w:tcBorders>
              <w:top w:val="single" w:color="auto" w:sz="4" w:space="0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>Intravitreal Injection-1</w:t>
            </w:r>
          </w:p>
        </w:tc>
        <w:tc>
          <w:tcPr>
            <w:tcW w:w="2701" w:type="dxa"/>
            <w:tcBorders>
              <w:top w:val="single" w:color="auto" w:sz="4" w:space="0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701" w:type="dxa"/>
            <w:tcBorders>
              <w:top w:val="single" w:color="auto" w:sz="4" w:space="0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3716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>n-1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>31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>33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3716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>1-PRE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>37.81 ± 17.63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>35.85 ± 16.09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3716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 xml:space="preserve">1w-1 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>51.10 ± 20.58</w:t>
            </w: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vertAlign w:val="superscript"/>
                <w:lang w:eastAsia="zh-CN"/>
              </w:rPr>
              <w:t>a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>50.03 ± 20.05</w:t>
            </w: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vertAlign w:val="superscript"/>
                <w:lang w:eastAsia="zh-CN"/>
              </w:rPr>
              <w:t>a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3716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 xml:space="preserve">1m-1 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>53.71 ± 19.84</w:t>
            </w: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vertAlign w:val="superscript"/>
                <w:lang w:eastAsia="zh-CN"/>
              </w:rPr>
              <w:t>a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>53.64 ± 21.18</w:t>
            </w: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vertAlign w:val="superscript"/>
                <w:lang w:eastAsia="zh-CN"/>
              </w:rPr>
              <w:t>a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3716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>Intravitreal Injection-2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3716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>n-2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>31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3716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>2-PRE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>40.86 ± 19.15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>38.09 ± 14.71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3716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>1w-2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>53.28 ± 18.31</w:t>
            </w: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vertAlign w:val="superscript"/>
                <w:lang w:eastAsia="zh-CN"/>
              </w:rPr>
              <w:t>a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>50.26 ± 21.27</w:t>
            </w: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vertAlign w:val="superscript"/>
                <w:lang w:eastAsia="zh-CN"/>
              </w:rPr>
              <w:t>a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3716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>1m-2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>55.72 ± 19.72</w:t>
            </w: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vertAlign w:val="superscript"/>
                <w:lang w:eastAsia="zh-CN"/>
              </w:rPr>
              <w:t>a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>54.09 ± 20.83</w:t>
            </w: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vertAlign w:val="superscript"/>
                <w:lang w:eastAsia="zh-CN"/>
              </w:rPr>
              <w:t>ab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3716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>Intravitreal Injection-3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3716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>n-3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>24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3716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>3-PRE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>42.47 ± 17.43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>41.08 ± 14.71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3716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>1w-3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>55.94 ± 16.57</w:t>
            </w: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vertAlign w:val="superscript"/>
                <w:lang w:eastAsia="zh-CN"/>
              </w:rPr>
              <w:t>a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>55.25 ± 18.63</w:t>
            </w: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vertAlign w:val="superscript"/>
                <w:lang w:eastAsia="zh-CN"/>
              </w:rPr>
              <w:t>a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716" w:type="dxa"/>
            <w:tcBorders>
              <w:top w:val="nil"/>
              <w:bottom w:val="single" w:color="auto" w:sz="4" w:space="0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>1m-3</w:t>
            </w:r>
          </w:p>
        </w:tc>
        <w:tc>
          <w:tcPr>
            <w:tcW w:w="2701" w:type="dxa"/>
            <w:tcBorders>
              <w:top w:val="nil"/>
              <w:bottom w:val="single" w:color="auto" w:sz="4" w:space="0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>52.35 ± 17.96</w:t>
            </w: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vertAlign w:val="superscript"/>
                <w:lang w:eastAsia="zh-CN"/>
              </w:rPr>
              <w:t>a</w:t>
            </w:r>
          </w:p>
        </w:tc>
        <w:tc>
          <w:tcPr>
            <w:tcW w:w="2701" w:type="dxa"/>
            <w:tcBorders>
              <w:top w:val="nil"/>
              <w:bottom w:val="single" w:color="auto" w:sz="4" w:space="0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lang w:eastAsia="zh-CN"/>
              </w:rPr>
              <w:t>57.83 ± 19.76</w:t>
            </w:r>
            <w:r>
              <w:rPr>
                <w:rFonts w:ascii="Times New Roman" w:hAnsi="Times New Roman" w:eastAsia="宋体" w:cs="Times New Roman"/>
                <w:color w:val="222222"/>
                <w:kern w:val="2"/>
                <w:sz w:val="20"/>
                <w:szCs w:val="20"/>
                <w:vertAlign w:val="superscript"/>
                <w:lang w:eastAsia="zh-CN"/>
              </w:rPr>
              <w:t>a</w:t>
            </w:r>
          </w:p>
        </w:tc>
      </w:tr>
    </w:tbl>
    <w:p>
      <w:pPr>
        <w:widowControl w:val="0"/>
        <w:spacing w:after="0" w:line="360" w:lineRule="auto"/>
        <w:jc w:val="both"/>
        <w:rPr>
          <w:rFonts w:ascii="Times New Roman" w:hAnsi="Times New Roman" w:eastAsia="宋体" w:cs="Times New Roman"/>
          <w:color w:val="222222"/>
          <w:kern w:val="2"/>
          <w:sz w:val="20"/>
          <w:szCs w:val="20"/>
          <w:lang w:eastAsia="zh-CN"/>
        </w:rPr>
      </w:pPr>
      <w:r>
        <w:rPr>
          <w:rFonts w:ascii="Times New Roman" w:hAnsi="Times New Roman" w:eastAsia="宋体" w:cs="Times New Roman"/>
          <w:color w:val="222222"/>
          <w:kern w:val="2"/>
          <w:sz w:val="20"/>
          <w:szCs w:val="20"/>
          <w:lang w:eastAsia="zh-CN"/>
        </w:rPr>
        <w:t>-PRE = before the  intravitreal injection; 1w- = 1 week after the  intravitreal injection; 1m-= 1 month after the intravitreal injection</w:t>
      </w:r>
    </w:p>
    <w:p>
      <w:pPr>
        <w:widowControl w:val="0"/>
        <w:spacing w:after="0" w:line="360" w:lineRule="auto"/>
        <w:jc w:val="both"/>
        <w:rPr>
          <w:rFonts w:ascii="Times New Roman" w:hAnsi="Times New Roman" w:eastAsia="宋体" w:cs="Times New Roman"/>
          <w:color w:val="222222"/>
          <w:kern w:val="2"/>
          <w:sz w:val="20"/>
          <w:szCs w:val="20"/>
          <w:lang w:eastAsia="zh-CN"/>
        </w:rPr>
      </w:pPr>
      <w:r>
        <w:rPr>
          <w:rFonts w:ascii="Times New Roman" w:hAnsi="Times New Roman" w:eastAsia="宋体" w:cs="Times New Roman"/>
          <w:color w:val="222222"/>
          <w:kern w:val="2"/>
          <w:sz w:val="20"/>
          <w:szCs w:val="20"/>
          <w:lang w:eastAsia="zh-CN"/>
        </w:rPr>
        <w:t xml:space="preserve">a: BCVA improved relative to the pre-injection value, </w:t>
      </w:r>
      <w:r>
        <w:rPr>
          <w:rFonts w:ascii="Times New Roman" w:hAnsi="Times New Roman" w:eastAsia="宋体" w:cs="Times New Roman"/>
          <w:i/>
          <w:iCs/>
          <w:color w:val="222222"/>
          <w:kern w:val="2"/>
          <w:sz w:val="20"/>
          <w:szCs w:val="20"/>
          <w:lang w:eastAsia="zh-CN"/>
        </w:rPr>
        <w:t>P</w:t>
      </w:r>
      <w:r>
        <w:rPr>
          <w:rFonts w:ascii="Times New Roman" w:hAnsi="Times New Roman" w:eastAsia="宋体" w:cs="Times New Roman"/>
          <w:color w:val="222222"/>
          <w:kern w:val="2"/>
          <w:sz w:val="20"/>
          <w:szCs w:val="20"/>
          <w:lang w:eastAsia="zh-CN"/>
        </w:rPr>
        <w:t>&lt; 0.05</w:t>
      </w:r>
    </w:p>
    <w:p>
      <w:pPr>
        <w:widowControl w:val="0"/>
        <w:spacing w:after="0" w:line="360" w:lineRule="auto"/>
        <w:jc w:val="both"/>
        <w:rPr>
          <w:rFonts w:ascii="Times New Roman" w:hAnsi="Times New Roman" w:eastAsia="宋体" w:cs="Times New Roman"/>
          <w:color w:val="222222"/>
          <w:kern w:val="2"/>
          <w:sz w:val="20"/>
          <w:szCs w:val="20"/>
          <w:lang w:eastAsia="zh-CN"/>
        </w:rPr>
      </w:pPr>
      <w:r>
        <w:rPr>
          <w:rFonts w:ascii="Times New Roman" w:hAnsi="Times New Roman" w:eastAsia="宋体" w:cs="Times New Roman"/>
          <w:color w:val="222222"/>
          <w:kern w:val="2"/>
          <w:sz w:val="20"/>
          <w:szCs w:val="20"/>
          <w:lang w:eastAsia="zh-CN"/>
        </w:rPr>
        <w:t xml:space="preserve">b: BCVA improved relative to the value at 1 week after injection, </w:t>
      </w:r>
      <w:r>
        <w:rPr>
          <w:rFonts w:ascii="Times New Roman" w:hAnsi="Times New Roman" w:eastAsia="宋体" w:cs="Times New Roman"/>
          <w:i/>
          <w:iCs/>
          <w:color w:val="222222"/>
          <w:kern w:val="2"/>
          <w:sz w:val="20"/>
          <w:szCs w:val="20"/>
          <w:lang w:eastAsia="zh-CN"/>
        </w:rPr>
        <w:t>P</w:t>
      </w:r>
      <w:r>
        <w:rPr>
          <w:rFonts w:ascii="Times New Roman" w:hAnsi="Times New Roman" w:eastAsia="宋体" w:cs="Times New Roman"/>
          <w:color w:val="222222"/>
          <w:kern w:val="2"/>
          <w:sz w:val="20"/>
          <w:szCs w:val="20"/>
          <w:lang w:eastAsia="zh-CN"/>
        </w:rPr>
        <w:t>&lt; 0.05</w:t>
      </w:r>
    </w:p>
    <w:p>
      <w:pPr>
        <w:widowControl w:val="0"/>
        <w:spacing w:after="0" w:line="360" w:lineRule="auto"/>
        <w:jc w:val="both"/>
        <w:rPr>
          <w:rFonts w:ascii="Times New Roman" w:hAnsi="Times New Roman" w:eastAsia="宋体" w:cs="Times New Roman"/>
          <w:color w:val="222222"/>
          <w:kern w:val="2"/>
          <w:sz w:val="20"/>
          <w:szCs w:val="20"/>
          <w:lang w:eastAsia="zh-CN"/>
        </w:rPr>
      </w:pPr>
    </w:p>
    <w:p>
      <w:pPr>
        <w:rPr>
          <w:rFonts w:ascii="Times New Roman" w:hAnsi="Times New Roman" w:eastAsia="宋体" w:cs="Times New Roman"/>
          <w:b/>
          <w:color w:val="222222"/>
          <w:sz w:val="20"/>
          <w:szCs w:val="20"/>
        </w:rPr>
      </w:pPr>
      <w:r>
        <w:rPr>
          <w:rFonts w:ascii="Times New Roman" w:hAnsi="Times New Roman" w:cs="Times New Roman"/>
          <w:b/>
          <w:color w:val="222222"/>
          <w:sz w:val="20"/>
          <w:szCs w:val="20"/>
        </w:rPr>
        <w:t>Supplemental Digital Content 2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CRT before, 1 week after, and 1 month after intravitreal injection in the first three therapies</w:t>
      </w:r>
    </w:p>
    <w:bookmarkEnd w:id="0"/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CRT-1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sz w:val="20"/>
          <w:szCs w:val="20"/>
        </w:rPr>
        <w:t xml:space="preserve"> intravitreal injection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878"/>
        <w:gridCol w:w="1843"/>
        <w:gridCol w:w="1985"/>
        <w:gridCol w:w="85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065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Group</w:t>
            </w:r>
          </w:p>
        </w:tc>
        <w:tc>
          <w:tcPr>
            <w:tcW w:w="1878" w:type="dxa"/>
            <w:tcBorders>
              <w:left w:val="nil"/>
              <w:bottom w:val="nil"/>
              <w:right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Pre-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week 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1month</w:t>
            </w:r>
          </w:p>
        </w:tc>
        <w:tc>
          <w:tcPr>
            <w:tcW w:w="85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</w:t>
            </w:r>
          </w:p>
        </w:tc>
        <w:tc>
          <w:tcPr>
            <w:tcW w:w="851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06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x</m:t>
                    </m: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e>
                </m:acc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±s</m:t>
                </m:r>
              </m:oMath>
            </m:oMathPara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x</m:t>
                    </m: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e>
                </m:acc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±s</m:t>
                </m:r>
              </m:oMath>
            </m:oMathPara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x</m:t>
                    </m: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e>
                </m:acc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±s</m:t>
                </m:r>
              </m:oMath>
            </m:oMathPara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left w:val="nil"/>
              <w:bottom w:val="nil"/>
              <w:right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conbercept(n=31)</w:t>
            </w:r>
          </w:p>
        </w:tc>
        <w:tc>
          <w:tcPr>
            <w:tcW w:w="1878" w:type="dxa"/>
            <w:tcBorders>
              <w:left w:val="nil"/>
              <w:bottom w:val="nil"/>
              <w:right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742.61±275.83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355.39±78.10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382.29±147.00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50.69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conbercept+DEX (n=33)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718.48±247.70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337.21±76.70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293.67±89.31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0.136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0.882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8.615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nil"/>
              <w:left w:val="nil"/>
              <w:right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</w:p>
        </w:tc>
        <w:tc>
          <w:tcPr>
            <w:tcW w:w="1878" w:type="dxa"/>
            <w:tcBorders>
              <w:top w:val="nil"/>
              <w:left w:val="nil"/>
              <w:right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0.714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0.351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  <w:vertAlign w:val="subscript"/>
        </w:rPr>
        <w:t>Group</w:t>
      </w:r>
      <w:r>
        <w:rPr>
          <w:rFonts w:ascii="Times New Roman" w:hAnsi="Times New Roman" w:cs="Times New Roman"/>
          <w:sz w:val="20"/>
          <w:szCs w:val="20"/>
        </w:rPr>
        <w:t>=2.359</w:t>
      </w:r>
      <w:r>
        <w:rPr>
          <w:rFonts w:hint="eastAsia"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=0.130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i/>
          <w:iCs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  <w:vertAlign w:val="subscript"/>
        </w:rPr>
        <w:t>Time</w:t>
      </w:r>
      <w:r>
        <w:rPr>
          <w:rFonts w:ascii="Times New Roman" w:hAnsi="Times New Roman" w:cs="Times New Roman"/>
          <w:sz w:val="20"/>
          <w:szCs w:val="20"/>
        </w:rPr>
        <w:t>=127.83</w:t>
      </w:r>
      <w:r>
        <w:rPr>
          <w:rFonts w:hint="eastAsia"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&lt;0.05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i/>
          <w:iCs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  <w:vertAlign w:val="subscript"/>
        </w:rPr>
        <w:t>Group*Time</w:t>
      </w:r>
      <w:r>
        <w:rPr>
          <w:rFonts w:ascii="Times New Roman" w:hAnsi="Times New Roman" w:cs="Times New Roman"/>
          <w:sz w:val="20"/>
          <w:szCs w:val="20"/>
        </w:rPr>
        <w:t>=0.97</w:t>
      </w:r>
      <w:r>
        <w:rPr>
          <w:rFonts w:hint="eastAsia"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P&gt;0.05</w:t>
      </w: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CRT-2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sz w:val="20"/>
          <w:szCs w:val="20"/>
        </w:rPr>
        <w:t xml:space="preserve"> intravitreal injection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878"/>
        <w:gridCol w:w="1843"/>
        <w:gridCol w:w="1985"/>
        <w:gridCol w:w="850"/>
        <w:gridCol w:w="85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065" w:type="dxa"/>
            <w:vMerge w:val="restart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Group</w:t>
            </w:r>
          </w:p>
        </w:tc>
        <w:tc>
          <w:tcPr>
            <w:tcW w:w="1878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Pre-</w:t>
            </w:r>
          </w:p>
        </w:tc>
        <w:tc>
          <w:tcPr>
            <w:tcW w:w="184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week </w:t>
            </w:r>
          </w:p>
        </w:tc>
        <w:tc>
          <w:tcPr>
            <w:tcW w:w="1985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1month</w:t>
            </w:r>
          </w:p>
        </w:tc>
        <w:tc>
          <w:tcPr>
            <w:tcW w:w="850" w:type="dxa"/>
            <w:vMerge w:val="restart"/>
          </w:tcPr>
          <w:p>
            <w:pPr>
              <w:spacing w:after="200"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</w:t>
            </w:r>
          </w:p>
        </w:tc>
        <w:tc>
          <w:tcPr>
            <w:tcW w:w="851" w:type="dxa"/>
            <w:vMerge w:val="restart"/>
          </w:tcPr>
          <w:p>
            <w:pPr>
              <w:spacing w:after="200"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065" w:type="dxa"/>
            <w:vMerge w:val="continue"/>
            <w:tcBorders>
              <w:bottom w:val="single" w:color="auto" w:sz="4" w:space="0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bottom w:val="single" w:color="auto" w:sz="4" w:space="0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x</m:t>
                    </m: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e>
                </m:acc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±s</m:t>
                </m:r>
              </m:oMath>
            </m:oMathPara>
          </w:p>
        </w:tc>
        <w:tc>
          <w:tcPr>
            <w:tcW w:w="1843" w:type="dxa"/>
            <w:tcBorders>
              <w:bottom w:val="single" w:color="auto" w:sz="4" w:space="0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x</m:t>
                    </m: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e>
                </m:acc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±s</m:t>
                </m:r>
              </m:oMath>
            </m:oMathPara>
          </w:p>
        </w:tc>
        <w:tc>
          <w:tcPr>
            <w:tcW w:w="1985" w:type="dxa"/>
            <w:tcBorders>
              <w:bottom w:val="single" w:color="auto" w:sz="4" w:space="0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x</m:t>
                    </m: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e>
                </m:acc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±s</m:t>
                </m:r>
              </m:oMath>
            </m:oMathPara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bottom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conbercept(n=29)</w:t>
            </w:r>
          </w:p>
        </w:tc>
        <w:tc>
          <w:tcPr>
            <w:tcW w:w="1878" w:type="dxa"/>
            <w:tcBorders>
              <w:top w:val="single" w:color="auto" w:sz="4" w:space="0"/>
              <w:bottom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570.45±164.54</w:t>
            </w:r>
          </w:p>
        </w:tc>
        <w:tc>
          <w:tcPr>
            <w:tcW w:w="1843" w:type="dxa"/>
            <w:tcBorders>
              <w:top w:val="single" w:color="auto" w:sz="4" w:space="0"/>
              <w:bottom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297.69±55.62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985" w:type="dxa"/>
            <w:tcBorders>
              <w:top w:val="single" w:color="auto" w:sz="4" w:space="0"/>
              <w:bottom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360.97±167.57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850" w:type="dxa"/>
            <w:tcBorders>
              <w:top w:val="single" w:color="auto" w:sz="4" w:space="0"/>
              <w:bottom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38.99</w:t>
            </w:r>
          </w:p>
        </w:tc>
        <w:tc>
          <w:tcPr>
            <w:tcW w:w="851" w:type="dxa"/>
            <w:tcBorders>
              <w:top w:val="single" w:color="auto" w:sz="4" w:space="0"/>
              <w:bottom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nil"/>
              <w:bottom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conbercept+DEX (n=31)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586.26±163.13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280.16±37.56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280.68±81.58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93.34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</w:t>
            </w:r>
          </w:p>
        </w:tc>
        <w:tc>
          <w:tcPr>
            <w:tcW w:w="1878" w:type="dxa"/>
            <w:tcBorders>
              <w:top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0.140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2.070</w:t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5.683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</w:p>
        </w:tc>
        <w:tc>
          <w:tcPr>
            <w:tcW w:w="1878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0.710</w:t>
            </w:r>
          </w:p>
        </w:tc>
        <w:tc>
          <w:tcPr>
            <w:tcW w:w="184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0.156</w:t>
            </w:r>
          </w:p>
        </w:tc>
        <w:tc>
          <w:tcPr>
            <w:tcW w:w="1985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0.020</w:t>
            </w:r>
          </w:p>
        </w:tc>
        <w:tc>
          <w:tcPr>
            <w:tcW w:w="850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  <w:vertAlign w:val="subscript"/>
        </w:rPr>
        <w:t>Group</w:t>
      </w:r>
      <w:r>
        <w:rPr>
          <w:rFonts w:ascii="Times New Roman" w:hAnsi="Times New Roman" w:cs="Times New Roman"/>
          <w:sz w:val="20"/>
          <w:szCs w:val="20"/>
        </w:rPr>
        <w:t>=1.622</w:t>
      </w:r>
      <w:r>
        <w:rPr>
          <w:rFonts w:hint="eastAsia"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=0.208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i/>
          <w:iCs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  <w:vertAlign w:val="subscript"/>
        </w:rPr>
        <w:t>Time</w:t>
      </w:r>
      <w:r>
        <w:rPr>
          <w:rFonts w:ascii="Times New Roman" w:hAnsi="Times New Roman" w:cs="Times New Roman"/>
          <w:sz w:val="20"/>
          <w:szCs w:val="20"/>
        </w:rPr>
        <w:t>=119.102</w:t>
      </w:r>
      <w:r>
        <w:rPr>
          <w:rFonts w:hint="eastAsia"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&lt;0.05；</w:t>
      </w:r>
      <w:r>
        <w:rPr>
          <w:rFonts w:ascii="Times New Roman" w:hAnsi="Times New Roman" w:cs="Times New Roman"/>
          <w:i/>
          <w:iCs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  <w:vertAlign w:val="subscript"/>
        </w:rPr>
        <w:t>Group*Time</w:t>
      </w:r>
      <w:r>
        <w:rPr>
          <w:rFonts w:ascii="Times New Roman" w:hAnsi="Times New Roman" w:cs="Times New Roman"/>
          <w:sz w:val="20"/>
          <w:szCs w:val="20"/>
        </w:rPr>
        <w:t>=2.815</w:t>
      </w:r>
      <w:r>
        <w:rPr>
          <w:rFonts w:hint="eastAsia"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&gt;0.05</w:t>
      </w: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CRT-3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sz w:val="20"/>
          <w:szCs w:val="20"/>
        </w:rPr>
        <w:t xml:space="preserve"> intravitreal injection 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878"/>
        <w:gridCol w:w="1843"/>
        <w:gridCol w:w="1985"/>
        <w:gridCol w:w="850"/>
        <w:gridCol w:w="85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065" w:type="dxa"/>
            <w:vMerge w:val="restart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Group</w:t>
            </w:r>
          </w:p>
        </w:tc>
        <w:tc>
          <w:tcPr>
            <w:tcW w:w="1878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 </w:t>
            </w:r>
          </w:p>
        </w:tc>
        <w:tc>
          <w:tcPr>
            <w:tcW w:w="184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week </w:t>
            </w:r>
          </w:p>
        </w:tc>
        <w:tc>
          <w:tcPr>
            <w:tcW w:w="1985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1month</w:t>
            </w:r>
          </w:p>
        </w:tc>
        <w:tc>
          <w:tcPr>
            <w:tcW w:w="850" w:type="dxa"/>
            <w:vMerge w:val="restart"/>
          </w:tcPr>
          <w:p>
            <w:pPr>
              <w:spacing w:after="200"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</w:t>
            </w:r>
          </w:p>
        </w:tc>
        <w:tc>
          <w:tcPr>
            <w:tcW w:w="851" w:type="dxa"/>
            <w:vMerge w:val="restart"/>
          </w:tcPr>
          <w:p>
            <w:pPr>
              <w:spacing w:after="200"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065" w:type="dxa"/>
            <w:vMerge w:val="continue"/>
            <w:tcBorders>
              <w:bottom w:val="single" w:color="auto" w:sz="4" w:space="0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bottom w:val="single" w:color="auto" w:sz="4" w:space="0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iCs/>
                        <w:sz w:val="20"/>
                        <w:szCs w:val="20"/>
                      </w:rPr>
                    </m:ctrlPr>
                  </m:accPr>
                  <m:e>
                    <m:r>
                      <m:rPr/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x</m:t>
                    </m:r>
                    <m:ctrlPr>
                      <w:rPr>
                        <w:rFonts w:ascii="Cambria Math" w:hAnsi="Cambria Math" w:cs="Times New Roman"/>
                        <w:i/>
                        <w:iCs/>
                        <w:sz w:val="20"/>
                        <w:szCs w:val="20"/>
                      </w:rPr>
                    </m:ctrlPr>
                  </m:e>
                </m:acc>
                <m:r>
                  <m:rPr/>
                  <w:rPr>
                    <w:rFonts w:ascii="Cambria Math" w:hAnsi="Cambria Math" w:cs="Times New Roman"/>
                    <w:sz w:val="20"/>
                    <w:szCs w:val="20"/>
                  </w:rPr>
                  <m:t>±s</m:t>
                </m:r>
              </m:oMath>
            </m:oMathPara>
          </w:p>
        </w:tc>
        <w:tc>
          <w:tcPr>
            <w:tcW w:w="1843" w:type="dxa"/>
            <w:tcBorders>
              <w:bottom w:val="single" w:color="auto" w:sz="4" w:space="0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x</m:t>
                    </m: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e>
                </m:acc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±s</m:t>
                </m:r>
              </m:oMath>
            </m:oMathPara>
          </w:p>
        </w:tc>
        <w:tc>
          <w:tcPr>
            <w:tcW w:w="1985" w:type="dxa"/>
            <w:tcBorders>
              <w:bottom w:val="single" w:color="auto" w:sz="4" w:space="0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x</m:t>
                    </m: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e>
                </m:acc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±s</m:t>
                </m:r>
              </m:oMath>
            </m:oMathPara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bottom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conbercept(n=17)</w:t>
            </w:r>
          </w:p>
        </w:tc>
        <w:tc>
          <w:tcPr>
            <w:tcW w:w="1878" w:type="dxa"/>
            <w:tcBorders>
              <w:top w:val="single" w:color="auto" w:sz="4" w:space="0"/>
              <w:bottom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617.94±164.68</w:t>
            </w:r>
          </w:p>
        </w:tc>
        <w:tc>
          <w:tcPr>
            <w:tcW w:w="1843" w:type="dxa"/>
            <w:tcBorders>
              <w:top w:val="single" w:color="auto" w:sz="4" w:space="0"/>
              <w:bottom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296.94±47.51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985" w:type="dxa"/>
            <w:tcBorders>
              <w:top w:val="single" w:color="auto" w:sz="4" w:space="0"/>
              <w:bottom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378.65±203.15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0" w:type="dxa"/>
            <w:tcBorders>
              <w:top w:val="single" w:color="auto" w:sz="4" w:space="0"/>
              <w:bottom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35.69</w:t>
            </w:r>
          </w:p>
        </w:tc>
        <w:tc>
          <w:tcPr>
            <w:tcW w:w="851" w:type="dxa"/>
            <w:tcBorders>
              <w:top w:val="single" w:color="auto" w:sz="4" w:space="0"/>
              <w:bottom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nil"/>
              <w:bottom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conbercept+DEX (n=24)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597.96±149.16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275.63±37.46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255.96±30.41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146.21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</w:t>
            </w:r>
          </w:p>
        </w:tc>
        <w:tc>
          <w:tcPr>
            <w:tcW w:w="1878" w:type="dxa"/>
            <w:tcBorders>
              <w:top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0.164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2.578</w:t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8.571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</w:p>
        </w:tc>
        <w:tc>
          <w:tcPr>
            <w:tcW w:w="1878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0.688</w:t>
            </w:r>
          </w:p>
        </w:tc>
        <w:tc>
          <w:tcPr>
            <w:tcW w:w="1843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0.116</w:t>
            </w:r>
          </w:p>
        </w:tc>
        <w:tc>
          <w:tcPr>
            <w:tcW w:w="1985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850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  <w:vertAlign w:val="subscript"/>
        </w:rPr>
        <w:t>Group</w:t>
      </w:r>
      <w:r>
        <w:rPr>
          <w:rFonts w:ascii="Times New Roman" w:hAnsi="Times New Roman" w:cs="Times New Roman"/>
          <w:sz w:val="20"/>
          <w:szCs w:val="20"/>
        </w:rPr>
        <w:t>=3.503</w:t>
      </w:r>
      <w:r>
        <w:rPr>
          <w:rFonts w:hint="eastAsia"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=0.069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i/>
          <w:iCs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  <w:vertAlign w:val="subscript"/>
        </w:rPr>
        <w:t>Time</w:t>
      </w:r>
      <w:r>
        <w:rPr>
          <w:rFonts w:ascii="Times New Roman" w:hAnsi="Times New Roman" w:cs="Times New Roman"/>
          <w:sz w:val="20"/>
          <w:szCs w:val="20"/>
        </w:rPr>
        <w:t>=139.1,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&lt;0.05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i/>
          <w:iCs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  <w:vertAlign w:val="subscript"/>
        </w:rPr>
        <w:t>Group*Time</w:t>
      </w:r>
      <w:r>
        <w:rPr>
          <w:rFonts w:ascii="Times New Roman" w:hAnsi="Times New Roman" w:cs="Times New Roman"/>
          <w:sz w:val="20"/>
          <w:szCs w:val="20"/>
        </w:rPr>
        <w:t>=3.845</w:t>
      </w:r>
      <w:r>
        <w:rPr>
          <w:rFonts w:hint="eastAsia"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=0.028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a:Compared with </w:t>
      </w:r>
      <w:bookmarkStart w:id="1" w:name="_Hlk20436553"/>
      <w:r>
        <w:rPr>
          <w:rFonts w:ascii="Times New Roman" w:hAnsi="Times New Roman" w:cs="Times New Roman"/>
          <w:sz w:val="20"/>
          <w:szCs w:val="20"/>
        </w:rPr>
        <w:t>pre-intravitreal injection</w:t>
      </w:r>
      <w:bookmarkEnd w:id="1"/>
      <w:r>
        <w:rPr>
          <w:rFonts w:hint="eastAsia"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&lt;0.01; b: Compared wit</w:t>
      </w:r>
      <w:bookmarkStart w:id="2" w:name="_GoBack"/>
      <w:bookmarkEnd w:id="2"/>
      <w:r>
        <w:rPr>
          <w:rFonts w:ascii="Times New Roman" w:hAnsi="Times New Roman" w:cs="Times New Roman"/>
          <w:sz w:val="20"/>
          <w:szCs w:val="20"/>
        </w:rPr>
        <w:t>h 1 week after intravitreal injection, P&lt;0.05</w:t>
      </w: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sectPr>
      <w:pgSz w:w="12242" w:h="15842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241D3A"/>
    <w:rsid w:val="00063D5E"/>
    <w:rsid w:val="00077259"/>
    <w:rsid w:val="00091384"/>
    <w:rsid w:val="00094167"/>
    <w:rsid w:val="000D7FDF"/>
    <w:rsid w:val="00123BC7"/>
    <w:rsid w:val="00241D3A"/>
    <w:rsid w:val="002916D9"/>
    <w:rsid w:val="0029227B"/>
    <w:rsid w:val="0029309C"/>
    <w:rsid w:val="002C14DF"/>
    <w:rsid w:val="002D4432"/>
    <w:rsid w:val="00346632"/>
    <w:rsid w:val="00361DAE"/>
    <w:rsid w:val="00377E0A"/>
    <w:rsid w:val="003B0752"/>
    <w:rsid w:val="003C54FE"/>
    <w:rsid w:val="004116C0"/>
    <w:rsid w:val="0041416E"/>
    <w:rsid w:val="00450F60"/>
    <w:rsid w:val="004542D5"/>
    <w:rsid w:val="00454C02"/>
    <w:rsid w:val="0046060E"/>
    <w:rsid w:val="0046269C"/>
    <w:rsid w:val="004D037E"/>
    <w:rsid w:val="004D798D"/>
    <w:rsid w:val="005003D2"/>
    <w:rsid w:val="005013A5"/>
    <w:rsid w:val="00582721"/>
    <w:rsid w:val="005E64F5"/>
    <w:rsid w:val="005F1171"/>
    <w:rsid w:val="005F60C2"/>
    <w:rsid w:val="00612847"/>
    <w:rsid w:val="006172D0"/>
    <w:rsid w:val="006335F2"/>
    <w:rsid w:val="00645BF6"/>
    <w:rsid w:val="006A273C"/>
    <w:rsid w:val="006A36E6"/>
    <w:rsid w:val="006C7BDF"/>
    <w:rsid w:val="006F1A25"/>
    <w:rsid w:val="007139B9"/>
    <w:rsid w:val="00736817"/>
    <w:rsid w:val="007455E7"/>
    <w:rsid w:val="007E5FA6"/>
    <w:rsid w:val="007E7283"/>
    <w:rsid w:val="008755F1"/>
    <w:rsid w:val="008C12AD"/>
    <w:rsid w:val="0090702B"/>
    <w:rsid w:val="00911F8F"/>
    <w:rsid w:val="00915869"/>
    <w:rsid w:val="00935D8C"/>
    <w:rsid w:val="009C0AC5"/>
    <w:rsid w:val="009F593D"/>
    <w:rsid w:val="00A10C88"/>
    <w:rsid w:val="00A46EE4"/>
    <w:rsid w:val="00A82F20"/>
    <w:rsid w:val="00AE3AAE"/>
    <w:rsid w:val="00B075DC"/>
    <w:rsid w:val="00B34759"/>
    <w:rsid w:val="00BE43CC"/>
    <w:rsid w:val="00C3762C"/>
    <w:rsid w:val="00C434E5"/>
    <w:rsid w:val="00C65A24"/>
    <w:rsid w:val="00CD7F7B"/>
    <w:rsid w:val="00D01F94"/>
    <w:rsid w:val="00D23A16"/>
    <w:rsid w:val="00DA5E0A"/>
    <w:rsid w:val="00DB709F"/>
    <w:rsid w:val="00E5778B"/>
    <w:rsid w:val="00ED7156"/>
    <w:rsid w:val="00F02A6D"/>
    <w:rsid w:val="00F87F23"/>
    <w:rsid w:val="00FA2BF1"/>
    <w:rsid w:val="00FA6B95"/>
    <w:rsid w:val="00FE5831"/>
    <w:rsid w:val="00FF18D1"/>
    <w:rsid w:val="0B621A70"/>
    <w:rsid w:val="1F29393B"/>
    <w:rsid w:val="532B0103"/>
    <w:rsid w:val="75750D9C"/>
    <w:rsid w:val="763023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iPriority="59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1"/>
    <w:autoRedefine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4"/>
    <w:basedOn w:val="1"/>
    <w:link w:val="20"/>
    <w:autoRedefine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zh-CN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unhideWhenUsed/>
    <w:qFormat/>
    <w:uiPriority w:val="0"/>
    <w:pPr>
      <w:spacing w:line="240" w:lineRule="auto"/>
    </w:pPr>
    <w:rPr>
      <w:sz w:val="20"/>
      <w:szCs w:val="20"/>
    </w:rPr>
  </w:style>
  <w:style w:type="paragraph" w:styleId="5">
    <w:name w:val="Balloon Text"/>
    <w:basedOn w:val="1"/>
    <w:link w:val="17"/>
    <w:autoRedefine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9">
    <w:name w:val="annotation subject"/>
    <w:basedOn w:val="4"/>
    <w:next w:val="4"/>
    <w:link w:val="16"/>
    <w:autoRedefine/>
    <w:semiHidden/>
    <w:unhideWhenUsed/>
    <w:qFormat/>
    <w:uiPriority w:val="99"/>
    <w:rPr>
      <w:b/>
      <w:bCs/>
    </w:rPr>
  </w:style>
  <w:style w:type="table" w:styleId="11">
    <w:name w:val="Table Grid"/>
    <w:basedOn w:val="10"/>
    <w:autoRedefine/>
    <w:semiHidden/>
    <w:unhideWhenUsed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autoRedefine/>
    <w:unhideWhenUsed/>
    <w:qFormat/>
    <w:uiPriority w:val="99"/>
    <w:rPr>
      <w:sz w:val="16"/>
      <w:szCs w:val="16"/>
    </w:rPr>
  </w:style>
  <w:style w:type="character" w:customStyle="1" w:styleId="15">
    <w:name w:val="批注文字 字符"/>
    <w:basedOn w:val="12"/>
    <w:link w:val="4"/>
    <w:autoRedefine/>
    <w:qFormat/>
    <w:uiPriority w:val="0"/>
    <w:rPr>
      <w:sz w:val="20"/>
      <w:szCs w:val="20"/>
    </w:rPr>
  </w:style>
  <w:style w:type="character" w:customStyle="1" w:styleId="16">
    <w:name w:val="批注主题 字符"/>
    <w:basedOn w:val="15"/>
    <w:link w:val="9"/>
    <w:autoRedefine/>
    <w:semiHidden/>
    <w:qFormat/>
    <w:uiPriority w:val="99"/>
    <w:rPr>
      <w:b/>
      <w:bCs/>
      <w:sz w:val="20"/>
      <w:szCs w:val="20"/>
    </w:rPr>
  </w:style>
  <w:style w:type="character" w:customStyle="1" w:styleId="17">
    <w:name w:val="批注框文本 字符"/>
    <w:basedOn w:val="12"/>
    <w:link w:val="5"/>
    <w:autoRedefine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8">
    <w:name w:val="页眉 字符"/>
    <w:basedOn w:val="12"/>
    <w:link w:val="7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2"/>
    <w:link w:val="6"/>
    <w:autoRedefine/>
    <w:qFormat/>
    <w:uiPriority w:val="99"/>
    <w:rPr>
      <w:sz w:val="18"/>
      <w:szCs w:val="18"/>
    </w:rPr>
  </w:style>
  <w:style w:type="character" w:customStyle="1" w:styleId="20">
    <w:name w:val="标题 4 字符"/>
    <w:basedOn w:val="12"/>
    <w:link w:val="3"/>
    <w:autoRedefine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eastAsia="zh-CN"/>
    </w:rPr>
  </w:style>
  <w:style w:type="character" w:customStyle="1" w:styleId="21">
    <w:name w:val="标题 1 字符"/>
    <w:basedOn w:val="12"/>
    <w:link w:val="2"/>
    <w:autoRedefine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17B63-E2E6-4189-9E95-DE24E06AE5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314</Words>
  <Characters>1947</Characters>
  <Lines>13</Lines>
  <Paragraphs>3</Paragraphs>
  <TotalTime>7</TotalTime>
  <ScaleCrop>false</ScaleCrop>
  <LinksUpToDate>false</LinksUpToDate>
  <CharactersWithSpaces>2124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2019-01-02T21:35:00Z</dcterms:created>
  <dc:creator>Author</dc:creator>
  <cp:lastModifiedBy>栖息的鸟</cp:lastModifiedBy>
  <dcterms:modified xsi:type="dcterms:W3CDTF">2024-06-11T08:30:11Z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B128A89188DB43DC8FB8440A7A8CDEA1_13</vt:lpwstr>
  </property>
</Properties>
</file>