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94D1" w14:textId="77777777" w:rsidR="0028237B" w:rsidRDefault="0028237B" w:rsidP="0019019E">
      <w:pPr>
        <w:rPr>
          <w:rFonts w:ascii="Times New Roman" w:hAnsi="Times New Roman" w:cs="Times New Roman"/>
          <w:b/>
          <w:bCs/>
        </w:rPr>
      </w:pPr>
    </w:p>
    <w:p w14:paraId="4C93A9B7" w14:textId="10CE2CDB" w:rsidR="0019019E" w:rsidRDefault="0019019E" w:rsidP="0019019E">
      <w:pPr>
        <w:rPr>
          <w:rFonts w:ascii="Times New Roman" w:hAnsi="Times New Roman" w:cs="Times New Roman"/>
          <w:b/>
          <w:bCs/>
        </w:rPr>
      </w:pPr>
      <w:r w:rsidRPr="00AB77CF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 xml:space="preserve">1. Pathological classification of 57 LR-M observations of HCC </w:t>
      </w:r>
    </w:p>
    <w:tbl>
      <w:tblPr>
        <w:tblpPr w:leftFromText="180" w:rightFromText="180" w:vertAnchor="text" w:horzAnchor="page" w:tblpX="2131" w:tblpY="53"/>
        <w:tblOverlap w:val="never"/>
        <w:tblW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0"/>
        <w:gridCol w:w="999"/>
      </w:tblGrid>
      <w:tr w:rsidR="0019019E" w14:paraId="7C0F7060" w14:textId="77777777" w:rsidTr="00DE3866">
        <w:trPr>
          <w:trHeight w:val="454"/>
        </w:trPr>
        <w:tc>
          <w:tcPr>
            <w:tcW w:w="393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7E2A71F" w14:textId="77777777" w:rsidR="0019019E" w:rsidRDefault="0019019E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Subtype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3241B4" w14:textId="77777777" w:rsidR="0019019E" w:rsidRDefault="0019019E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19019E" w14:paraId="1D62253C" w14:textId="77777777" w:rsidTr="00DE3866">
        <w:trPr>
          <w:trHeight w:val="454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718D8" w14:textId="0FDCABD6" w:rsidR="0019019E" w:rsidRDefault="00B86B29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rabecular type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10DFA" w14:textId="2BFF806F" w:rsidR="0019019E" w:rsidRDefault="006D5E54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6B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01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745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901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4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19019E" w14:paraId="50E082BD" w14:textId="77777777" w:rsidTr="00DE3866">
        <w:trPr>
          <w:trHeight w:val="439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C875" w14:textId="7DDF8C6A" w:rsidR="0019019E" w:rsidRDefault="00B86B29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rabecular mixed with pseudo-glandular type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3009" w14:textId="227246A4" w:rsidR="0019019E" w:rsidRDefault="00B86B29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901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745B"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19019E" w14:paraId="70D17367" w14:textId="77777777" w:rsidTr="00DE3866">
        <w:trPr>
          <w:trHeight w:val="454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E4D26" w14:textId="23F84BD9" w:rsidR="0019019E" w:rsidRDefault="00B86B29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olid type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9E59" w14:textId="5475CEA4" w:rsidR="0019019E" w:rsidRDefault="00B86B29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01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9745B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="0019019E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19019E" w14:paraId="212F0EA5" w14:textId="77777777" w:rsidTr="00DE3866">
        <w:trPr>
          <w:trHeight w:val="454"/>
        </w:trPr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B06A4" w14:textId="07828F4A" w:rsidR="0019019E" w:rsidRDefault="0019019E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Trabecular mixed with solid type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AAB01" w14:textId="2D9082B6" w:rsidR="0019019E" w:rsidRDefault="0019019E" w:rsidP="00DE38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5974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14:paraId="25519C25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E006DE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B743ACF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00C79A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F645D3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E17231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E680AA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FFF1C4" w14:textId="77777777" w:rsidR="0019019E" w:rsidRDefault="0019019E" w:rsidP="0019019E">
      <w:pPr>
        <w:rPr>
          <w:rFonts w:ascii="Times New Roman" w:hAnsi="Times New Roman" w:cs="Times New Roman"/>
          <w:sz w:val="20"/>
          <w:szCs w:val="20"/>
        </w:rPr>
      </w:pPr>
    </w:p>
    <w:p w14:paraId="4EEAB5DB" w14:textId="77777777" w:rsidR="0019019E" w:rsidRPr="0041135F" w:rsidRDefault="0019019E" w:rsidP="0019019E">
      <w:pPr>
        <w:rPr>
          <w:rFonts w:ascii="Times New Roman" w:hAnsi="Times New Roman" w:cs="Times New Roman"/>
          <w:sz w:val="20"/>
          <w:szCs w:val="20"/>
        </w:rPr>
      </w:pPr>
      <w:r w:rsidRPr="00B46CA3">
        <w:rPr>
          <w:rFonts w:ascii="Times New Roman" w:hAnsi="Times New Roman" w:cs="Times New Roman"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135F">
        <w:rPr>
          <w:rFonts w:ascii="Times New Roman" w:hAnsi="Times New Roman" w:cs="Times New Roman"/>
          <w:sz w:val="20"/>
          <w:szCs w:val="20"/>
        </w:rPr>
        <w:t xml:space="preserve">Data are </w:t>
      </w:r>
      <w:r>
        <w:rPr>
          <w:rFonts w:ascii="Times New Roman" w:hAnsi="Times New Roman" w:cs="Times New Roman"/>
          <w:sz w:val="20"/>
          <w:szCs w:val="20"/>
        </w:rPr>
        <w:t xml:space="preserve">described as </w:t>
      </w:r>
      <w:r w:rsidRPr="0041135F">
        <w:rPr>
          <w:rFonts w:ascii="Times New Roman" w:hAnsi="Times New Roman" w:cs="Times New Roman"/>
          <w:sz w:val="20"/>
          <w:szCs w:val="20"/>
        </w:rPr>
        <w:t>number of lesions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D5BEB">
        <w:rPr>
          <w:rFonts w:ascii="Times New Roman" w:hAnsi="Times New Roman" w:cs="Times New Roman"/>
          <w:sz w:val="20"/>
          <w:szCs w:val="20"/>
        </w:rPr>
        <w:t xml:space="preserve">with </w:t>
      </w:r>
      <w:r w:rsidRPr="00745FA8">
        <w:rPr>
          <w:rFonts w:ascii="Times New Roman" w:hAnsi="Times New Roman" w:cs="Times New Roman"/>
          <w:sz w:val="20"/>
          <w:szCs w:val="20"/>
        </w:rPr>
        <w:t>percentage</w:t>
      </w:r>
      <w:r w:rsidRPr="00ED5BEB">
        <w:rPr>
          <w:rFonts w:ascii="Times New Roman" w:hAnsi="Times New Roman" w:cs="Times New Roman"/>
          <w:sz w:val="20"/>
          <w:szCs w:val="20"/>
        </w:rPr>
        <w:t xml:space="preserve"> in </w:t>
      </w:r>
      <w:r w:rsidRPr="00B46CA3">
        <w:rPr>
          <w:rFonts w:ascii="Times New Roman" w:hAnsi="Times New Roman" w:cs="Times New Roman"/>
          <w:sz w:val="20"/>
          <w:szCs w:val="20"/>
        </w:rPr>
        <w:t>parenthes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B46CA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4F819B" w14:textId="77777777" w:rsidR="0019019E" w:rsidRPr="00745FA8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2BD221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290605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D8B2FA" w14:textId="77777777" w:rsidR="0019019E" w:rsidRPr="00745FA8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56ED66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DE2DF4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995E9EB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73BB503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9C095B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1FDD05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6EF769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1654E1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1C31E7F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575B10D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15FB11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4D8F9E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8B9570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F0B90A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F775D2" w14:textId="77777777" w:rsidR="0019019E" w:rsidRDefault="0019019E" w:rsidP="0019019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41F812" w14:textId="77777777" w:rsidR="0019019E" w:rsidRDefault="0019019E" w:rsidP="0019019E">
      <w:pPr>
        <w:jc w:val="left"/>
      </w:pPr>
    </w:p>
    <w:p w14:paraId="72D6D408" w14:textId="77777777" w:rsidR="0019019E" w:rsidRDefault="0019019E" w:rsidP="0019019E">
      <w:pPr>
        <w:jc w:val="left"/>
      </w:pPr>
    </w:p>
    <w:p w14:paraId="36911CBC" w14:textId="77777777" w:rsidR="0019019E" w:rsidRDefault="0019019E" w:rsidP="0019019E">
      <w:pPr>
        <w:jc w:val="left"/>
      </w:pPr>
    </w:p>
    <w:p w14:paraId="78082C70" w14:textId="77777777" w:rsidR="0019019E" w:rsidRDefault="0019019E" w:rsidP="0019019E">
      <w:pPr>
        <w:jc w:val="left"/>
      </w:pPr>
    </w:p>
    <w:p w14:paraId="6C9DC437" w14:textId="77777777" w:rsidR="0019019E" w:rsidRDefault="0019019E" w:rsidP="0019019E">
      <w:pPr>
        <w:jc w:val="left"/>
      </w:pPr>
    </w:p>
    <w:p w14:paraId="05C2A6EA" w14:textId="77777777" w:rsidR="00C24239" w:rsidRDefault="00C24239" w:rsidP="0019019E">
      <w:pPr>
        <w:jc w:val="left"/>
      </w:pPr>
    </w:p>
    <w:p w14:paraId="27BA47CC" w14:textId="77777777" w:rsidR="00C24239" w:rsidRDefault="00C24239" w:rsidP="0019019E">
      <w:pPr>
        <w:jc w:val="left"/>
      </w:pPr>
    </w:p>
    <w:p w14:paraId="1A161604" w14:textId="77777777" w:rsidR="00C24239" w:rsidRDefault="00C24239" w:rsidP="0019019E">
      <w:pPr>
        <w:jc w:val="left"/>
      </w:pPr>
    </w:p>
    <w:p w14:paraId="1D9A2A59" w14:textId="77777777" w:rsidR="00C24239" w:rsidRDefault="00C24239" w:rsidP="0019019E">
      <w:pPr>
        <w:jc w:val="left"/>
      </w:pPr>
    </w:p>
    <w:p w14:paraId="39319146" w14:textId="77777777" w:rsidR="00C24239" w:rsidRDefault="00C24239" w:rsidP="0019019E">
      <w:pPr>
        <w:jc w:val="left"/>
      </w:pPr>
    </w:p>
    <w:p w14:paraId="16151807" w14:textId="77777777" w:rsidR="00C24239" w:rsidRDefault="00C24239" w:rsidP="0019019E">
      <w:pPr>
        <w:jc w:val="left"/>
      </w:pPr>
    </w:p>
    <w:p w14:paraId="4E971E2A" w14:textId="77777777" w:rsidR="00C24239" w:rsidRDefault="00C24239" w:rsidP="0019019E">
      <w:pPr>
        <w:jc w:val="left"/>
      </w:pPr>
    </w:p>
    <w:p w14:paraId="70526F9F" w14:textId="77777777" w:rsidR="00C24239" w:rsidRDefault="00C24239" w:rsidP="0019019E">
      <w:pPr>
        <w:jc w:val="left"/>
      </w:pPr>
    </w:p>
    <w:p w14:paraId="4BE14B71" w14:textId="77777777" w:rsidR="00C24239" w:rsidRDefault="00C24239" w:rsidP="0019019E">
      <w:pPr>
        <w:jc w:val="left"/>
      </w:pPr>
    </w:p>
    <w:p w14:paraId="3D66ADD6" w14:textId="77777777" w:rsidR="00C24239" w:rsidRDefault="00C24239" w:rsidP="0019019E">
      <w:pPr>
        <w:jc w:val="left"/>
      </w:pPr>
    </w:p>
    <w:p w14:paraId="314C1EB9" w14:textId="3537C48E" w:rsidR="00C24239" w:rsidRDefault="00C24239" w:rsidP="00C24239">
      <w:pPr>
        <w:rPr>
          <w:rFonts w:ascii="Times New Roman" w:hAnsi="Times New Roman" w:cs="Times New Roman"/>
          <w:b/>
          <w:bCs/>
        </w:rPr>
      </w:pPr>
      <w:r w:rsidRPr="00AB77CF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 w:hint="eastAsia"/>
          <w:b/>
          <w:bCs/>
        </w:rPr>
        <w:t>The inter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 w:hint="eastAsia"/>
          <w:b/>
          <w:bCs/>
        </w:rPr>
        <w:t xml:space="preserve">reader agreement between the current readers for all features </w:t>
      </w:r>
      <w:r>
        <w:rPr>
          <w:rFonts w:ascii="Times New Roman" w:hAnsi="Times New Roman" w:cs="Times New Roman"/>
          <w:b/>
          <w:bCs/>
        </w:rPr>
        <w:t>within LR-M</w:t>
      </w:r>
      <w:r>
        <w:rPr>
          <w:rFonts w:ascii="Times New Roman" w:hAnsi="Times New Roman" w:cs="Times New Roman" w:hint="eastAsia"/>
          <w:b/>
          <w:bCs/>
        </w:rPr>
        <w:t xml:space="preserve"> and LI-RADS categor</w:t>
      </w:r>
      <w:r>
        <w:rPr>
          <w:rFonts w:ascii="Times New Roman" w:hAnsi="Times New Roman" w:cs="Times New Roman"/>
          <w:b/>
          <w:bCs/>
        </w:rPr>
        <w:t>ies.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8"/>
        <w:gridCol w:w="2755"/>
        <w:gridCol w:w="2773"/>
      </w:tblGrid>
      <w:tr w:rsidR="00C24239" w14:paraId="27E434BE" w14:textId="77777777" w:rsidTr="00FE201A">
        <w:tc>
          <w:tcPr>
            <w:tcW w:w="277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0436BB5" w14:textId="77777777" w:rsidR="00C24239" w:rsidRDefault="00C24239" w:rsidP="00FE201A">
            <w:r>
              <w:rPr>
                <w:rFonts w:hint="eastAsia"/>
              </w:rPr>
              <w:t>Feature</w:t>
            </w:r>
          </w:p>
        </w:tc>
        <w:tc>
          <w:tcPr>
            <w:tcW w:w="275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587EA0D" w14:textId="77777777" w:rsidR="00C24239" w:rsidRDefault="00C24239" w:rsidP="00FE201A">
            <w:r>
              <w:t>ĸ</w:t>
            </w:r>
            <w:r>
              <w:rPr>
                <w:rFonts w:hint="eastAsia"/>
              </w:rPr>
              <w:t xml:space="preserve"> value</w:t>
            </w:r>
          </w:p>
        </w:tc>
        <w:tc>
          <w:tcPr>
            <w:tcW w:w="277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A2AD2C3" w14:textId="77777777" w:rsidR="00C24239" w:rsidRDefault="00C24239" w:rsidP="00FE201A">
            <w:r>
              <w:rPr>
                <w:rFonts w:hint="eastAsia"/>
              </w:rPr>
              <w:t>Agreement level</w:t>
            </w:r>
          </w:p>
        </w:tc>
      </w:tr>
      <w:tr w:rsidR="00C24239" w14:paraId="02ED9315" w14:textId="77777777" w:rsidTr="00FE201A">
        <w:tc>
          <w:tcPr>
            <w:tcW w:w="27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C835CF" w14:textId="77777777" w:rsidR="00C24239" w:rsidRDefault="00C24239" w:rsidP="00FE201A">
            <w:r>
              <w:t>Major features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C54FC5" w14:textId="77777777" w:rsidR="00C24239" w:rsidRDefault="00C24239" w:rsidP="00FE201A"/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91FEED" w14:textId="77777777" w:rsidR="00C24239" w:rsidRDefault="00C24239" w:rsidP="00FE201A"/>
        </w:tc>
      </w:tr>
      <w:tr w:rsidR="00C24239" w14:paraId="4764C3C7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F303CF5" w14:textId="77777777" w:rsidR="00C24239" w:rsidRDefault="00C24239" w:rsidP="00FE201A">
            <w:r>
              <w:t>Non-rim APHE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289F62EB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614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05A288BF" w14:textId="77777777" w:rsidR="00C24239" w:rsidRDefault="00C24239" w:rsidP="00FE201A">
            <w:r>
              <w:t>Substantial</w:t>
            </w:r>
          </w:p>
        </w:tc>
      </w:tr>
      <w:tr w:rsidR="00C24239" w14:paraId="07A3E50A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FB79290" w14:textId="77777777" w:rsidR="00C24239" w:rsidRDefault="00C24239" w:rsidP="00FE201A">
            <w:r>
              <w:t>Non-peripheral washout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407EA662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667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55C1D20B" w14:textId="77777777" w:rsidR="00C24239" w:rsidRDefault="00C24239" w:rsidP="00FE201A">
            <w:r>
              <w:t>Substantial</w:t>
            </w:r>
          </w:p>
        </w:tc>
      </w:tr>
      <w:tr w:rsidR="00C24239" w14:paraId="5F12935A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5965978" w14:textId="77777777" w:rsidR="00C24239" w:rsidRDefault="00C24239" w:rsidP="00FE201A">
            <w:r>
              <w:t>Enhancing capsule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63F32A35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806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02A71663" w14:textId="77777777" w:rsidR="00C24239" w:rsidRDefault="00C24239" w:rsidP="00FE201A">
            <w:pPr>
              <w:rPr>
                <w:b/>
                <w:bCs/>
              </w:rPr>
            </w:pPr>
            <w:r>
              <w:t>Excellent</w:t>
            </w:r>
          </w:p>
        </w:tc>
      </w:tr>
      <w:tr w:rsidR="00C24239" w14:paraId="4DEA190E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6ABD729" w14:textId="77777777" w:rsidR="00C24239" w:rsidRDefault="00C24239" w:rsidP="00FE201A">
            <w:r>
              <w:t>Targetoid appearance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696A2D36" w14:textId="77777777" w:rsidR="00C24239" w:rsidRDefault="00C24239" w:rsidP="00FE201A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29557158" w14:textId="77777777" w:rsidR="00C24239" w:rsidRDefault="00C24239" w:rsidP="00FE201A"/>
        </w:tc>
      </w:tr>
      <w:tr w:rsidR="00C24239" w14:paraId="7380EDD5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8D010FE" w14:textId="77777777" w:rsidR="00C24239" w:rsidRPr="006F55F8" w:rsidRDefault="00C24239" w:rsidP="00FE201A">
            <w:r w:rsidRPr="006F55F8">
              <w:t>Rim APHE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5128B11F" w14:textId="77777777" w:rsidR="00C24239" w:rsidRPr="006F55F8" w:rsidRDefault="00C24239" w:rsidP="00FE201A">
            <w:r w:rsidRPr="006F55F8">
              <w:rPr>
                <w:rFonts w:hint="eastAsia"/>
              </w:rPr>
              <w:t>0.</w:t>
            </w:r>
            <w:r w:rsidRPr="006F55F8">
              <w:t>614</w:t>
            </w:r>
          </w:p>
          <w:p w14:paraId="211FCBBA" w14:textId="77777777" w:rsidR="00C24239" w:rsidRPr="006F55F8" w:rsidRDefault="00C24239" w:rsidP="00FE201A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5BD773C3" w14:textId="77777777" w:rsidR="00C24239" w:rsidRPr="006F55F8" w:rsidRDefault="00C24239" w:rsidP="00FE201A">
            <w:pPr>
              <w:rPr>
                <w:b/>
                <w:bCs/>
              </w:rPr>
            </w:pPr>
            <w:r w:rsidRPr="006F55F8">
              <w:t>Substantial</w:t>
            </w:r>
          </w:p>
        </w:tc>
      </w:tr>
      <w:tr w:rsidR="00C24239" w14:paraId="0623BFE8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430F718" w14:textId="77777777" w:rsidR="00C24239" w:rsidRPr="006F55F8" w:rsidRDefault="00C24239" w:rsidP="00FE201A">
            <w:r w:rsidRPr="006F55F8">
              <w:t>Thick rim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55843127" w14:textId="77777777" w:rsidR="00C24239" w:rsidRPr="006F55F8" w:rsidRDefault="00C24239" w:rsidP="00FE201A">
            <w:r w:rsidRPr="006F55F8">
              <w:rPr>
                <w:rFonts w:hint="eastAsia"/>
              </w:rPr>
              <w:t>0.</w:t>
            </w:r>
            <w:r w:rsidRPr="006F55F8">
              <w:t>688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4B5E926A" w14:textId="77777777" w:rsidR="00C24239" w:rsidRPr="006F55F8" w:rsidRDefault="00C24239" w:rsidP="00FE201A">
            <w:pPr>
              <w:rPr>
                <w:b/>
                <w:bCs/>
              </w:rPr>
            </w:pPr>
            <w:r w:rsidRPr="006F55F8">
              <w:t>Substantial</w:t>
            </w:r>
          </w:p>
        </w:tc>
      </w:tr>
      <w:tr w:rsidR="00C24239" w14:paraId="1DEEB2A0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485E121" w14:textId="77777777" w:rsidR="00C24239" w:rsidRPr="006F55F8" w:rsidRDefault="00C24239" w:rsidP="00FE201A">
            <w:r w:rsidRPr="006F55F8">
              <w:t>Thin rim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3F1A6B28" w14:textId="77777777" w:rsidR="00C24239" w:rsidRPr="006F55F8" w:rsidRDefault="00C24239" w:rsidP="00FE201A">
            <w:r w:rsidRPr="006F55F8">
              <w:rPr>
                <w:rFonts w:hint="eastAsia"/>
              </w:rPr>
              <w:t>0.</w:t>
            </w:r>
            <w:r w:rsidRPr="006F55F8">
              <w:t>778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738DB1E6" w14:textId="77777777" w:rsidR="00C24239" w:rsidRPr="006F55F8" w:rsidRDefault="00C24239" w:rsidP="00FE201A">
            <w:r w:rsidRPr="006F55F8">
              <w:t>Substantial</w:t>
            </w:r>
          </w:p>
        </w:tc>
      </w:tr>
      <w:tr w:rsidR="00C24239" w14:paraId="09EDB811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9477785" w14:textId="77777777" w:rsidR="00C24239" w:rsidRDefault="00C24239" w:rsidP="00FE201A">
            <w:r>
              <w:t>Peripheral washout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75C10985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692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09973C37" w14:textId="77777777" w:rsidR="00C24239" w:rsidRDefault="00C24239" w:rsidP="00FE201A">
            <w:r>
              <w:t>Substantial</w:t>
            </w:r>
          </w:p>
        </w:tc>
      </w:tr>
      <w:tr w:rsidR="00C24239" w14:paraId="668C5B85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FBB0C7C" w14:textId="77777777" w:rsidR="00C24239" w:rsidRDefault="00C24239" w:rsidP="00FE201A">
            <w:r>
              <w:t>Delayed central enhancement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45DAE69C" w14:textId="77777777" w:rsidR="00C24239" w:rsidRDefault="00C24239" w:rsidP="00FE201A">
            <w:r>
              <w:rPr>
                <w:rFonts w:hint="eastAsia"/>
              </w:rPr>
              <w:t>0.6</w:t>
            </w:r>
            <w:r>
              <w:t>67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79CDC85C" w14:textId="77777777" w:rsidR="00C24239" w:rsidRDefault="00C24239" w:rsidP="00FE201A">
            <w:r>
              <w:t>Substantial</w:t>
            </w:r>
          </w:p>
        </w:tc>
      </w:tr>
      <w:tr w:rsidR="00C24239" w14:paraId="3B5C4478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19FDEF3" w14:textId="77777777" w:rsidR="00C24239" w:rsidRDefault="00C24239" w:rsidP="00FE201A">
            <w:r>
              <w:t>Targetoid DWI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5D38DDC0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820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69A007E8" w14:textId="77777777" w:rsidR="00C24239" w:rsidRDefault="00C24239" w:rsidP="00FE201A">
            <w:r>
              <w:t>Excellent</w:t>
            </w:r>
          </w:p>
        </w:tc>
      </w:tr>
      <w:tr w:rsidR="00C24239" w14:paraId="39D06BC4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DBB8CBA" w14:textId="77777777" w:rsidR="00C24239" w:rsidRDefault="00C24239" w:rsidP="00FE201A">
            <w:r>
              <w:t>Targetoid TP/HBP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7F12B34D" w14:textId="77777777" w:rsidR="00C24239" w:rsidRDefault="00C24239" w:rsidP="00FE201A">
            <w:r>
              <w:rPr>
                <w:rFonts w:hint="eastAsia"/>
              </w:rPr>
              <w:t>0.82</w:t>
            </w:r>
            <w: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0B759B38" w14:textId="77777777" w:rsidR="00C24239" w:rsidRDefault="00C24239" w:rsidP="00FE201A">
            <w:r>
              <w:t>Excellent</w:t>
            </w:r>
          </w:p>
        </w:tc>
      </w:tr>
      <w:tr w:rsidR="00C24239" w14:paraId="558E447F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BC30F6E" w14:textId="77777777" w:rsidR="00C24239" w:rsidRDefault="00C24239" w:rsidP="00FE201A">
            <w:r>
              <w:t>Ancillary features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55339E8A" w14:textId="77777777" w:rsidR="00C24239" w:rsidRDefault="00C24239" w:rsidP="00FE201A"/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3855FB16" w14:textId="77777777" w:rsidR="00C24239" w:rsidRDefault="00C24239" w:rsidP="00FE201A"/>
        </w:tc>
      </w:tr>
      <w:tr w:rsidR="00C24239" w14:paraId="15D1DD27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DE69D3E" w14:textId="77777777" w:rsidR="00C24239" w:rsidRDefault="00C24239" w:rsidP="00FE201A">
            <w:r>
              <w:t>Surface retraction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232B3CF3" w14:textId="77777777" w:rsidR="00C24239" w:rsidRDefault="00C24239" w:rsidP="00FE201A">
            <w:r>
              <w:rPr>
                <w:rFonts w:hint="eastAsia"/>
              </w:rPr>
              <w:t>0.7</w:t>
            </w:r>
            <w:r>
              <w:t>27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4CCDFF8F" w14:textId="77777777" w:rsidR="00C24239" w:rsidRDefault="00C24239" w:rsidP="00FE201A">
            <w:r>
              <w:t>Substantial</w:t>
            </w:r>
          </w:p>
        </w:tc>
      </w:tr>
      <w:tr w:rsidR="00C24239" w14:paraId="5E132674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F1DF098" w14:textId="77777777" w:rsidR="00C24239" w:rsidRDefault="00C24239" w:rsidP="00FE201A">
            <w:r>
              <w:t>Bile duct dilatation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2AA3BF60" w14:textId="77777777" w:rsidR="00C24239" w:rsidRDefault="00C24239" w:rsidP="00FE201A">
            <w:r>
              <w:rPr>
                <w:rFonts w:hint="eastAsia"/>
              </w:rPr>
              <w:t>0.84</w:t>
            </w:r>
            <w:r>
              <w:t>0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66F19CA4" w14:textId="77777777" w:rsidR="00C24239" w:rsidRDefault="00C24239" w:rsidP="00FE201A">
            <w:r>
              <w:t>Excellent</w:t>
            </w:r>
          </w:p>
        </w:tc>
      </w:tr>
      <w:tr w:rsidR="00C24239" w14:paraId="09587E43" w14:textId="77777777" w:rsidTr="00FE201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FB7190B" w14:textId="77777777" w:rsidR="00C24239" w:rsidRDefault="00C24239" w:rsidP="00FE201A">
            <w:r>
              <w:t>Lobulated margin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4E4879DC" w14:textId="77777777" w:rsidR="00C24239" w:rsidRDefault="00C24239" w:rsidP="00FE201A">
            <w:r>
              <w:rPr>
                <w:rFonts w:hint="eastAsia"/>
              </w:rPr>
              <w:t>0.6</w:t>
            </w:r>
            <w: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4D77D5F9" w14:textId="77777777" w:rsidR="00C24239" w:rsidRDefault="00C24239" w:rsidP="00FE201A">
            <w:r>
              <w:t>Substantial</w:t>
            </w:r>
          </w:p>
        </w:tc>
      </w:tr>
      <w:tr w:rsidR="00C24239" w14:paraId="0FD7398B" w14:textId="77777777" w:rsidTr="00FE201A"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F08AC9" w14:textId="77777777" w:rsidR="00C24239" w:rsidRDefault="00C24239" w:rsidP="00FE201A">
            <w:r>
              <w:rPr>
                <w:rFonts w:hint="eastAsia"/>
              </w:rPr>
              <w:t>Modified LI-RADS category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090E93" w14:textId="77777777" w:rsidR="00C24239" w:rsidRDefault="00C24239" w:rsidP="00FE201A">
            <w:r>
              <w:rPr>
                <w:rFonts w:hint="eastAsia"/>
              </w:rPr>
              <w:t>0.</w:t>
            </w:r>
            <w:r>
              <w:t>718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80D0CD" w14:textId="77777777" w:rsidR="00C24239" w:rsidRDefault="00C24239" w:rsidP="00FE201A">
            <w:r>
              <w:t>Substantial</w:t>
            </w:r>
          </w:p>
        </w:tc>
      </w:tr>
    </w:tbl>
    <w:p w14:paraId="4EC74C1B" w14:textId="77777777" w:rsidR="00C24239" w:rsidRDefault="00C24239" w:rsidP="00C24239">
      <w:pPr>
        <w:jc w:val="left"/>
        <w:rPr>
          <w:rFonts w:ascii="Times New Roman" w:hAnsi="Times New Roman" w:cs="Times New Roman"/>
          <w:sz w:val="20"/>
          <w:szCs w:val="20"/>
        </w:rPr>
      </w:pPr>
      <w:r w:rsidRPr="00EF719F">
        <w:rPr>
          <w:rFonts w:ascii="Times New Roman" w:hAnsi="Times New Roman" w:cs="Times New Roman"/>
          <w:sz w:val="20"/>
          <w:szCs w:val="20"/>
        </w:rPr>
        <w:t>The kappa (κ) test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was</w:t>
      </w:r>
      <w:r w:rsidRPr="00EF719F">
        <w:rPr>
          <w:rFonts w:ascii="Times New Roman" w:hAnsi="Times New Roman" w:cs="Times New Roman"/>
          <w:sz w:val="20"/>
          <w:szCs w:val="20"/>
        </w:rPr>
        <w:t xml:space="preserve"> used to determine inter-observer agreement. </w:t>
      </w:r>
      <w:r>
        <w:rPr>
          <w:rFonts w:ascii="Times New Roman" w:hAnsi="Times New Roman" w:cs="Times New Roman"/>
          <w:sz w:val="20"/>
          <w:szCs w:val="20"/>
        </w:rPr>
        <w:t xml:space="preserve">A κ value of </w:t>
      </w:r>
      <w:bookmarkStart w:id="0" w:name="_Hlk119317620"/>
      <w:r>
        <w:rPr>
          <w:rFonts w:ascii="Times New Roman" w:hAnsi="Times New Roman" w:cs="Times New Roman"/>
          <w:sz w:val="20"/>
          <w:szCs w:val="20"/>
        </w:rPr>
        <w:t>0.01–0.20 was interpreted as slight, 0.21–0.40 as fair, 0.41–0.60 as moderate, 0.61–0.80 as substantial, and 0.81–1.00 as excellent agreement.</w:t>
      </w:r>
    </w:p>
    <w:bookmarkEnd w:id="0"/>
    <w:p w14:paraId="3F5815E1" w14:textId="77777777" w:rsidR="00C24239" w:rsidRDefault="00C24239" w:rsidP="0019019E">
      <w:pPr>
        <w:jc w:val="left"/>
      </w:pPr>
    </w:p>
    <w:p w14:paraId="768EEBC2" w14:textId="77777777" w:rsidR="00C24239" w:rsidRDefault="00C24239" w:rsidP="0019019E">
      <w:pPr>
        <w:jc w:val="left"/>
      </w:pPr>
    </w:p>
    <w:p w14:paraId="4924B6FD" w14:textId="77777777" w:rsidR="00C24239" w:rsidRDefault="00C24239" w:rsidP="0019019E">
      <w:pPr>
        <w:jc w:val="left"/>
      </w:pPr>
    </w:p>
    <w:p w14:paraId="566743D0" w14:textId="77777777" w:rsidR="00C24239" w:rsidRDefault="00C24239" w:rsidP="0019019E">
      <w:pPr>
        <w:jc w:val="left"/>
      </w:pPr>
    </w:p>
    <w:p w14:paraId="12125C39" w14:textId="77777777" w:rsidR="00C24239" w:rsidRDefault="00C24239" w:rsidP="0019019E">
      <w:pPr>
        <w:jc w:val="left"/>
      </w:pPr>
    </w:p>
    <w:p w14:paraId="7E88D9E2" w14:textId="77777777" w:rsidR="00C24239" w:rsidRDefault="00C24239" w:rsidP="0019019E">
      <w:pPr>
        <w:jc w:val="left"/>
      </w:pPr>
    </w:p>
    <w:p w14:paraId="3ADF9075" w14:textId="77777777" w:rsidR="00C24239" w:rsidRDefault="00C24239" w:rsidP="0019019E">
      <w:pPr>
        <w:jc w:val="left"/>
      </w:pPr>
    </w:p>
    <w:p w14:paraId="2D9356A2" w14:textId="77777777" w:rsidR="00C24239" w:rsidRDefault="00C24239" w:rsidP="0019019E">
      <w:pPr>
        <w:jc w:val="left"/>
      </w:pPr>
    </w:p>
    <w:p w14:paraId="343FD616" w14:textId="77777777" w:rsidR="00C24239" w:rsidRDefault="00C24239" w:rsidP="0019019E">
      <w:pPr>
        <w:jc w:val="left"/>
      </w:pPr>
    </w:p>
    <w:p w14:paraId="2366796E" w14:textId="77777777" w:rsidR="00C24239" w:rsidRDefault="00C24239" w:rsidP="0019019E">
      <w:pPr>
        <w:jc w:val="left"/>
      </w:pPr>
    </w:p>
    <w:p w14:paraId="03AC8C2A" w14:textId="77777777" w:rsidR="00C24239" w:rsidRDefault="00C24239" w:rsidP="0019019E">
      <w:pPr>
        <w:jc w:val="left"/>
      </w:pPr>
    </w:p>
    <w:p w14:paraId="7D87C53B" w14:textId="77777777" w:rsidR="00C24239" w:rsidRDefault="00C24239" w:rsidP="0019019E">
      <w:pPr>
        <w:jc w:val="left"/>
      </w:pPr>
    </w:p>
    <w:p w14:paraId="77736219" w14:textId="77777777" w:rsidR="00C24239" w:rsidRDefault="00C24239" w:rsidP="0019019E">
      <w:pPr>
        <w:jc w:val="left"/>
      </w:pPr>
    </w:p>
    <w:p w14:paraId="038D3671" w14:textId="77777777" w:rsidR="00C24239" w:rsidRDefault="00C24239" w:rsidP="0019019E">
      <w:pPr>
        <w:jc w:val="left"/>
      </w:pPr>
    </w:p>
    <w:p w14:paraId="2D61073A" w14:textId="77777777" w:rsidR="00C24239" w:rsidRDefault="00C24239" w:rsidP="0019019E">
      <w:pPr>
        <w:jc w:val="left"/>
      </w:pPr>
    </w:p>
    <w:p w14:paraId="20E6BCAC" w14:textId="77777777" w:rsidR="00C24239" w:rsidRDefault="00C24239" w:rsidP="0019019E">
      <w:pPr>
        <w:jc w:val="left"/>
      </w:pPr>
    </w:p>
    <w:p w14:paraId="22B2220A" w14:textId="77777777" w:rsidR="00C24239" w:rsidRDefault="00C24239" w:rsidP="0019019E">
      <w:pPr>
        <w:jc w:val="left"/>
      </w:pPr>
    </w:p>
    <w:p w14:paraId="2A23F873" w14:textId="77777777" w:rsidR="00C24239" w:rsidRDefault="00C24239" w:rsidP="0019019E">
      <w:pPr>
        <w:jc w:val="left"/>
      </w:pPr>
    </w:p>
    <w:p w14:paraId="14B4840B" w14:textId="77777777" w:rsidR="00C24239" w:rsidRDefault="00C24239" w:rsidP="0019019E">
      <w:pPr>
        <w:jc w:val="left"/>
      </w:pPr>
    </w:p>
    <w:p w14:paraId="16AC0AC0" w14:textId="77777777" w:rsidR="00C24239" w:rsidRDefault="00C24239" w:rsidP="0019019E">
      <w:pPr>
        <w:jc w:val="left"/>
      </w:pPr>
    </w:p>
    <w:p w14:paraId="66AC5C16" w14:textId="77777777" w:rsidR="00C24239" w:rsidRPr="00C24239" w:rsidRDefault="00C24239" w:rsidP="0019019E">
      <w:pPr>
        <w:jc w:val="left"/>
      </w:pPr>
    </w:p>
    <w:p w14:paraId="7B7D51CF" w14:textId="7A5144A6" w:rsidR="0019019E" w:rsidRPr="00C95FBC" w:rsidRDefault="0062049A" w:rsidP="0019019E">
      <w:pPr>
        <w:jc w:val="left"/>
        <w:rPr>
          <w:color w:val="FF0000"/>
        </w:rPr>
      </w:pPr>
      <w:r w:rsidRPr="0062049A">
        <w:rPr>
          <w:noProof/>
          <w:color w:val="FF0000"/>
        </w:rPr>
        <w:drawing>
          <wp:inline distT="0" distB="0" distL="0" distR="0" wp14:anchorId="1AC38D04" wp14:editId="18790A23">
            <wp:extent cx="5274310" cy="3246120"/>
            <wp:effectExtent l="0" t="0" r="2540" b="0"/>
            <wp:docPr id="13621220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220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3DAC" w14:textId="3365BDED" w:rsidR="00861755" w:rsidRPr="006D5E54" w:rsidRDefault="00BE441B" w:rsidP="0019019E">
      <w:pPr>
        <w:jc w:val="left"/>
      </w:pPr>
      <w:bookmarkStart w:id="1" w:name="_Hlk146630503"/>
      <w:r w:rsidRPr="006D5E54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C57B1B" w:rsidRPr="006D5E54">
        <w:rPr>
          <w:rFonts w:ascii="Times New Roman" w:hAnsi="Times New Roman" w:cs="Times New Roman"/>
          <w:b/>
          <w:bCs/>
          <w:sz w:val="24"/>
        </w:rPr>
        <w:t xml:space="preserve">Fig. </w:t>
      </w:r>
      <w:r w:rsidR="007B3D00" w:rsidRPr="006D5E54">
        <w:rPr>
          <w:rFonts w:ascii="Times New Roman" w:hAnsi="Times New Roman" w:cs="Times New Roman"/>
          <w:b/>
          <w:bCs/>
          <w:sz w:val="24"/>
        </w:rPr>
        <w:t>1</w:t>
      </w:r>
      <w:bookmarkEnd w:id="1"/>
      <w:r w:rsidR="00432398" w:rsidRPr="006D5E54">
        <w:rPr>
          <w:rFonts w:ascii="Times New Roman" w:hAnsi="Times New Roman" w:cs="Times New Roman"/>
          <w:b/>
          <w:bCs/>
          <w:sz w:val="24"/>
        </w:rPr>
        <w:t xml:space="preserve"> </w:t>
      </w:r>
      <w:r w:rsidR="00432398" w:rsidRPr="006D5E54">
        <w:rPr>
          <w:rFonts w:ascii="Times New Roman" w:hAnsi="Times New Roman" w:cs="Times New Roman"/>
          <w:sz w:val="24"/>
        </w:rPr>
        <w:t xml:space="preserve">Typical thin rim and thick rim APHE in </w:t>
      </w:r>
      <w:r w:rsidR="00432398" w:rsidRPr="006D5E54">
        <w:rPr>
          <w:rFonts w:ascii="Times New Roman" w:hAnsi="Times New Roman" w:cs="Times New Roman" w:hint="eastAsia"/>
          <w:sz w:val="24"/>
        </w:rPr>
        <w:t>different</w:t>
      </w:r>
      <w:r w:rsidR="00432398" w:rsidRPr="006D5E54">
        <w:rPr>
          <w:rFonts w:ascii="Times New Roman" w:hAnsi="Times New Roman" w:cs="Times New Roman"/>
          <w:sz w:val="24"/>
        </w:rPr>
        <w:t xml:space="preserve"> </w:t>
      </w:r>
      <w:r w:rsidR="00432398" w:rsidRPr="006D5E54">
        <w:rPr>
          <w:rFonts w:ascii="Times New Roman" w:hAnsi="Times New Roman" w:cs="Times New Roman" w:hint="eastAsia"/>
          <w:sz w:val="24"/>
        </w:rPr>
        <w:t>cases.</w:t>
      </w:r>
      <w:r w:rsidR="00432398" w:rsidRPr="006D5E54">
        <w:rPr>
          <w:rFonts w:ascii="Times New Roman" w:hAnsi="Times New Roman" w:cs="Times New Roman"/>
          <w:sz w:val="24"/>
        </w:rPr>
        <w:t xml:space="preserve"> </w:t>
      </w:r>
    </w:p>
    <w:p w14:paraId="281227DB" w14:textId="77777777" w:rsidR="00C57B1B" w:rsidRPr="006D5E54" w:rsidRDefault="00C57B1B" w:rsidP="00C57B1B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bookmarkStart w:id="2" w:name="_Hlk142746489"/>
      <w:r w:rsidRPr="006D5E54">
        <w:rPr>
          <w:rFonts w:ascii="Times New Roman" w:eastAsia="微软雅黑" w:hAnsi="Times New Roman" w:cs="Times New Roman"/>
          <w:sz w:val="24"/>
          <w:szCs w:val="24"/>
        </w:rPr>
        <w:t xml:space="preserve">a-c. The axial arterial phase images from three non-HCC malignancy cases showed thin-rim APHE; </w:t>
      </w:r>
    </w:p>
    <w:p w14:paraId="5B8FC2B1" w14:textId="77777777" w:rsidR="00C57B1B" w:rsidRPr="006D5E54" w:rsidRDefault="00C57B1B" w:rsidP="00C57B1B">
      <w:pPr>
        <w:spacing w:line="360" w:lineRule="auto"/>
        <w:rPr>
          <w:rFonts w:ascii="Times New Roman" w:eastAsia="微软雅黑" w:hAnsi="Times New Roman" w:cs="Times New Roman"/>
          <w:sz w:val="24"/>
          <w:szCs w:val="24"/>
        </w:rPr>
      </w:pPr>
      <w:r w:rsidRPr="006D5E54">
        <w:rPr>
          <w:rFonts w:ascii="Times New Roman" w:eastAsia="微软雅黑" w:hAnsi="Times New Roman" w:cs="Times New Roman"/>
          <w:sz w:val="24"/>
          <w:szCs w:val="24"/>
        </w:rPr>
        <w:t>d-f. The axial arterial phase images from three HCC cases presented thick-rim APHE.</w:t>
      </w:r>
      <w:bookmarkEnd w:id="2"/>
    </w:p>
    <w:p w14:paraId="6088DE1A" w14:textId="7DBD71B8" w:rsidR="00861755" w:rsidRPr="00C57B1B" w:rsidRDefault="00861755" w:rsidP="0019019E">
      <w:pPr>
        <w:jc w:val="left"/>
      </w:pPr>
    </w:p>
    <w:p w14:paraId="67C09DB9" w14:textId="636FA20A" w:rsidR="00861755" w:rsidRDefault="00861755" w:rsidP="0019019E">
      <w:pPr>
        <w:jc w:val="left"/>
      </w:pPr>
    </w:p>
    <w:p w14:paraId="4CA83FAF" w14:textId="6DA0058C" w:rsidR="00861755" w:rsidRDefault="00861755" w:rsidP="0019019E">
      <w:pPr>
        <w:jc w:val="left"/>
      </w:pPr>
    </w:p>
    <w:p w14:paraId="2F01B80F" w14:textId="6FFED603" w:rsidR="00861755" w:rsidRDefault="00861755" w:rsidP="0019019E">
      <w:pPr>
        <w:jc w:val="left"/>
      </w:pPr>
    </w:p>
    <w:p w14:paraId="1E6524A2" w14:textId="293B11ED" w:rsidR="00861755" w:rsidRDefault="00861755" w:rsidP="0019019E">
      <w:pPr>
        <w:jc w:val="left"/>
      </w:pPr>
    </w:p>
    <w:p w14:paraId="5A2B77FB" w14:textId="50A6AB94" w:rsidR="00861755" w:rsidRDefault="00861755" w:rsidP="0019019E">
      <w:pPr>
        <w:jc w:val="left"/>
      </w:pPr>
    </w:p>
    <w:p w14:paraId="25112CFA" w14:textId="1EF72EFD" w:rsidR="00861755" w:rsidRDefault="00861755" w:rsidP="0019019E">
      <w:pPr>
        <w:jc w:val="left"/>
      </w:pPr>
    </w:p>
    <w:p w14:paraId="565CED8E" w14:textId="77777777" w:rsidR="00BF557D" w:rsidRPr="00BF557D" w:rsidRDefault="00BF557D" w:rsidP="00BF557D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Microsoft YaHei UI" w:hAnsi="Times New Roman" w:cs="Times New Roman"/>
          <w:spacing w:val="8"/>
          <w:sz w:val="26"/>
          <w:szCs w:val="26"/>
        </w:rPr>
      </w:pPr>
    </w:p>
    <w:p w14:paraId="7AE32CEA" w14:textId="77777777" w:rsidR="00A93A70" w:rsidRDefault="00A93A70"/>
    <w:p w14:paraId="625DB30E" w14:textId="77777777" w:rsidR="006D03FA" w:rsidRDefault="006D03FA"/>
    <w:p w14:paraId="2033E8E3" w14:textId="77777777" w:rsidR="006D03FA" w:rsidRDefault="006D03FA"/>
    <w:p w14:paraId="22365A5B" w14:textId="77777777" w:rsidR="006D03FA" w:rsidRDefault="006D03FA"/>
    <w:p w14:paraId="02EDF1E9" w14:textId="77777777" w:rsidR="006D03FA" w:rsidRDefault="006D03FA"/>
    <w:p w14:paraId="5212C723" w14:textId="77777777" w:rsidR="006D03FA" w:rsidRDefault="006D03FA"/>
    <w:p w14:paraId="66361888" w14:textId="77777777" w:rsidR="006D03FA" w:rsidRDefault="006D03FA"/>
    <w:p w14:paraId="02121067" w14:textId="77777777" w:rsidR="006D03FA" w:rsidRDefault="006D03FA"/>
    <w:p w14:paraId="049DAD76" w14:textId="77777777" w:rsidR="006D03FA" w:rsidRDefault="006D03FA"/>
    <w:p w14:paraId="113E0B4B" w14:textId="77777777" w:rsidR="006D03FA" w:rsidRDefault="006D03FA"/>
    <w:p w14:paraId="0CE322CC" w14:textId="77777777" w:rsidR="006D03FA" w:rsidRDefault="006D03FA"/>
    <w:p w14:paraId="12F08A83" w14:textId="77777777" w:rsidR="006D03FA" w:rsidRDefault="006D03FA"/>
    <w:p w14:paraId="2DDCDC55" w14:textId="77777777" w:rsidR="006D03FA" w:rsidRDefault="006D03FA"/>
    <w:p w14:paraId="7F08CAC2" w14:textId="77777777" w:rsidR="00F3276E" w:rsidRDefault="00F3276E" w:rsidP="00F3276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58838936"/>
      <w:r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upplement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 for the LI-RADS</w:t>
      </w:r>
    </w:p>
    <w:p w14:paraId="0F5761F3" w14:textId="77777777" w:rsidR="00F3276E" w:rsidRDefault="00F3276E" w:rsidP="00F327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C42A3">
        <w:rPr>
          <w:rFonts w:ascii="Times New Roman" w:hAnsi="Times New Roman" w:cs="Times New Roman"/>
          <w:sz w:val="24"/>
          <w:szCs w:val="24"/>
        </w:rPr>
        <w:t xml:space="preserve">LI-RADS (Liver Imaging Reporting and Data System) is a system that provides interpretation and reporting guidelines for CT and MRI scans of patients at high risk for </w:t>
      </w:r>
      <w:r>
        <w:rPr>
          <w:rFonts w:ascii="Times New Roman" w:hAnsi="Times New Roman" w:cs="Times New Roman"/>
          <w:sz w:val="24"/>
          <w:szCs w:val="24"/>
        </w:rPr>
        <w:t>HCC. Among these,</w:t>
      </w:r>
      <w:r w:rsidRPr="00F91074">
        <w:t xml:space="preserve"> </w:t>
      </w:r>
      <w:r>
        <w:rPr>
          <w:rFonts w:ascii="Times New Roman" w:hAnsi="Times New Roman" w:cs="Times New Roman"/>
          <w:sz w:val="24"/>
          <w:szCs w:val="24"/>
        </w:rPr>
        <w:t>LI-RADS</w:t>
      </w:r>
      <w:r w:rsidRPr="003B532A">
        <w:rPr>
          <w:rFonts w:ascii="Times New Roman" w:hAnsi="Times New Roman" w:cs="Times New Roman"/>
          <w:sz w:val="24"/>
          <w:szCs w:val="24"/>
        </w:rPr>
        <w:t xml:space="preserve"> 5 indicates 100% certainty of HCC. </w:t>
      </w:r>
      <w:r>
        <w:rPr>
          <w:rFonts w:ascii="Times New Roman" w:hAnsi="Times New Roman" w:cs="Times New Roman"/>
          <w:sz w:val="24"/>
          <w:szCs w:val="24"/>
        </w:rPr>
        <w:t>LI-RADS</w:t>
      </w:r>
      <w:r w:rsidRPr="003B532A">
        <w:rPr>
          <w:rFonts w:ascii="Times New Roman" w:hAnsi="Times New Roman" w:cs="Times New Roman"/>
          <w:sz w:val="24"/>
          <w:szCs w:val="24"/>
        </w:rPr>
        <w:t xml:space="preserve"> M indicates high certainty of malignancy but the features are not specific for HCC.</w:t>
      </w:r>
      <w:r w:rsidRPr="00F91074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ese</w:t>
      </w:r>
      <w:r w:rsidRPr="00F91074">
        <w:rPr>
          <w:rFonts w:ascii="Times New Roman" w:hAnsi="Times New Roman" w:cs="Times New Roman"/>
          <w:sz w:val="24"/>
          <w:szCs w:val="24"/>
        </w:rPr>
        <w:t xml:space="preserve"> level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91074">
        <w:rPr>
          <w:rFonts w:ascii="Times New Roman" w:hAnsi="Times New Roman" w:cs="Times New Roman"/>
          <w:sz w:val="24"/>
          <w:szCs w:val="24"/>
        </w:rPr>
        <w:t xml:space="preserve"> of classification indicate that further treatment and management measures may be necessary. It is important to note that the LI-RADS classification is based on imaging findings, and a pathological examination (such as a biopsy) is still required for a definitive diagnosis of liver cancer.</w:t>
      </w:r>
    </w:p>
    <w:p w14:paraId="2655694B" w14:textId="77777777" w:rsidR="00F3276E" w:rsidRDefault="00F3276E" w:rsidP="00F3276E">
      <w:pPr>
        <w:pStyle w:val="1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differences between LI-RADS 3-5 were showed with below Figure which was cited from the LI-RADS v2018.</w:t>
      </w:r>
    </w:p>
    <w:p w14:paraId="35B516B2" w14:textId="77777777" w:rsidR="00F3276E" w:rsidRPr="00D7203F" w:rsidRDefault="00F3276E" w:rsidP="00F327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F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EBD9BB" wp14:editId="7E0C8351">
            <wp:extent cx="5274310" cy="2411095"/>
            <wp:effectExtent l="0" t="0" r="2540" b="8255"/>
            <wp:docPr id="1483558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580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8A32" w14:textId="77777777" w:rsidR="00F3276E" w:rsidRDefault="00F3276E" w:rsidP="00F3276E"/>
    <w:p w14:paraId="5B47171A" w14:textId="77777777" w:rsidR="00B92F36" w:rsidRDefault="00B92F36" w:rsidP="00F3276E"/>
    <w:p w14:paraId="102E16FF" w14:textId="77777777" w:rsidR="00B92F36" w:rsidRDefault="00B92F36" w:rsidP="00F3276E"/>
    <w:p w14:paraId="720CB980" w14:textId="77777777" w:rsidR="00B92F36" w:rsidRDefault="00B92F36" w:rsidP="00F3276E"/>
    <w:p w14:paraId="1C105F28" w14:textId="77777777" w:rsidR="00B92F36" w:rsidRDefault="00B92F36" w:rsidP="00F3276E"/>
    <w:p w14:paraId="72433C6C" w14:textId="77777777" w:rsidR="00B92F36" w:rsidRDefault="00B92F36" w:rsidP="00F3276E"/>
    <w:p w14:paraId="3448C5F4" w14:textId="77777777" w:rsidR="00B92F36" w:rsidRDefault="00B92F36" w:rsidP="00F3276E"/>
    <w:p w14:paraId="6AE278C4" w14:textId="77777777" w:rsidR="00B92F36" w:rsidRDefault="00B92F36" w:rsidP="00F3276E"/>
    <w:p w14:paraId="69D1CEF0" w14:textId="77777777" w:rsidR="00B92F36" w:rsidRDefault="00B92F36" w:rsidP="00F3276E"/>
    <w:p w14:paraId="0A4A38CC" w14:textId="77777777" w:rsidR="00B92F36" w:rsidRDefault="00B92F36" w:rsidP="00F3276E"/>
    <w:p w14:paraId="1345B780" w14:textId="765401E0" w:rsidR="00B92F36" w:rsidRPr="00B92F36" w:rsidRDefault="00B92F36" w:rsidP="00B92F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2F36">
        <w:rPr>
          <w:rFonts w:ascii="Times New Roman" w:hAnsi="Times New Roman" w:cs="Times New Roman" w:hint="eastAsia"/>
          <w:sz w:val="24"/>
          <w:szCs w:val="24"/>
        </w:rPr>
        <w:t>T</w:t>
      </w:r>
      <w:r w:rsidRPr="00B92F36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conventional</w:t>
      </w:r>
      <w:r w:rsidRPr="001B3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criteria of the LI-RADS M </w:t>
      </w:r>
      <w:r w:rsidR="000153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shown in the following table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54"/>
      </w:tblGrid>
      <w:tr w:rsidR="00B92F36" w14:paraId="7296F1CB" w14:textId="77777777" w:rsidTr="00CE05C9">
        <w:tc>
          <w:tcPr>
            <w:tcW w:w="2263" w:type="dxa"/>
            <w:tcBorders>
              <w:top w:val="single" w:sz="8" w:space="0" w:color="auto"/>
              <w:bottom w:val="single" w:sz="6" w:space="0" w:color="auto"/>
            </w:tcBorders>
          </w:tcPr>
          <w:p w14:paraId="749D6FC8" w14:textId="77777777" w:rsidR="00B92F36" w:rsidRDefault="00B92F36" w:rsidP="00576420">
            <w:pPr>
              <w:jc w:val="center"/>
            </w:pPr>
            <w:r>
              <w:rPr>
                <w:rFonts w:hint="eastAsia"/>
              </w:rPr>
              <w:t>T</w:t>
            </w:r>
            <w:r>
              <w:t>argetoid features</w:t>
            </w:r>
          </w:p>
        </w:tc>
        <w:tc>
          <w:tcPr>
            <w:tcW w:w="5954" w:type="dxa"/>
            <w:tcBorders>
              <w:top w:val="single" w:sz="8" w:space="0" w:color="auto"/>
              <w:bottom w:val="single" w:sz="6" w:space="0" w:color="auto"/>
            </w:tcBorders>
          </w:tcPr>
          <w:p w14:paraId="56D63408" w14:textId="2CA29F64" w:rsidR="00B92F36" w:rsidRDefault="00B92F36" w:rsidP="00576420">
            <w:pPr>
              <w:jc w:val="center"/>
            </w:pPr>
            <w:r>
              <w:rPr>
                <w:rFonts w:hint="eastAsia"/>
              </w:rPr>
              <w:t>I</w:t>
            </w:r>
            <w:r>
              <w:t>maging appe</w:t>
            </w:r>
            <w:r w:rsidR="00E9360D">
              <w:t>a</w:t>
            </w:r>
            <w:r>
              <w:t>rance</w:t>
            </w:r>
          </w:p>
        </w:tc>
      </w:tr>
      <w:tr w:rsidR="00B92F36" w14:paraId="24977ACD" w14:textId="77777777" w:rsidTr="00CE05C9">
        <w:tc>
          <w:tcPr>
            <w:tcW w:w="2263" w:type="dxa"/>
            <w:tcBorders>
              <w:top w:val="single" w:sz="6" w:space="0" w:color="auto"/>
            </w:tcBorders>
          </w:tcPr>
          <w:p w14:paraId="23C6DF40" w14:textId="77777777" w:rsidR="00B92F36" w:rsidRDefault="00B92F36" w:rsidP="00576420">
            <w:pPr>
              <w:jc w:val="center"/>
            </w:pPr>
            <w:r w:rsidRPr="00B92F36">
              <w:t>Rim APHE</w:t>
            </w:r>
          </w:p>
        </w:tc>
        <w:tc>
          <w:tcPr>
            <w:tcW w:w="5954" w:type="dxa"/>
            <w:tcBorders>
              <w:top w:val="single" w:sz="6" w:space="0" w:color="auto"/>
            </w:tcBorders>
          </w:tcPr>
          <w:p w14:paraId="0ECE8A2C" w14:textId="3B105CE2" w:rsidR="00B92F36" w:rsidRDefault="00B92F36" w:rsidP="00E9360D">
            <w:r w:rsidRPr="00B92F36">
              <w:t>Spatially defined subtype of APHE in which arterial phase enhancement is most pronounced in observation periphery</w:t>
            </w:r>
          </w:p>
        </w:tc>
      </w:tr>
      <w:tr w:rsidR="00B92F36" w14:paraId="65F852FF" w14:textId="77777777" w:rsidTr="00CE05C9">
        <w:tc>
          <w:tcPr>
            <w:tcW w:w="2263" w:type="dxa"/>
          </w:tcPr>
          <w:p w14:paraId="624EC284" w14:textId="77777777" w:rsidR="00B92F36" w:rsidRDefault="00B92F36" w:rsidP="00576420">
            <w:pPr>
              <w:jc w:val="center"/>
            </w:pPr>
            <w:r w:rsidRPr="00B92F36">
              <w:t>Peripheral</w:t>
            </w:r>
            <w:r>
              <w:t xml:space="preserve"> </w:t>
            </w:r>
            <w:r w:rsidRPr="00B92F36">
              <w:t>washout</w:t>
            </w:r>
          </w:p>
        </w:tc>
        <w:tc>
          <w:tcPr>
            <w:tcW w:w="5954" w:type="dxa"/>
          </w:tcPr>
          <w:p w14:paraId="02893D10" w14:textId="77777777" w:rsidR="00B92F36" w:rsidRDefault="00B92F36" w:rsidP="00CE05C9">
            <w:r>
              <w:t>Spatially defined subtype of “washout” in which apparent washout is most pronounced in observation periphery</w:t>
            </w:r>
          </w:p>
        </w:tc>
      </w:tr>
      <w:tr w:rsidR="00B92F36" w14:paraId="45BAAC90" w14:textId="77777777" w:rsidTr="00CE05C9">
        <w:tc>
          <w:tcPr>
            <w:tcW w:w="2263" w:type="dxa"/>
          </w:tcPr>
          <w:p w14:paraId="0294E5B9" w14:textId="3B9A86AA" w:rsidR="00B92F36" w:rsidRDefault="00B92F36" w:rsidP="00576420">
            <w:pPr>
              <w:jc w:val="center"/>
            </w:pPr>
            <w:r>
              <w:t>Dela</w:t>
            </w:r>
            <w:r>
              <w:t>ye</w:t>
            </w:r>
            <w:r w:rsidR="00576420">
              <w:rPr>
                <w:rFonts w:hint="eastAsia"/>
              </w:rPr>
              <w:t>d</w:t>
            </w:r>
            <w:r w:rsidR="00576420">
              <w:t xml:space="preserve"> </w:t>
            </w:r>
            <w:r>
              <w:t>cen</w:t>
            </w:r>
            <w:r>
              <w:t>tral enhancement</w:t>
            </w:r>
          </w:p>
        </w:tc>
        <w:tc>
          <w:tcPr>
            <w:tcW w:w="5954" w:type="dxa"/>
          </w:tcPr>
          <w:p w14:paraId="253D8F99" w14:textId="77777777" w:rsidR="00B92F36" w:rsidRDefault="00B92F36" w:rsidP="00CE05C9">
            <w:r>
              <w:t xml:space="preserve">Central area of progressive </w:t>
            </w:r>
            <w:proofErr w:type="spellStart"/>
            <w:r>
              <w:t>postarterial</w:t>
            </w:r>
            <w:proofErr w:type="spellEnd"/>
            <w:r>
              <w:t xml:space="preserve"> phase enhancement</w:t>
            </w:r>
          </w:p>
        </w:tc>
      </w:tr>
      <w:tr w:rsidR="00B92F36" w14:paraId="27C646A2" w14:textId="77777777" w:rsidTr="00CE05C9">
        <w:tc>
          <w:tcPr>
            <w:tcW w:w="2263" w:type="dxa"/>
          </w:tcPr>
          <w:p w14:paraId="257AE1D6" w14:textId="77777777" w:rsidR="00B92F36" w:rsidRDefault="00B92F36" w:rsidP="00CE05C9">
            <w:r>
              <w:t>Targetoid restriction</w:t>
            </w:r>
          </w:p>
        </w:tc>
        <w:tc>
          <w:tcPr>
            <w:tcW w:w="5954" w:type="dxa"/>
          </w:tcPr>
          <w:p w14:paraId="76369A31" w14:textId="77777777" w:rsidR="00B92F36" w:rsidRDefault="00B92F36" w:rsidP="00CE05C9">
            <w:r>
              <w:t>Concentric pattern on DWI characterized by restricted diffusion in observation periphery with less restricted diffusion in observation center</w:t>
            </w:r>
          </w:p>
        </w:tc>
      </w:tr>
      <w:tr w:rsidR="00B92F36" w14:paraId="59D3306D" w14:textId="77777777" w:rsidTr="00CE05C9">
        <w:tc>
          <w:tcPr>
            <w:tcW w:w="2263" w:type="dxa"/>
          </w:tcPr>
          <w:p w14:paraId="7C908000" w14:textId="77777777" w:rsidR="00B92F36" w:rsidRDefault="00B92F36" w:rsidP="00576420">
            <w:pPr>
              <w:jc w:val="center"/>
            </w:pPr>
            <w:r>
              <w:t>Targetoid TP or HBP appearance</w:t>
            </w:r>
          </w:p>
        </w:tc>
        <w:tc>
          <w:tcPr>
            <w:tcW w:w="5954" w:type="dxa"/>
          </w:tcPr>
          <w:p w14:paraId="4E8B8752" w14:textId="77777777" w:rsidR="00B92F36" w:rsidRDefault="00B92F36" w:rsidP="00CE05C9">
            <w:r>
              <w:t xml:space="preserve">Concentric pattern in TP or HBP characterized by moderate-to-marked </w:t>
            </w:r>
            <w:proofErr w:type="spellStart"/>
            <w:r>
              <w:t>hypointensity</w:t>
            </w:r>
            <w:proofErr w:type="spellEnd"/>
            <w:r>
              <w:t xml:space="preserve"> in observation periphery with milder </w:t>
            </w:r>
            <w:proofErr w:type="spellStart"/>
            <w:r>
              <w:t>hypointensity</w:t>
            </w:r>
            <w:proofErr w:type="spellEnd"/>
            <w:r>
              <w:t xml:space="preserve"> in center</w:t>
            </w:r>
          </w:p>
        </w:tc>
      </w:tr>
    </w:tbl>
    <w:p w14:paraId="16B92946" w14:textId="77777777" w:rsidR="00F3276E" w:rsidRPr="00B92F36" w:rsidRDefault="00F3276E" w:rsidP="00F3276E"/>
    <w:p w14:paraId="587126D7" w14:textId="77777777" w:rsidR="00F3276E" w:rsidRDefault="00F3276E" w:rsidP="00F3276E"/>
    <w:p w14:paraId="129B6D08" w14:textId="77777777" w:rsidR="006D03FA" w:rsidRDefault="006D03FA"/>
    <w:p w14:paraId="2D0A2D12" w14:textId="77777777" w:rsidR="006D03FA" w:rsidRDefault="006D03FA"/>
    <w:p w14:paraId="2DB4BA78" w14:textId="77777777" w:rsidR="006D03FA" w:rsidRDefault="006D03FA"/>
    <w:p w14:paraId="1D38753E" w14:textId="77777777" w:rsidR="006D03FA" w:rsidRDefault="006D03FA"/>
    <w:p w14:paraId="231F15E5" w14:textId="77777777" w:rsidR="006D03FA" w:rsidRDefault="006D03FA"/>
    <w:p w14:paraId="292846DC" w14:textId="77777777" w:rsidR="006D03FA" w:rsidRDefault="006D03FA"/>
    <w:p w14:paraId="0CEB7B7B" w14:textId="77777777" w:rsidR="006D03FA" w:rsidRDefault="006D03FA"/>
    <w:p w14:paraId="5B84FC82" w14:textId="77777777" w:rsidR="006D03FA" w:rsidRPr="00BF557D" w:rsidRDefault="006D03FA"/>
    <w:sectPr w:rsidR="006D03FA" w:rsidRPr="00BF5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AA7E" w14:textId="77777777" w:rsidR="0075024C" w:rsidRDefault="0075024C" w:rsidP="008B4E4C">
      <w:r>
        <w:separator/>
      </w:r>
    </w:p>
  </w:endnote>
  <w:endnote w:type="continuationSeparator" w:id="0">
    <w:p w14:paraId="6B0B21FB" w14:textId="77777777" w:rsidR="0075024C" w:rsidRDefault="0075024C" w:rsidP="008B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12A72" w14:textId="77777777" w:rsidR="0075024C" w:rsidRDefault="0075024C" w:rsidP="008B4E4C">
      <w:r>
        <w:separator/>
      </w:r>
    </w:p>
  </w:footnote>
  <w:footnote w:type="continuationSeparator" w:id="0">
    <w:p w14:paraId="7A45BAC9" w14:textId="77777777" w:rsidR="0075024C" w:rsidRDefault="0075024C" w:rsidP="008B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AD"/>
    <w:rsid w:val="00015366"/>
    <w:rsid w:val="0019019E"/>
    <w:rsid w:val="0028237B"/>
    <w:rsid w:val="00353B24"/>
    <w:rsid w:val="003B532A"/>
    <w:rsid w:val="003C0960"/>
    <w:rsid w:val="003C6DC5"/>
    <w:rsid w:val="003C7FE3"/>
    <w:rsid w:val="003E25AD"/>
    <w:rsid w:val="003E7236"/>
    <w:rsid w:val="003F7968"/>
    <w:rsid w:val="00415FE0"/>
    <w:rsid w:val="00432398"/>
    <w:rsid w:val="0043418D"/>
    <w:rsid w:val="00434C06"/>
    <w:rsid w:val="004940EE"/>
    <w:rsid w:val="004C319F"/>
    <w:rsid w:val="005140A8"/>
    <w:rsid w:val="00566656"/>
    <w:rsid w:val="00576420"/>
    <w:rsid w:val="0059745B"/>
    <w:rsid w:val="005D635A"/>
    <w:rsid w:val="00614C28"/>
    <w:rsid w:val="0062049A"/>
    <w:rsid w:val="00625B8B"/>
    <w:rsid w:val="006D03FA"/>
    <w:rsid w:val="006D5E54"/>
    <w:rsid w:val="0075024C"/>
    <w:rsid w:val="007B3D00"/>
    <w:rsid w:val="007C1457"/>
    <w:rsid w:val="00845649"/>
    <w:rsid w:val="00861755"/>
    <w:rsid w:val="0089204E"/>
    <w:rsid w:val="008B4E4C"/>
    <w:rsid w:val="008E1A6F"/>
    <w:rsid w:val="00973108"/>
    <w:rsid w:val="00973DB7"/>
    <w:rsid w:val="00A104FD"/>
    <w:rsid w:val="00A73D24"/>
    <w:rsid w:val="00A93A70"/>
    <w:rsid w:val="00B130FF"/>
    <w:rsid w:val="00B17DD5"/>
    <w:rsid w:val="00B24ABB"/>
    <w:rsid w:val="00B37B63"/>
    <w:rsid w:val="00B67F57"/>
    <w:rsid w:val="00B86B29"/>
    <w:rsid w:val="00B92F36"/>
    <w:rsid w:val="00BC451D"/>
    <w:rsid w:val="00BE441B"/>
    <w:rsid w:val="00BF557D"/>
    <w:rsid w:val="00C24239"/>
    <w:rsid w:val="00C57B1B"/>
    <w:rsid w:val="00C70930"/>
    <w:rsid w:val="00C91192"/>
    <w:rsid w:val="00C93439"/>
    <w:rsid w:val="00C95FBC"/>
    <w:rsid w:val="00CD304F"/>
    <w:rsid w:val="00CE044A"/>
    <w:rsid w:val="00D7203F"/>
    <w:rsid w:val="00D93A10"/>
    <w:rsid w:val="00DA198E"/>
    <w:rsid w:val="00E9360D"/>
    <w:rsid w:val="00ED0A39"/>
    <w:rsid w:val="00EF1E62"/>
    <w:rsid w:val="00F3276E"/>
    <w:rsid w:val="00F71891"/>
    <w:rsid w:val="00FC1C0E"/>
    <w:rsid w:val="00FC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5CFE0"/>
  <w15:chartTrackingRefBased/>
  <w15:docId w15:val="{2B193B7B-86C5-4C3E-B918-C726AFFB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E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E4C"/>
    <w:rPr>
      <w:sz w:val="18"/>
      <w:szCs w:val="18"/>
    </w:rPr>
  </w:style>
  <w:style w:type="table" w:styleId="a7">
    <w:name w:val="Table Grid"/>
    <w:basedOn w:val="a1"/>
    <w:qFormat/>
    <w:rsid w:val="001901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F5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rsid w:val="00D7203F"/>
    <w:pPr>
      <w:ind w:firstLineChars="200" w:firstLine="420"/>
    </w:pPr>
    <w:rPr>
      <w:rFonts w:ascii="等线" w:eastAsia="等线" w:hAnsi="等线" w:cs="宋体"/>
      <w:szCs w:val="21"/>
    </w:rPr>
  </w:style>
  <w:style w:type="paragraph" w:styleId="a9">
    <w:name w:val="Revision"/>
    <w:hidden/>
    <w:uiPriority w:val="99"/>
    <w:semiHidden/>
    <w:rsid w:val="00F3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润倩</dc:creator>
  <cp:keywords/>
  <dc:description/>
  <cp:lastModifiedBy>润倩 黄</cp:lastModifiedBy>
  <cp:revision>74</cp:revision>
  <dcterms:created xsi:type="dcterms:W3CDTF">2023-03-10T13:34:00Z</dcterms:created>
  <dcterms:modified xsi:type="dcterms:W3CDTF">2024-02-15T13:12:00Z</dcterms:modified>
</cp:coreProperties>
</file>