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56A4B" w14:textId="6829B30D" w:rsidR="00FF0863" w:rsidRPr="001F40A6" w:rsidRDefault="00FF0863" w:rsidP="00FF0863">
      <w:pPr>
        <w:autoSpaceDE w:val="0"/>
        <w:autoSpaceDN w:val="0"/>
        <w:adjustRightInd w:val="0"/>
        <w:spacing w:line="480" w:lineRule="auto"/>
        <w:rPr>
          <w:rFonts w:asciiTheme="majorBidi" w:eastAsiaTheme="minorHAnsi" w:hAnsiTheme="majorBidi" w:cstheme="majorBidi"/>
          <w:b/>
          <w:bCs/>
          <w:color w:val="000000"/>
          <w:lang w:val="en-US" w:eastAsia="en-US"/>
        </w:rPr>
      </w:pPr>
      <w:r w:rsidRPr="001F40A6">
        <w:rPr>
          <w:rFonts w:asciiTheme="majorBidi" w:eastAsiaTheme="minorHAnsi" w:hAnsiTheme="majorBidi" w:cstheme="majorBidi"/>
          <w:b/>
          <w:bCs/>
          <w:color w:val="000000"/>
          <w:lang w:val="en-US" w:eastAsia="en-US"/>
        </w:rPr>
        <w:t>Online Supplementary Data</w:t>
      </w:r>
    </w:p>
    <w:p w14:paraId="22C6E732" w14:textId="77777777" w:rsidR="00C240BE" w:rsidRPr="001F40A6" w:rsidRDefault="00C240BE" w:rsidP="00FF0863">
      <w:pPr>
        <w:autoSpaceDE w:val="0"/>
        <w:autoSpaceDN w:val="0"/>
        <w:adjustRightInd w:val="0"/>
        <w:spacing w:line="480" w:lineRule="auto"/>
        <w:rPr>
          <w:rFonts w:asciiTheme="majorBidi" w:eastAsiaTheme="minorHAnsi" w:hAnsiTheme="majorBidi" w:cstheme="majorBidi"/>
          <w:b/>
          <w:bCs/>
          <w:color w:val="000000"/>
          <w:lang w:val="en-US" w:eastAsia="en-US"/>
        </w:rPr>
      </w:pPr>
    </w:p>
    <w:p w14:paraId="203B91E5" w14:textId="77777777" w:rsidR="00FF0863" w:rsidRPr="001F40A6" w:rsidRDefault="00FF0863" w:rsidP="00FF08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ajorBidi" w:eastAsiaTheme="minorHAnsi" w:hAnsiTheme="majorBidi" w:cstheme="majorBidi"/>
          <w:b/>
          <w:color w:val="000000"/>
          <w:lang w:val="en-US" w:eastAsia="en-US"/>
        </w:rPr>
      </w:pPr>
      <w:r w:rsidRPr="001F40A6">
        <w:rPr>
          <w:rFonts w:asciiTheme="majorBidi" w:eastAsiaTheme="minorHAnsi" w:hAnsiTheme="majorBidi" w:cstheme="majorBidi"/>
          <w:b/>
          <w:color w:val="000000"/>
          <w:lang w:val="en-US" w:eastAsia="en-US"/>
        </w:rPr>
        <w:t xml:space="preserve">Respiratory Infection Triggering Severe Acute Exacerbations of Chronic Obstructive Pulmonary Disease </w:t>
      </w:r>
    </w:p>
    <w:p w14:paraId="2858BF15" w14:textId="77777777" w:rsidR="00FF0863" w:rsidRPr="001F40A6" w:rsidRDefault="00FF0863" w:rsidP="00FF08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ajorBidi" w:eastAsiaTheme="minorHAnsi" w:hAnsiTheme="majorBidi" w:cstheme="majorBidi"/>
          <w:color w:val="000000"/>
          <w:lang w:val="en-US" w:eastAsia="en-US"/>
        </w:rPr>
      </w:pPr>
    </w:p>
    <w:p w14:paraId="20E3CD52" w14:textId="77777777" w:rsidR="00050DEF" w:rsidRPr="001F40A6" w:rsidRDefault="00050DEF" w:rsidP="00050D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Bidi" w:eastAsiaTheme="minorHAnsi" w:hAnsiTheme="majorBidi" w:cstheme="majorBidi"/>
          <w:color w:val="000000"/>
          <w:vertAlign w:val="superscript"/>
          <w:lang w:val="en-US" w:eastAsia="en-US"/>
        </w:rPr>
      </w:pPr>
      <w:r w:rsidRPr="001F40A6">
        <w:rPr>
          <w:rFonts w:asciiTheme="majorBidi" w:eastAsiaTheme="minorHAnsi" w:hAnsiTheme="majorBidi" w:cstheme="majorBidi"/>
          <w:color w:val="000000"/>
          <w:lang w:val="en-US" w:eastAsia="en-US"/>
        </w:rPr>
        <w:t>Georges Abi-Abdallah, MD</w:t>
      </w:r>
      <w:r w:rsidRPr="001F40A6">
        <w:rPr>
          <w:rFonts w:asciiTheme="majorBidi" w:eastAsiaTheme="minorHAnsi" w:hAnsiTheme="majorBidi" w:cstheme="majorBidi"/>
          <w:color w:val="000000"/>
          <w:vertAlign w:val="superscript"/>
          <w:lang w:val="en-US" w:eastAsia="en-US"/>
        </w:rPr>
        <w:t>1</w:t>
      </w:r>
      <w:r w:rsidRPr="001F40A6">
        <w:rPr>
          <w:rFonts w:asciiTheme="majorBidi" w:eastAsiaTheme="minorHAnsi" w:hAnsiTheme="majorBidi" w:cstheme="majorBidi"/>
          <w:color w:val="000000"/>
          <w:lang w:val="en-US" w:eastAsia="en-US"/>
        </w:rPr>
        <w:t>; Sylvain Diop, MD</w:t>
      </w:r>
      <w:r w:rsidRPr="001F40A6">
        <w:rPr>
          <w:rFonts w:asciiTheme="majorBidi" w:eastAsiaTheme="minorHAnsi" w:hAnsiTheme="majorBidi" w:cstheme="majorBidi"/>
          <w:color w:val="000000"/>
          <w:vertAlign w:val="superscript"/>
          <w:lang w:val="en-US" w:eastAsia="en-US"/>
        </w:rPr>
        <w:t>2</w:t>
      </w:r>
      <w:r w:rsidRPr="001F40A6">
        <w:rPr>
          <w:rFonts w:asciiTheme="majorBidi" w:eastAsiaTheme="minorHAnsi" w:hAnsiTheme="majorBidi" w:cstheme="majorBidi"/>
          <w:color w:val="000000"/>
          <w:lang w:val="en-US" w:eastAsia="en-US"/>
        </w:rPr>
        <w:t>; Matthieu Jamme, PhD</w:t>
      </w:r>
      <w:r w:rsidRPr="001F40A6">
        <w:rPr>
          <w:rFonts w:asciiTheme="majorBidi" w:eastAsiaTheme="minorHAnsi" w:hAnsiTheme="majorBidi" w:cstheme="majorBidi"/>
          <w:color w:val="000000"/>
          <w:vertAlign w:val="superscript"/>
          <w:lang w:val="en-US" w:eastAsia="en-US"/>
        </w:rPr>
        <w:t>3,4</w:t>
      </w:r>
      <w:r w:rsidRPr="001F40A6">
        <w:rPr>
          <w:rFonts w:asciiTheme="majorBidi" w:eastAsiaTheme="minorHAnsi" w:hAnsiTheme="majorBidi" w:cstheme="majorBidi"/>
          <w:color w:val="000000"/>
          <w:lang w:val="en-US" w:eastAsia="en-US"/>
        </w:rPr>
        <w:t>; Stéphane Legriel, PhD</w:t>
      </w:r>
      <w:r w:rsidRPr="001F40A6">
        <w:rPr>
          <w:rFonts w:asciiTheme="majorBidi" w:eastAsiaTheme="minorHAnsi" w:hAnsiTheme="majorBidi" w:cstheme="majorBidi"/>
          <w:color w:val="000000"/>
          <w:vertAlign w:val="superscript"/>
          <w:lang w:val="en-US" w:eastAsia="en-US"/>
        </w:rPr>
        <w:t>1,5</w:t>
      </w:r>
      <w:r w:rsidRPr="001F40A6">
        <w:rPr>
          <w:rFonts w:asciiTheme="majorBidi" w:eastAsiaTheme="minorHAnsi" w:hAnsiTheme="majorBidi" w:cstheme="majorBidi"/>
          <w:color w:val="000000"/>
          <w:lang w:val="en-US" w:eastAsia="en-US"/>
        </w:rPr>
        <w:t>; and Alexis Ferré, MD</w:t>
      </w:r>
      <w:r w:rsidRPr="001F40A6">
        <w:rPr>
          <w:rFonts w:asciiTheme="majorBidi" w:eastAsiaTheme="minorHAnsi" w:hAnsiTheme="majorBidi" w:cstheme="majorBidi"/>
          <w:color w:val="000000"/>
          <w:vertAlign w:val="superscript"/>
          <w:lang w:val="en-US" w:eastAsia="en-US"/>
        </w:rPr>
        <w:t>1</w:t>
      </w:r>
    </w:p>
    <w:p w14:paraId="7F745590" w14:textId="77777777" w:rsidR="00FF0863" w:rsidRPr="001F40A6" w:rsidRDefault="00FF0863" w:rsidP="00FF0863">
      <w:pPr>
        <w:autoSpaceDE w:val="0"/>
        <w:autoSpaceDN w:val="0"/>
        <w:adjustRightInd w:val="0"/>
        <w:spacing w:line="480" w:lineRule="auto"/>
        <w:rPr>
          <w:rFonts w:asciiTheme="majorBidi" w:eastAsiaTheme="minorHAnsi" w:hAnsiTheme="majorBidi" w:cstheme="majorBidi"/>
          <w:b/>
          <w:bCs/>
          <w:color w:val="000000"/>
          <w:lang w:val="en-US" w:eastAsia="en-US"/>
        </w:rPr>
      </w:pPr>
    </w:p>
    <w:p w14:paraId="2D03603D" w14:textId="77777777" w:rsidR="00FF0863" w:rsidRPr="001F40A6" w:rsidRDefault="00FF0863" w:rsidP="00FF0863">
      <w:pPr>
        <w:spacing w:line="480" w:lineRule="auto"/>
        <w:rPr>
          <w:rFonts w:asciiTheme="majorBidi" w:hAnsiTheme="majorBidi" w:cstheme="majorBidi"/>
          <w:color w:val="000000"/>
          <w:lang w:val="en-US"/>
        </w:rPr>
      </w:pPr>
      <w:r w:rsidRPr="001F40A6">
        <w:rPr>
          <w:rFonts w:asciiTheme="majorBidi" w:hAnsiTheme="majorBidi" w:cstheme="majorBidi"/>
          <w:b/>
          <w:color w:val="000000"/>
          <w:lang w:val="en-US"/>
        </w:rPr>
        <w:t>Definitions</w:t>
      </w:r>
    </w:p>
    <w:p w14:paraId="3938E7AA" w14:textId="49FC521E" w:rsidR="00631710" w:rsidRPr="001F40A6" w:rsidRDefault="00631710" w:rsidP="00FF0863">
      <w:pPr>
        <w:spacing w:line="480" w:lineRule="auto"/>
        <w:ind w:firstLine="567"/>
        <w:jc w:val="both"/>
        <w:rPr>
          <w:rFonts w:asciiTheme="majorBidi" w:hAnsiTheme="majorBidi" w:cstheme="majorBidi"/>
          <w:color w:val="000000"/>
          <w:lang w:val="en-US"/>
        </w:rPr>
      </w:pPr>
      <w:r w:rsidRPr="001F40A6">
        <w:rPr>
          <w:rFonts w:asciiTheme="majorBidi" w:hAnsiTheme="majorBidi" w:cstheme="majorBidi"/>
          <w:color w:val="000000"/>
          <w:lang w:val="en-US"/>
        </w:rPr>
        <w:t>A severe acute exacerbation was defined by the presence of acute respiratory failure (clinical signs of excessive muscle activity, polypnea ≥30 breaths/min, or the use of accessory respiratory muscles) and/or hypercapnic acidosis (pH ≤7.35 and arterial partial pressure</w:t>
      </w:r>
      <w:r w:rsidRPr="001F40A6">
        <w:rPr>
          <w:rFonts w:asciiTheme="majorBidi" w:hAnsiTheme="majorBidi" w:cstheme="majorBidi"/>
          <w:b/>
          <w:color w:val="000000"/>
          <w:lang w:val="en-US"/>
        </w:rPr>
        <w:t xml:space="preserve"> </w:t>
      </w:r>
      <w:r w:rsidRPr="001F40A6">
        <w:rPr>
          <w:rFonts w:asciiTheme="majorBidi" w:hAnsiTheme="majorBidi" w:cstheme="majorBidi"/>
          <w:bCs/>
          <w:color w:val="000000"/>
          <w:lang w:val="en-US"/>
        </w:rPr>
        <w:t>of</w:t>
      </w:r>
      <w:r w:rsidRPr="001F40A6">
        <w:rPr>
          <w:rFonts w:asciiTheme="majorBidi" w:hAnsiTheme="majorBidi" w:cstheme="majorBidi"/>
          <w:b/>
          <w:color w:val="000000"/>
          <w:lang w:val="en-US"/>
        </w:rPr>
        <w:t xml:space="preserve"> </w:t>
      </w:r>
      <w:r w:rsidRPr="001F40A6">
        <w:rPr>
          <w:rFonts w:asciiTheme="majorBidi" w:hAnsiTheme="majorBidi" w:cstheme="majorBidi"/>
          <w:color w:val="000000"/>
          <w:lang w:val="en-US"/>
        </w:rPr>
        <w:t>carbon dioxide [PaCO</w:t>
      </w:r>
      <w:r w:rsidRPr="001F40A6">
        <w:rPr>
          <w:rFonts w:asciiTheme="majorBidi" w:hAnsiTheme="majorBidi" w:cstheme="majorBidi"/>
          <w:color w:val="000000"/>
          <w:vertAlign w:val="subscript"/>
          <w:lang w:val="en-US"/>
        </w:rPr>
        <w:t>2</w:t>
      </w:r>
      <w:r w:rsidRPr="001F40A6">
        <w:rPr>
          <w:rFonts w:asciiTheme="majorBidi" w:hAnsiTheme="majorBidi" w:cstheme="majorBidi"/>
          <w:color w:val="000000"/>
          <w:lang w:val="en-US"/>
        </w:rPr>
        <w:t>] &gt;45 mmHg), and the need for ICU admission.</w:t>
      </w:r>
    </w:p>
    <w:p w14:paraId="758FBF6D" w14:textId="560281C3" w:rsidR="00FF0863" w:rsidRPr="001F40A6" w:rsidRDefault="00FF0863" w:rsidP="00FF0863">
      <w:pPr>
        <w:spacing w:line="480" w:lineRule="auto"/>
        <w:ind w:firstLine="567"/>
        <w:jc w:val="both"/>
        <w:rPr>
          <w:rFonts w:asciiTheme="majorBidi" w:hAnsiTheme="majorBidi" w:cstheme="majorBidi"/>
          <w:color w:val="000000"/>
          <w:lang w:val="en-US"/>
        </w:rPr>
      </w:pPr>
      <w:r w:rsidRPr="001F40A6">
        <w:rPr>
          <w:rFonts w:asciiTheme="majorBidi" w:hAnsiTheme="majorBidi" w:cstheme="majorBidi"/>
          <w:color w:val="000000"/>
          <w:lang w:val="en-US"/>
        </w:rPr>
        <w:t>Acute bronchitis was defined as the presence of dyspnea or cough with purulent expectorations or tracheal suction without a new radiological infiltrate. Pneumonia was defined as the presence of at least two of the following criteria: auscultatory crackles, purulent sputum or tracheal suction (for intubated patients), fever &gt;38 °C, and biological inflammatory syndrome; associated with a new radiological infiltrate.</w:t>
      </w:r>
    </w:p>
    <w:p w14:paraId="26AFAC70" w14:textId="53E986B3" w:rsidR="00FF0863" w:rsidRPr="001F40A6" w:rsidRDefault="00FF0863" w:rsidP="00FF0863">
      <w:pPr>
        <w:pStyle w:val="NormalWeb"/>
        <w:spacing w:line="480" w:lineRule="auto"/>
        <w:ind w:firstLine="567"/>
        <w:jc w:val="both"/>
        <w:rPr>
          <w:rFonts w:asciiTheme="majorBidi" w:hAnsiTheme="majorBidi" w:cstheme="majorBidi"/>
          <w:color w:val="000000"/>
          <w:lang w:val="en-US"/>
        </w:rPr>
      </w:pPr>
      <w:r w:rsidRPr="001F40A6">
        <w:rPr>
          <w:rFonts w:asciiTheme="majorBidi" w:hAnsiTheme="majorBidi" w:cstheme="majorBidi"/>
          <w:color w:val="000000"/>
          <w:lang w:val="en-US"/>
        </w:rPr>
        <w:t xml:space="preserve">A search for bacteria with standard methods and for viruses with sensitive methods (i.e. polymerase chain reaction [PCR]), as reported elsewhere </w:t>
      </w:r>
      <w:r w:rsidRPr="001F40A6">
        <w:rPr>
          <w:rFonts w:asciiTheme="majorBidi" w:hAnsiTheme="majorBidi" w:cstheme="majorBidi"/>
          <w:color w:val="000000"/>
          <w:lang w:val="en-US"/>
        </w:rPr>
        <w:fldChar w:fldCharType="begin"/>
      </w:r>
      <w:r w:rsidR="00600F85" w:rsidRPr="001F40A6">
        <w:rPr>
          <w:rFonts w:asciiTheme="majorBidi" w:hAnsiTheme="majorBidi" w:cstheme="majorBidi"/>
          <w:color w:val="000000"/>
          <w:lang w:val="en-US"/>
        </w:rPr>
        <w:instrText xml:space="preserve"> ADDIN ZOTERO_ITEM CSL_CITATION {"citationID":"mSQnmN2L","properties":{"formattedCitation":"(1\\uc0\\u8211{}3)","plainCitation":"(1–3)","dontUpdate":true,"noteIndex":0},"citationItems":[{"id":765,"uris":["http://zotero.org/users/local/FBmVQWxf/items/IEYBRM34"],"itemData":{"id":765,"type":"article-journal","abstract":"INTRODUCTION: Respiratory viruses are a major cause of respiratory tract infections. The prevalence of a virus-positive respiratory sample and its significance in patients requiring mechanical ventilation remain unknown.\nMETHODS: We conducted a cohort study in all consecutive adults ventilated for more than 48 hours admitted to a 22-bed medical intensive care unit during a 12-month period. Respiratory samples at the time of intubation were assessed by culture, by indirect immunofluorescence assay or by molecular methods in systematic tracheobronchial aspirates. Patients with a virus-negative respiratory sample at the time of intubation were considered unexposed and served as the control group.\nRESULTS: Forty-five viruses were isolated in 41/187 (22%) patients. Rhinovirus was the most commonly isolated virus (42%), followed by herpes simplex virus type 1 (22%) and virus influenza A (16%). In multivariate analysis controlling for the Acute Pathophysiology and Chronic Health Evaluation II score, patients with respiratory disorder at admission (adjusted odds ratio, 2.1; 95% confidence interval, 0.8-5.1; P = 0.12), with chronic obstructive pulmonary disease/asthma patients (adjusted odds ratio, 3.0; 95% confidence interval, 1.3-6.7; P = 0.01) and with admission between 21 November and 21 March (adjusted odds ratio, 2.8; 95% confidence interval, 1.3-5.9; P = 0.008) were independently associated with a virus-positive sample. Among the 122 patients admitted with respiratory disorder, a tracheobronchial aspirate positive for respiratory viruses at the time of intubation (adjusted hazard ratio, 0.273; 95% confidence interval, 0.096-0.777; P &lt; 0.006) was independently associated with better survival, controlling for the Simplified Acute Physiology Score II and admission for cardiogenic shock or cardiac arrest. Among the remaining 65 patients, a virus-positive sample on intubation did not predict survival.\nCONCLUSION: We confirmed the pathogenic role of respiratory viruses in the intensive care unit, particularly rhinovirus. We suggest, however, that the prognostic value of virus-associated respiratory disorder is better than that of other causes of respiratory disorder.","container-title":"Critical Care (London, England)","DOI":"10.1186/cc5059","ISSN":"1466-609X","issue":"5","journalAbbreviation":"Crit Care","language":"eng","note":"PMID: 17022805\nPMCID: PMC1751045","page":"R142","source":"PubMed","title":"Epidemiology and clinical outcome of virus-positive respiratory samples in ventilated patients: a prospective cohort study","title-short":"Epidemiology and clinical outcome of virus-positive respiratory samples in ventilated patients","volume":"10","author":[{"family":"Daubin","given":"Cédric"},{"family":"Parienti","given":"Jean-Jacques"},{"family":"Vincent","given":"Sophie"},{"family":"Vabret","given":"Astrid"},{"family":"Cheyron","given":"Damien","non-dropping-particle":"du"},{"family":"Ramakers","given":"Michel"},{"family":"Freymuth","given":"François"},{"family":"Charbonneau","given":"Pierre"}],"issued":{"date-parts":[["2006"]]}}},{"id":768,"uris":["http://zotero.org/users/local/FBmVQWxf/items/K55LWU5I"],"itemData":{"id":768,"type":"article-journal","abstract":"BACKGROUND: Antibiotics are recommended for severe acute exacerbation of chronic obstructive pulmonary disease (AECOPD) admitted to intensive care units (ICU). Serum procalcitonin (PCT) could be a useful tool for selecting patients with a lower probability of developing bacterial infection, but its measurement has not been investigated in this population.\nMETHODS: We conducted a single center prospective cohort study in consecutive COPD patients admitted to the ICU for AECOPD between September 2005 and September 2006. Sputum samples or tracheal aspirates were tested for the presence of bacteria and viruses. PCT levels were measured at the time of admittance, six hours, and 24 hours using a sensitive immunoassay.\nRESULTS: Thirty nine AECOPD patients were included, 31 of which (79%) required a ventilator support at admission. The median [25%-75% interquartile range] PCT level, assessed in 35/39 patients, was: 0.096 microg/L [IQR, 0.065 to 0.178] at the time of admission, 0.113 microg/L [IQR, 0.074 to 0.548] at six hours, and 0.137 microg/L [IQR, 0.088 to 0.252] at 24 hours. The highest PCT (PCTmax) levels were less than 0.1 microg/L in 14/35 (40%) patients and more than 0.25 microg/L in 10/35 (29%) patients, suggesting low and high probability of bacterial infection, respectively. Five species of bacteria and nine species of viruses were detected in 12/39 (31%) patients. Among the four patients positive for Pseudomonas aeruginosa, one had a PCTmax less than 0.25 microg/L and three had a PCTmax less than 0.1 microg/L. The one patient positive for Haemophilus influenzae had a PCTmax more than 0.25 microg/L. The presence or absence of viruses did not influence PCT at time of admission (0.068 vs 0.098 microg/L respectively, P = 0.80).\nCONCLUSION: The likelihood of bacterial infection is low among COPD patients admitted to ICU for AECOPD (40% with PCT &lt; 0.1 microg/L) suggesting a possible inappropriate use of antibiotics. Further studies are necessary to assess the impact of a procalcitonin-based therapeutic strategy in critically ill COPD patients.","container-title":"BMC infectious diseases","DOI":"10.1186/1471-2334-8-145","ISSN":"1471-2334","journalAbbreviation":"BMC Infect Dis","language":"eng","note":"PMID: 18947382\nPMCID: PMC2577677","page":"145","source":"PubMed","title":"Procalcitonin levels in acute exacerbation of COPD admitted in ICU: a prospective cohort study","title-short":"Procalcitonin levels in acute exacerbation of COPD admitted in ICU","volume":"8","author":[{"family":"Daubin","given":"Cédric"},{"family":"Parienti","given":"Jean-Jacques"},{"family":"Vabret","given":"Astrid"},{"family":"Ramakers","given":"Michel"},{"family":"Fradin","given":"Sabine"},{"family":"Terzi","given":"Nicolas"},{"family":"Freymuth","given":"François"},{"family":"Charbonneau","given":"Pierre"},{"family":"Cheyron","given":"Damien","non-dropping-particle":"du"}],"issued":{"date-parts":[["2008",10,23]]}}},{"id":771,"uris":["http://zotero.org/users/local/FBmVQWxf/items/YW4MSJPE"],"itemData":{"id":771,"type":"article-journal","abstract":"OBJECTIVE: To determine the incidence, risk factors, and clinical relevance of viral ventilator-associated pneumonia (VAP) in an adult intensive care unit (ICU).\nDESIGN: Prospective observational study.\nSETTING: A 22-bed adult medical ICU in a university hospital.\nPATIENTS: All consecutive adult patients ventilated more than 48 h in a 9-month period including regular seasonal viral infections.\nINTERVENTIONS: A tracheobronchial aspirate upon enrollment and at the time of VAP suspicion.\nMEASUREMENTS AND RESULTS: All respiratory specimens were tested in culture, indirect immunofluorescence assay, and PCR or RT-PCR for virological assessment. Patients were followed until ICU discharge or death. One hundred thirty-nine patients were included. Upon enrollment, a respiratory virus was detected in the tracheobronchial aspirate in 25% of patients (35 of 139). The incidence of VAP, defined according to clinical daily evaluation, was 28% (39 of 139 patients). A bacteria was documented in 74% of cases, whereas no case of a causative viral infection was encountered among VAP patients; however, herpes simplex virus type-1 (HSV 1) infection was detected in respiratory specimens of 31% of VAP (12 of 39).\nCONCLUSIONS: We found a high incidence of HSV-1 infection in VAP patients; however, nosocomial viral VAP is likely to be rare in ICU, as assessed by the absence of respiratory virus-induced VAP identified in this prospective cohort study.","container-title":"Intensive Care Medicine","DOI":"10.1007/s00134-005-2706-1","ISSN":"0342-4642","issue":"8","journalAbbreviation":"Intensive Care Med","language":"eng","note":"PMID: 15999253\nPMCID: PMC7079837","page":"1116-1122","source":"PubMed","title":"Nosocomial viral ventilator-associated pneumonia in the intensive care unit: a prospective cohort study","title-short":"Nosocomial viral ventilator-associated pneumonia in the intensive care unit","volume":"31","author":[{"family":"Daubin","given":"Cédric"},{"family":"Vincent","given":"Sophie"},{"family":"Vabret","given":"Astrid"},{"family":"Cheyron","given":"Damien","non-dropping-particle":"du"},{"family":"Parienti","given":"Jean-Jacques"},{"family":"Ramakers","given":"Michel"},{"family":"Freymuth","given":"François"},{"family":"Charbonneau","given":"Pierre"}],"issued":{"date-parts":[["2005",8]]}}}],"schema":"https://github.com/citation-style-language/schema/raw/master/csl-citation.json"} </w:instrText>
      </w:r>
      <w:r w:rsidRPr="001F40A6">
        <w:rPr>
          <w:rFonts w:asciiTheme="majorBidi" w:hAnsiTheme="majorBidi" w:cstheme="majorBidi"/>
          <w:color w:val="000000"/>
          <w:lang w:val="en-US"/>
        </w:rPr>
        <w:fldChar w:fldCharType="separate"/>
      </w:r>
      <w:r w:rsidR="00600F85" w:rsidRPr="001F40A6">
        <w:rPr>
          <w:rFonts w:hAnsiTheme="majorHAnsi"/>
          <w:color w:val="000000"/>
          <w:lang w:val="en-US"/>
        </w:rPr>
        <w:t>(E1</w:t>
      </w:r>
      <w:r w:rsidR="00600F85" w:rsidRPr="001F40A6">
        <w:rPr>
          <w:rFonts w:hAnsiTheme="majorHAnsi"/>
          <w:color w:val="000000"/>
          <w:lang w:val="en-US"/>
        </w:rPr>
        <w:t>–</w:t>
      </w:r>
      <w:r w:rsidR="00A120AC" w:rsidRPr="001F40A6">
        <w:rPr>
          <w:rFonts w:hAnsiTheme="majorHAnsi"/>
          <w:color w:val="000000"/>
          <w:lang w:val="en-US"/>
        </w:rPr>
        <w:t>E</w:t>
      </w:r>
      <w:r w:rsidR="00600F85" w:rsidRPr="001F40A6">
        <w:rPr>
          <w:rFonts w:hAnsiTheme="majorHAnsi"/>
          <w:color w:val="000000"/>
          <w:lang w:val="en-US"/>
        </w:rPr>
        <w:t>3)</w:t>
      </w:r>
      <w:r w:rsidRPr="001F40A6">
        <w:rPr>
          <w:rFonts w:asciiTheme="majorBidi" w:hAnsiTheme="majorBidi" w:cstheme="majorBidi"/>
          <w:color w:val="000000"/>
          <w:lang w:val="en-US"/>
        </w:rPr>
        <w:fldChar w:fldCharType="end"/>
      </w:r>
      <w:r w:rsidRPr="001F40A6">
        <w:rPr>
          <w:rFonts w:asciiTheme="majorBidi" w:hAnsiTheme="majorBidi" w:cstheme="majorBidi"/>
          <w:color w:val="000000"/>
          <w:lang w:val="en-US"/>
        </w:rPr>
        <w:t xml:space="preserve">, was performed in all patients admitted for a severe acute exacerbation of COPD in case of suspected respiratory infection according to the standards of care in our intensive care unit (ICU) at admission. Microbiological samples in our ICU included blood culture, pulmonary sample, virus and </w:t>
      </w:r>
      <w:r w:rsidRPr="001F40A6">
        <w:rPr>
          <w:rFonts w:asciiTheme="majorBidi" w:hAnsiTheme="majorBidi" w:cstheme="majorBidi"/>
          <w:i/>
          <w:iCs/>
          <w:color w:val="000000"/>
          <w:lang w:val="en-US"/>
        </w:rPr>
        <w:t>Mycoplasma pneumonia</w:t>
      </w:r>
      <w:r w:rsidRPr="001F40A6">
        <w:rPr>
          <w:rFonts w:asciiTheme="majorBidi" w:hAnsiTheme="majorBidi" w:cstheme="majorBidi"/>
          <w:color w:val="000000"/>
          <w:lang w:val="en-US"/>
        </w:rPr>
        <w:t xml:space="preserve"> PCR, and antigen in urines sample for </w:t>
      </w:r>
      <w:r w:rsidRPr="001F40A6">
        <w:rPr>
          <w:rFonts w:asciiTheme="majorBidi" w:hAnsiTheme="majorBidi" w:cstheme="majorBidi"/>
          <w:i/>
          <w:iCs/>
          <w:color w:val="000000"/>
          <w:lang w:val="en-US"/>
        </w:rPr>
        <w:t>Streptococcus pneumoniae</w:t>
      </w:r>
      <w:r w:rsidRPr="001F40A6">
        <w:rPr>
          <w:rFonts w:asciiTheme="majorBidi" w:hAnsiTheme="majorBidi" w:cstheme="majorBidi"/>
          <w:color w:val="000000"/>
          <w:lang w:val="en-US"/>
        </w:rPr>
        <w:t xml:space="preserve"> and </w:t>
      </w:r>
      <w:r w:rsidRPr="001F40A6">
        <w:rPr>
          <w:rFonts w:asciiTheme="majorBidi" w:hAnsiTheme="majorBidi" w:cstheme="majorBidi"/>
          <w:i/>
          <w:iCs/>
          <w:color w:val="000000"/>
          <w:lang w:val="en-US"/>
        </w:rPr>
        <w:t>Legionella pneumophila</w:t>
      </w:r>
      <w:r w:rsidRPr="001F40A6">
        <w:rPr>
          <w:rFonts w:asciiTheme="majorBidi" w:hAnsiTheme="majorBidi" w:cstheme="majorBidi"/>
          <w:color w:val="000000"/>
          <w:lang w:val="en-US"/>
        </w:rPr>
        <w:t xml:space="preserve">. The type of respiratory sample depends on the patient intubation </w:t>
      </w:r>
      <w:r w:rsidRPr="001F40A6">
        <w:rPr>
          <w:rFonts w:asciiTheme="majorBidi" w:hAnsiTheme="majorBidi" w:cstheme="majorBidi"/>
          <w:color w:val="000000"/>
          <w:lang w:val="en-US"/>
        </w:rPr>
        <w:lastRenderedPageBreak/>
        <w:t xml:space="preserve">status in the early management after ICU admission: sputum sample versus tracheobronchial aspirations or </w:t>
      </w:r>
      <w:bookmarkStart w:id="0" w:name="_Hlk129125325"/>
      <w:r w:rsidRPr="001F40A6">
        <w:rPr>
          <w:rFonts w:asciiTheme="majorBidi" w:hAnsiTheme="majorBidi" w:cstheme="majorBidi"/>
          <w:color w:val="000000"/>
          <w:lang w:val="en-US"/>
        </w:rPr>
        <w:t>bronchoalveolar lavage</w:t>
      </w:r>
      <w:bookmarkEnd w:id="0"/>
      <w:r w:rsidRPr="001F40A6">
        <w:rPr>
          <w:rFonts w:asciiTheme="majorBidi" w:hAnsiTheme="majorBidi" w:cstheme="majorBidi"/>
          <w:color w:val="000000"/>
          <w:lang w:val="en-US"/>
        </w:rPr>
        <w:t xml:space="preserve"> or protected distal lung sampling; nasopharyngeal swab versus tracheobronchial aspirations. Briefly, respiratory samples were bacteriologically processed if less than 1% of the observed field contained squamous epithelial cells and more than 25 neutrophils were observed </w:t>
      </w:r>
      <w:r w:rsidRPr="001F40A6">
        <w:rPr>
          <w:rFonts w:asciiTheme="majorBidi" w:hAnsiTheme="majorBidi" w:cstheme="majorBidi"/>
          <w:color w:val="000000"/>
          <w:lang w:val="en-US"/>
        </w:rPr>
        <w:fldChar w:fldCharType="begin"/>
      </w:r>
      <w:r w:rsidR="00600F85" w:rsidRPr="001F40A6">
        <w:rPr>
          <w:rFonts w:asciiTheme="majorBidi" w:hAnsiTheme="majorBidi" w:cstheme="majorBidi"/>
          <w:color w:val="000000"/>
          <w:lang w:val="en-US"/>
        </w:rPr>
        <w:instrText xml:space="preserve"> ADDIN ZOTERO_ITEM CSL_CITATION {"citationID":"xv0KV61p","properties":{"formattedCitation":"(4)","plainCitation":"(4)","dontUpdate":true,"noteIndex":0},"citationItems":[{"id":776,"uris":["http://zotero.org/users/local/FBmVQWxf/items/PNR2TG5A"],"itemData":{"id":776,"type":"article-journal","abstract":"Samples of expectorated sputum were examined grossly and microscopically to determine their suitability for bacterial cultures. Microscopically, specimens were categorized according to the number of leukocytes and squamous epithelial cells (SEC) observed under low-power (times 100) in a Gram-stained smear. The mean number of species isolated was greater than 4 from specimens with more than 10 SEC per field, 2.7 from specimens with fewer than 10 SEC per field, and 2.4 from transtracheal aspirates. Oropharyngeal flora was isolated from nearly all of the specimens with more than 10 SEC per field, and potential pathogens were found in less than 15% of such specimens. The bacterial flora of specimens with fewer than 10 SEC per field closely resembled that of transtracheal aspirates.","container-title":"Mayo Clinic Proceedings","ISSN":"0025-6196","issue":"6","journalAbbreviation":"Mayo Clin Proc","language":"eng","note":"PMID: 1127999","page":"339-344","source":"PubMed","title":"Microscopic and baceriologic analysis of expectorated sputum","volume":"50","author":[{"family":"Murray","given":"P. R."},{"family":"Washington","given":"J. A."}],"issued":{"date-parts":[["1975",6]]}}}],"schema":"https://github.com/citation-style-language/schema/raw/master/csl-citation.json"} </w:instrText>
      </w:r>
      <w:r w:rsidRPr="001F40A6">
        <w:rPr>
          <w:rFonts w:asciiTheme="majorBidi" w:hAnsiTheme="majorBidi" w:cstheme="majorBidi"/>
          <w:color w:val="000000"/>
          <w:lang w:val="en-US"/>
        </w:rPr>
        <w:fldChar w:fldCharType="separate"/>
      </w:r>
      <w:r w:rsidR="00600F85" w:rsidRPr="001F40A6">
        <w:rPr>
          <w:rFonts w:asciiTheme="majorBidi" w:hAnsiTheme="majorBidi" w:cstheme="majorBidi"/>
          <w:color w:val="000000"/>
          <w:lang w:val="en-US"/>
        </w:rPr>
        <w:t>(E4)</w:t>
      </w:r>
      <w:r w:rsidRPr="001F40A6">
        <w:rPr>
          <w:rFonts w:asciiTheme="majorBidi" w:hAnsiTheme="majorBidi" w:cstheme="majorBidi"/>
          <w:color w:val="000000"/>
          <w:lang w:val="en-US"/>
        </w:rPr>
        <w:fldChar w:fldCharType="end"/>
      </w:r>
      <w:r w:rsidRPr="001F40A6">
        <w:rPr>
          <w:rFonts w:asciiTheme="majorBidi" w:hAnsiTheme="majorBidi" w:cstheme="majorBidi"/>
          <w:color w:val="000000"/>
          <w:lang w:val="en-US"/>
        </w:rPr>
        <w:t xml:space="preserve">. Infection was considered bacteriologically confirmed when at least one of the following criteria was present: pathogen concentration greater than </w:t>
      </w:r>
      <w:r w:rsidR="008C083A" w:rsidRPr="001F40A6">
        <w:rPr>
          <w:rFonts w:asciiTheme="majorBidi" w:hAnsiTheme="majorBidi" w:cstheme="majorBidi"/>
          <w:color w:val="000000"/>
          <w:lang w:val="en-US"/>
        </w:rPr>
        <w:t>10</w:t>
      </w:r>
      <w:r w:rsidR="008C083A" w:rsidRPr="001F40A6">
        <w:rPr>
          <w:rFonts w:asciiTheme="majorBidi" w:hAnsiTheme="majorBidi" w:cstheme="majorBidi"/>
          <w:color w:val="000000"/>
          <w:vertAlign w:val="superscript"/>
          <w:lang w:val="en-US"/>
        </w:rPr>
        <w:t>7</w:t>
      </w:r>
      <w:r w:rsidR="008C083A" w:rsidRPr="001F40A6">
        <w:rPr>
          <w:rFonts w:asciiTheme="majorBidi" w:hAnsiTheme="majorBidi" w:cstheme="majorBidi"/>
          <w:color w:val="000000"/>
          <w:lang w:val="en-US"/>
        </w:rPr>
        <w:t xml:space="preserve"> cfu/ml in sputum samples, or 10</w:t>
      </w:r>
      <w:r w:rsidR="008C083A" w:rsidRPr="001F40A6">
        <w:rPr>
          <w:rFonts w:asciiTheme="majorBidi" w:hAnsiTheme="majorBidi" w:cstheme="majorBidi"/>
          <w:color w:val="000000"/>
          <w:vertAlign w:val="superscript"/>
          <w:lang w:val="en-US"/>
        </w:rPr>
        <w:t>5</w:t>
      </w:r>
      <w:r w:rsidR="008C083A" w:rsidRPr="001F40A6">
        <w:rPr>
          <w:rFonts w:asciiTheme="majorBidi" w:hAnsiTheme="majorBidi" w:cstheme="majorBidi"/>
          <w:color w:val="000000"/>
          <w:lang w:val="en-US"/>
        </w:rPr>
        <w:t xml:space="preserve"> cfu/ml in tracheobronchial aspirations or 10</w:t>
      </w:r>
      <w:r w:rsidR="008C083A" w:rsidRPr="001F40A6">
        <w:rPr>
          <w:rFonts w:asciiTheme="majorBidi" w:hAnsiTheme="majorBidi" w:cstheme="majorBidi"/>
          <w:color w:val="000000"/>
          <w:vertAlign w:val="superscript"/>
          <w:lang w:val="en-US"/>
        </w:rPr>
        <w:t>4</w:t>
      </w:r>
      <w:r w:rsidR="008C083A" w:rsidRPr="001F40A6">
        <w:rPr>
          <w:rFonts w:asciiTheme="majorBidi" w:hAnsiTheme="majorBidi" w:cstheme="majorBidi"/>
          <w:color w:val="000000"/>
          <w:lang w:val="en-US"/>
        </w:rPr>
        <w:t xml:space="preserve"> cfu/ml in bronchoalveolar lavage or 10</w:t>
      </w:r>
      <w:r w:rsidR="008C083A" w:rsidRPr="001F40A6">
        <w:rPr>
          <w:rFonts w:asciiTheme="majorBidi" w:hAnsiTheme="majorBidi" w:cstheme="majorBidi"/>
          <w:color w:val="000000"/>
          <w:vertAlign w:val="superscript"/>
          <w:lang w:val="en-US"/>
        </w:rPr>
        <w:t>3</w:t>
      </w:r>
      <w:r w:rsidR="008C083A" w:rsidRPr="001F40A6">
        <w:rPr>
          <w:rFonts w:asciiTheme="majorBidi" w:hAnsiTheme="majorBidi" w:cstheme="majorBidi"/>
          <w:color w:val="000000"/>
          <w:lang w:val="en-US"/>
        </w:rPr>
        <w:t xml:space="preserve"> cfu/ml in protected distal lung sampling</w:t>
      </w:r>
      <w:r w:rsidRPr="001F40A6">
        <w:rPr>
          <w:rFonts w:asciiTheme="majorBidi" w:hAnsiTheme="majorBidi" w:cstheme="majorBidi"/>
          <w:color w:val="000000"/>
          <w:lang w:val="en-US"/>
        </w:rPr>
        <w:t xml:space="preserve">; blood culture positive for a bacterial pathogen in the absence of an extrapulmonary focus </w:t>
      </w:r>
      <w:r w:rsidRPr="001F40A6">
        <w:rPr>
          <w:rFonts w:asciiTheme="majorBidi" w:hAnsiTheme="majorBidi" w:cstheme="majorBidi"/>
          <w:color w:val="000000"/>
          <w:lang w:val="en-US"/>
        </w:rPr>
        <w:fldChar w:fldCharType="begin"/>
      </w:r>
      <w:r w:rsidR="00CD5828" w:rsidRPr="001F40A6">
        <w:rPr>
          <w:rFonts w:asciiTheme="majorBidi" w:hAnsiTheme="majorBidi" w:cstheme="majorBidi"/>
          <w:color w:val="000000"/>
          <w:lang w:val="en-US"/>
        </w:rPr>
        <w:instrText xml:space="preserve"> ADDIN ZOTERO_ITEM CSL_CITATION {"citationID":"x6QtoW0y","properties":{"unsorted":true,"formattedCitation":"(4\\uc0\\u8211{}7)","plainCitation":"(4–7)","noteIndex":0},"citationItems":[{"id":776,"uris":["http://zotero.org/users/local/FBmVQWxf/items/PNR2TG5A"],"itemData":{"id":776,"type":"article-journal","abstract":"Samples of expectorated sputum were examined grossly and microscopically to determine their suitability for bacterial cultures. Microscopically, specimens were categorized according to the number of leukocytes and squamous epithelial cells (SEC) observed under low-power (times 100) in a Gram-stained smear. The mean number of species isolated was greater than 4 from specimens with more than 10 SEC per field, 2.7 from specimens with fewer than 10 SEC per field, and 2.4 from transtracheal aspirates. Oropharyngeal flora was isolated from nearly all of the specimens with more than 10 SEC per field, and potential pathogens were found in less than 15% of such specimens. The bacterial flora of specimens with fewer than 10 SEC per field closely resembled that of transtracheal aspirates.","container-title":"Mayo Clinic Proceedings","ISSN":"0025-6196","issue":"6","journalAbbreviation":"Mayo Clin Proc","language":"eng","note":"PMID: 1127999","page":"339-344","source":"PubMed","title":"Microscopic and baceriologic analysis of expectorated sputum","volume":"50","author":[{"family":"Murray","given":"P. R."},{"family":"Washington","given":"J. A."}],"issued":{"date-parts":[["1975",6]]}},"label":"page"},{"id":144,"uris":["http://zotero.org/users/local/FBmVQWxf/items/KF84YRLL"],"itemData":{"id":144,"type":"article-journal","abstract":"We carried out a comprehensive microbiological study of the upper and lower airways in patients with severe exacerbations of chronic obstructive pulmonary disease (COPD) requiring mechanical ventilation in order to describe microbial patterns and analyze their clinical significance. Quantitative cultures of tracheobronchial aspirates (TBAs), bronchoscopically retrieved protected specimen brush (PSB) and bronchoalveolar lavage fluid (BALF) at admission to the ICU and after 72 h, as well as serology for bacteria and respiratory viruses were performed. Fifty patients (mean age 68 +/- 8, 46 males) were studied prospectively. Potentially pathogenic microorganisms (PPMs) and/or a positive serology were present in 36 of 50 (72%) patients, including 12 (33%) polymicrobial cases. Only six (12%) had no pathogen in any sample in the absence of antimicrobial pretreatment. Microbial patterns corresponded to community-acquired pathogens (Streptococcus pneumoniae, Haemophilus influenzae, and Moraxella catarrhalis) in 19 of 34 (56%) and to gram-negative enteric bacilli (GNEB), Pseudomonas, and Stenotrophomonas spp. in 15 of 34 (44%) of isolates. Chlamydia pneumoniae and respiratory viruses were found in 18% and 16% of investigations, respectively. Repeated investigation after 72 h in 19 patients with PPMs in the initial investigation revealed eradication of virtually all isolates of community-acquired pathogens and GNEB but persistence of three of five Pseudomonas spp. and both Stenotrophomonas spp. as well as the emergence of new GNEB, Pseudomonas and Stenotrophomonas spp. Clinical parameters neither predicted the presence of PPMs nor of GNEB and Pseudomonas/Stenotrophomonas spp. Nevertheless, severe pneumonia attributable to initially isolated pathogens occurred in two patients with severe COPD exacerbation. We conclude that pathogens were more frequently present than previously reported. The rate of GNEB and Pseudomonas/Stenotrophomonas spp. isolates was high. The presence of pathogens was clinically unpredictable. Thus, in this population of patients with severe exacerbations of COPD, it may be advisable to obtain respiratory samples and to treat according to diagnostic results. Further studies are warranted to clarify this issue.","container-title":"American Journal of Respiratory and Critical Care Medicine","DOI":"10.1164/ajrccm.157.5.9711044","ISSN":"1073-449X","issue":"5 Pt 1","journalAbbreviation":"Am J Respir Crit Care Med","language":"eng","note":"PMID: 9603129","page":"1498-1505","source":"PubMed","title":"Bronchial microbial patterns in severe exacerbations of chronic obstructive pulmonary disease (COPD) requiring mechanical ventilation","volume":"157","author":[{"family":"Soler","given":"N."},{"family":"Torres","given":"A."},{"family":"Ewig","given":"S."},{"family":"Gonzalez","given":"J."},{"family":"Celis","given":"R."},{"family":"El-Ebiary","given":"M."},{"family":"Hernandez","given":"C."},{"family":"Rodriguez-Roisin","given":"R."}],"issued":{"date-parts":[["1998",5]]}}},{"id":821,"uris":["http://zotero.org/users/local/FBmVQWxf/items/8C5MG4P8"],"itemData":{"id":821,"type":"article-journal","abstract":"PURPOSE: A prospective study to determine the usefulness of quantitative bacterial cultures of fluid obtained via fiberoptic bronchoscopy and bronchoalveolar lavage as an aid in the diagnosis of bacterial pneumonia.\nPATIENTS AND METHODS: All patients undergoing fiberoptic bronchoscopy with bronchoalveolar lavage during a 6 1/2-month period. Presence of pneumonia was determined using clinical, radiographic, laboratory, and histologic data. Quantitative bacterial cultures of bronchoalveolar lavage fluid were determined using a 1-microL culture loop.\nRESULTS: Quantitative bacterial cultures of bronchoalveolar lavage (BAL) fluid were sensitive and specific predictors of bacterial pneumonia. Using 10(3) colony-forming units (cfu)/mL as the threshold value for a positive culture, we determined the sensitivity and specificity to be 90% and 97%, respectively. The data were also analyzed for the subgroups of patients who were intubated or were receiving antibiotics. The sensitivity and specificity were 78% and 96% for the group of patients receiving antibiotics and 100% and 82% for the group of patients intubated for more than 24 hours at the time of BAL. Values for the area under the receiver operating characteristic curve for the 3 groups were 0.94, 0.88, and 0.96, respectively.\nCONCLUSIONS: Quantitative bacterial cultures of BAL fluid are sensitive and specific in the diagnosis of bacterial pneumonia. The use of antibiotics at the time of BAL reduces the sensitivity of the test, and prolonged intubation reduces the specificity of the test.","container-title":"The American Journal of Medicine","DOI":"10.1016/0002-9343(93)90356-t","ISSN":"0002-9343","issue":"6","journalAbbreviation":"Am J Med","language":"eng","note":"PMID: 8259777","page":"601-607","source":"PubMed","title":"Quantitative culture of bronchoalveolar lavage fluid for the diagnosis of bacterial pneumonia","volume":"95","author":[{"family":"Cantral","given":"D. E."},{"family":"Tape","given":"T. G."},{"family":"Reed","given":"E. C."},{"family":"Spurzem","given":"J. R."},{"family":"Rennard","given":"S. I."},{"family":"Thompson","given":"A. B."}],"issued":{"date-parts":[["1993",12]]}}},{"id":818,"uris":["http://zotero.org/users/local/FBmVQWxf/items/R5RNVYK7"],"itemData":{"id":818,"type":"article-journal","abstract":"It is important to realize that guidelines cannot always account for individual variation among patients. They are not intended to supplant physician judgment with respect to particular patients or special clinical situations. IDSA considers adherence to these guidelines to be voluntary, with the ultimate determination regarding their application to be made by the physician in the light of each patient's individual circumstances.These guidelines are intended for use by healthcare professionals who care for patients at risk for hospital-acquired pneumonia (HAP) and ventilator-associated pneumonia (VAP), including specialists in infectious diseases, pulmonary diseases, critical care, and surgeons, anesthesiologists, hospitalists, and any clinicians and healthcare providers caring for hospitalized patients with nosocomial pneumonia. The panel's recommendations for the diagnosis and treatment of HAP and VAP are based upon evidence derived from topic-specific systematic literature reviews.","container-title":"Clinical Infectious Diseases: An Official Publication of the Infectious Diseases Society of America","DOI":"10.1093/cid/ciw353","ISSN":"1537-6591","issue":"5","journalAbbreviation":"Clin Infect Dis","language":"eng","note":"PMID: 27418577\nPMCID: PMC4981759","page":"e61-e111","source":"PubMed","title":"Management of Adults With Hospital-acquired and Ventilator-associated Pneumonia: 2016 Clinical Practice Guidelines by the Infectious Diseases Society of America and the American Thoracic Society","title-short":"Management of Adults With Hospital-acquired and Ventilator-associated Pneumonia","volume":"63","author":[{"family":"Kalil","given":"Andre C."},{"family":"Metersky","given":"Mark L."},{"family":"Klompas","given":"Michael"},{"family":"Muscedere","given":"John"},{"family":"Sweeney","given":"Daniel A."},{"family":"Palmer","given":"Lucy B."},{"family":"Napolitano","given":"Lena M."},{"family":"O'Grady","given":"Naomi P."},{"family":"Bartlett","given":"John G."},{"family":"Carratalà","given":"Jordi"},{"family":"El Solh","given":"Ali A."},{"family":"Ewig","given":"Santiago"},{"family":"Fey","given":"Paul D."},{"family":"File","given":"Thomas M."},{"family":"Restrepo","given":"Marcos I."},{"family":"Roberts","given":"Jason A."},{"family":"Waterer","given":"Grant W."},{"family":"Cruse","given":"Peggy"},{"family":"Knight","given":"Shandra L."},{"family":"Brozek","given":"Jan L."}],"issued":{"date-parts":[["2016",9,1]]}}}],"schema":"https://github.com/citation-style-language/schema/raw/master/csl-citation.json"} </w:instrText>
      </w:r>
      <w:r w:rsidRPr="001F40A6">
        <w:rPr>
          <w:rFonts w:asciiTheme="majorBidi" w:hAnsiTheme="majorBidi" w:cstheme="majorBidi"/>
          <w:color w:val="000000"/>
          <w:lang w:val="en-US"/>
        </w:rPr>
        <w:fldChar w:fldCharType="separate"/>
      </w:r>
      <w:r w:rsidR="00CD5828" w:rsidRPr="001F40A6">
        <w:rPr>
          <w:rFonts w:hAnsiTheme="majorHAnsi"/>
          <w:color w:val="000000"/>
          <w:lang w:val="en-US"/>
        </w:rPr>
        <w:t>(E4</w:t>
      </w:r>
      <w:r w:rsidR="00CD5828" w:rsidRPr="001F40A6">
        <w:rPr>
          <w:rFonts w:hAnsiTheme="majorHAnsi"/>
          <w:color w:val="000000"/>
          <w:lang w:val="en-US"/>
        </w:rPr>
        <w:t>–</w:t>
      </w:r>
      <w:r w:rsidR="00CD5828" w:rsidRPr="001F40A6">
        <w:rPr>
          <w:rFonts w:hAnsiTheme="majorHAnsi"/>
          <w:color w:val="000000"/>
          <w:lang w:val="en-US"/>
        </w:rPr>
        <w:t>E7)</w:t>
      </w:r>
      <w:r w:rsidRPr="001F40A6">
        <w:rPr>
          <w:rFonts w:asciiTheme="majorBidi" w:hAnsiTheme="majorBidi" w:cstheme="majorBidi"/>
          <w:color w:val="000000"/>
          <w:lang w:val="en-US"/>
        </w:rPr>
        <w:fldChar w:fldCharType="end"/>
      </w:r>
      <w:r w:rsidRPr="001F40A6">
        <w:rPr>
          <w:rFonts w:asciiTheme="majorBidi" w:hAnsiTheme="majorBidi" w:cstheme="majorBidi"/>
          <w:color w:val="000000"/>
          <w:lang w:val="en-US"/>
        </w:rPr>
        <w:t xml:space="preserve">. In addition, a positive detection of </w:t>
      </w:r>
      <w:r w:rsidRPr="001F40A6">
        <w:rPr>
          <w:rFonts w:asciiTheme="majorBidi" w:hAnsiTheme="majorBidi" w:cstheme="majorBidi"/>
          <w:i/>
          <w:iCs/>
          <w:color w:val="000000"/>
          <w:lang w:val="en-US"/>
        </w:rPr>
        <w:t>Legionella pneumophila</w:t>
      </w:r>
      <w:r w:rsidRPr="001F40A6">
        <w:rPr>
          <w:rFonts w:asciiTheme="majorBidi" w:hAnsiTheme="majorBidi" w:cstheme="majorBidi"/>
          <w:color w:val="000000"/>
          <w:lang w:val="en-US"/>
        </w:rPr>
        <w:t xml:space="preserve"> serogroup 1 antigen in urine samples was considered as a confirmed diagnosis of pulmonary legionellosis; a positive PCR for </w:t>
      </w:r>
      <w:r w:rsidRPr="001F40A6">
        <w:rPr>
          <w:rFonts w:asciiTheme="majorBidi" w:hAnsiTheme="majorBidi" w:cstheme="majorBidi"/>
          <w:i/>
          <w:iCs/>
          <w:color w:val="000000"/>
          <w:lang w:val="en-US"/>
        </w:rPr>
        <w:t>M. pneumoniae</w:t>
      </w:r>
      <w:r w:rsidRPr="001F40A6">
        <w:rPr>
          <w:rFonts w:asciiTheme="majorBidi" w:hAnsiTheme="majorBidi" w:cstheme="majorBidi"/>
          <w:color w:val="000000"/>
          <w:lang w:val="en-US"/>
        </w:rPr>
        <w:t xml:space="preserve"> in a nasopharyngeal swab or bronchoalveolar lavage was considered as a confirmed diagnosis of </w:t>
      </w:r>
      <w:r w:rsidRPr="001F40A6">
        <w:rPr>
          <w:rFonts w:asciiTheme="majorBidi" w:hAnsiTheme="majorBidi" w:cstheme="majorBidi"/>
          <w:i/>
          <w:iCs/>
          <w:color w:val="000000"/>
          <w:lang w:val="en-US"/>
        </w:rPr>
        <w:t xml:space="preserve">Mycoplasma </w:t>
      </w:r>
      <w:r w:rsidRPr="001F40A6">
        <w:rPr>
          <w:rFonts w:asciiTheme="majorBidi" w:hAnsiTheme="majorBidi" w:cstheme="majorBidi"/>
          <w:color w:val="000000"/>
          <w:lang w:val="en-US"/>
        </w:rPr>
        <w:t>pneumonia.</w:t>
      </w:r>
    </w:p>
    <w:p w14:paraId="3C7717A2" w14:textId="77777777" w:rsidR="00FF0863" w:rsidRPr="001F40A6" w:rsidRDefault="00FF0863" w:rsidP="00FF0863">
      <w:pPr>
        <w:pStyle w:val="NormalWeb"/>
        <w:spacing w:before="0" w:beforeAutospacing="0" w:after="0" w:afterAutospacing="0" w:line="480" w:lineRule="auto"/>
        <w:ind w:firstLine="567"/>
        <w:rPr>
          <w:rFonts w:asciiTheme="majorBidi" w:hAnsiTheme="majorBidi" w:cstheme="majorBidi"/>
          <w:color w:val="000000"/>
          <w:lang w:val="en-US"/>
        </w:rPr>
      </w:pPr>
    </w:p>
    <w:p w14:paraId="5261FE55" w14:textId="77777777" w:rsidR="00FF0863" w:rsidRPr="001F40A6" w:rsidRDefault="00FF0863" w:rsidP="00FF0863">
      <w:pPr>
        <w:rPr>
          <w:rFonts w:asciiTheme="majorBidi" w:eastAsiaTheme="minorHAnsi" w:hAnsiTheme="majorBidi" w:cstheme="majorBidi"/>
          <w:b/>
          <w:bCs/>
          <w:color w:val="000000"/>
          <w:lang w:val="en-US" w:eastAsia="en-US"/>
        </w:rPr>
      </w:pPr>
      <w:r w:rsidRPr="001F40A6">
        <w:rPr>
          <w:rFonts w:asciiTheme="majorBidi" w:eastAsiaTheme="minorHAnsi" w:hAnsiTheme="majorBidi" w:cstheme="majorBidi"/>
          <w:b/>
          <w:bCs/>
          <w:color w:val="000000"/>
          <w:lang w:val="en-US" w:eastAsia="en-US"/>
        </w:rPr>
        <w:t>ICU management and ventilatory support</w:t>
      </w:r>
    </w:p>
    <w:p w14:paraId="5AFB0437" w14:textId="77777777" w:rsidR="00FF0863" w:rsidRPr="001F40A6" w:rsidRDefault="00FF0863" w:rsidP="00FF0863">
      <w:pPr>
        <w:rPr>
          <w:rFonts w:asciiTheme="majorBidi" w:eastAsiaTheme="minorHAnsi" w:hAnsiTheme="majorBidi" w:cstheme="majorBidi"/>
          <w:b/>
          <w:bCs/>
          <w:color w:val="000000"/>
          <w:lang w:val="en-US" w:eastAsia="en-US"/>
        </w:rPr>
      </w:pPr>
    </w:p>
    <w:p w14:paraId="7F00041C" w14:textId="07D2EAAC" w:rsidR="00FF0863" w:rsidRPr="001F40A6" w:rsidRDefault="00CC6663" w:rsidP="00FF0863">
      <w:pPr>
        <w:pStyle w:val="Default"/>
        <w:spacing w:line="480" w:lineRule="auto"/>
        <w:ind w:firstLine="284"/>
        <w:jc w:val="both"/>
        <w:rPr>
          <w:lang w:val="en-US"/>
        </w:rPr>
      </w:pPr>
      <w:r w:rsidRPr="001F40A6">
        <w:rPr>
          <w:lang w:val="en-US"/>
        </w:rPr>
        <w:t>According to</w:t>
      </w:r>
      <w:r w:rsidR="00FF0863" w:rsidRPr="001F40A6">
        <w:rPr>
          <w:lang w:val="en-US"/>
        </w:rPr>
        <w:t xml:space="preserve"> international guidelines for patients with </w:t>
      </w:r>
      <w:r w:rsidRPr="001F40A6">
        <w:rPr>
          <w:lang w:val="en-US"/>
        </w:rPr>
        <w:t xml:space="preserve">severe acute exacerbation of </w:t>
      </w:r>
      <w:r w:rsidR="00FF0863" w:rsidRPr="001F40A6">
        <w:rPr>
          <w:lang w:val="en-US"/>
        </w:rPr>
        <w:t xml:space="preserve">COPD, </w:t>
      </w:r>
      <w:r w:rsidRPr="001F40A6">
        <w:rPr>
          <w:lang w:val="en-US"/>
        </w:rPr>
        <w:t>non-invasive ventilation (</w:t>
      </w:r>
      <w:r w:rsidR="00FF0863" w:rsidRPr="001F40A6">
        <w:rPr>
          <w:lang w:val="en-US"/>
        </w:rPr>
        <w:t>NIV</w:t>
      </w:r>
      <w:r w:rsidRPr="001F40A6">
        <w:rPr>
          <w:lang w:val="en-US"/>
        </w:rPr>
        <w:t>)</w:t>
      </w:r>
      <w:r w:rsidR="00FF0863" w:rsidRPr="001F40A6">
        <w:rPr>
          <w:lang w:val="en-US"/>
        </w:rPr>
        <w:t xml:space="preserve"> was used as first-line therapy for signs of respiratory failure with respiratory acidosis, e.g., pH ≤7.35 and hypercapnia with </w:t>
      </w:r>
      <w:r w:rsidRPr="001F40A6">
        <w:rPr>
          <w:rFonts w:asciiTheme="majorBidi" w:hAnsiTheme="majorBidi" w:cstheme="majorBidi"/>
          <w:lang w:val="en-US"/>
        </w:rPr>
        <w:t xml:space="preserve">arterial partial pressure of carbon dioxide </w:t>
      </w:r>
      <w:r w:rsidRPr="001F40A6">
        <w:rPr>
          <w:lang w:val="en-US"/>
        </w:rPr>
        <w:t>[</w:t>
      </w:r>
      <w:r w:rsidR="00FF0863" w:rsidRPr="001F40A6">
        <w:rPr>
          <w:lang w:val="en-US"/>
        </w:rPr>
        <w:t>PaCO</w:t>
      </w:r>
      <w:r w:rsidR="00FF0863" w:rsidRPr="001F40A6">
        <w:rPr>
          <w:vertAlign w:val="subscript"/>
          <w:lang w:val="en-US"/>
        </w:rPr>
        <w:t>2</w:t>
      </w:r>
      <w:r w:rsidRPr="001F40A6">
        <w:rPr>
          <w:lang w:val="en-US"/>
        </w:rPr>
        <w:t>]</w:t>
      </w:r>
      <w:r w:rsidR="00FF0863" w:rsidRPr="001F40A6">
        <w:rPr>
          <w:lang w:val="en-US"/>
        </w:rPr>
        <w:t xml:space="preserve"> ≥45 mmHg</w:t>
      </w:r>
      <w:r w:rsidRPr="001F40A6">
        <w:rPr>
          <w:lang w:val="en-US"/>
        </w:rPr>
        <w:t xml:space="preserve"> </w:t>
      </w:r>
      <w:r w:rsidR="00600F85" w:rsidRPr="001F40A6">
        <w:rPr>
          <w:lang w:val="en-US"/>
        </w:rPr>
        <w:fldChar w:fldCharType="begin"/>
      </w:r>
      <w:r w:rsidR="00CD5828" w:rsidRPr="001F40A6">
        <w:rPr>
          <w:lang w:val="en-US"/>
        </w:rPr>
        <w:instrText xml:space="preserve"> ADDIN ZOTERO_ITEM CSL_CITATION {"citationID":"f7ei45XQ","properties":{"formattedCitation":"(8)","plainCitation":"(8)","noteIndex":0},"citationItems":[{"id":778,"uris":["http://zotero.org/users/local/FBmVQWxf/items/TX9TPNKM"],"itemData":{"id":778,"type":"article-journal","abstract":"Noninvasive mechanical ventilation (NIV) is widely used in the acute care setting for acute respiratory failure (ARF) across a variety of aetiologies. This document provides European Respiratory Society/American Thoracic Society recommendations for the clinical application of NIV based on the most current literature.The guideline committee was composed of clinicians, methodologists and experts in the field of NIV. The committee developed recommendations based on the GRADE (Grading, Recommendation, Assessment, Development and Evaluation) methodology for each actionable question. The GRADE Evidence to Decision framework in the guideline development tool was used to generate recommendations. A number of topics were addressed using technical summaries without recommendations and these are discussed in the supplementary material.This guideline committee developed recommendations for 11 actionable questions in a PICO (population-intervention-comparison-outcome) format, all addressing the use of NIV for various aetiologies of ARF. The specific conditions where recommendations were made include exacerbation of chronic obstructive pulmonary disease, cardiogenic pulmonary oedema, de novo hypoxaemic respiratory failure, immunocompromised patients, chest trauma, palliation, post-operative care, weaning and post-extubation.This document summarises the current state of knowledge regarding the role of NIV in ARF. Evidence-based recommendations provide guidance to relevant stakeholders.","container-title":"The European Respiratory Journal","DOI":"10.1183/13993003.02426-2016","ISSN":"1399-3003","issue":"2","journalAbbreviation":"Eur Respir J","language":"eng","note":"PMID: 28860265","page":"1602426","source":"PubMed","title":"Official ERS/ATS clinical practice guidelines: noninvasive ventilation for acute respiratory failure","title-short":"Official ERS/ATS clinical practice guidelines","volume":"50","author":[{"family":"Rochwerg","given":"Bram"},{"family":"Brochard","given":"Laurent"},{"family":"Elliott","given":"Mark W."},{"family":"Hess","given":"Dean"},{"family":"Hill","given":"Nicholas S."},{"family":"Nava","given":"Stefano"},{"family":"Navalesi","given":"Paolo"},{"family":"Antonelli","given":"Massimo"},{"family":"Brozek","given":"Jan"},{"family":"Conti","given":"Giorgio"},{"family":"Ferrer","given":"Miquel"},{"family":"Guntupalli","given":"Kalpalatha"},{"family":"Jaber","given":"Samir"},{"family":"Keenan","given":"Sean"},{"family":"Mancebo","given":"Jordi"},{"family":"Mehta","given":"Sangeeta"},{"family":"Raoof","given":"Suhail"}],"issued":{"date-parts":[["2017",8]]}}}],"schema":"https://github.com/citation-style-language/schema/raw/master/csl-citation.json"} </w:instrText>
      </w:r>
      <w:r w:rsidR="00600F85" w:rsidRPr="001F40A6">
        <w:rPr>
          <w:lang w:val="en-US"/>
        </w:rPr>
        <w:fldChar w:fldCharType="separate"/>
      </w:r>
      <w:r w:rsidR="00CD5828" w:rsidRPr="001F40A6">
        <w:rPr>
          <w:lang w:val="en-US"/>
        </w:rPr>
        <w:t>(8)</w:t>
      </w:r>
      <w:r w:rsidR="00600F85" w:rsidRPr="001F40A6">
        <w:rPr>
          <w:lang w:val="en-US"/>
        </w:rPr>
        <w:fldChar w:fldCharType="end"/>
      </w:r>
      <w:r w:rsidR="00600F85" w:rsidRPr="001F40A6">
        <w:rPr>
          <w:lang w:val="en-US"/>
        </w:rPr>
        <w:t>.</w:t>
      </w:r>
      <w:r w:rsidR="00FF0863" w:rsidRPr="001F40A6">
        <w:rPr>
          <w:lang w:val="en-US"/>
        </w:rPr>
        <w:t xml:space="preserve"> </w:t>
      </w:r>
    </w:p>
    <w:p w14:paraId="3EAAA999" w14:textId="4A6E6EFF" w:rsidR="00FF0863" w:rsidRPr="001F40A6" w:rsidRDefault="00FF0863" w:rsidP="00FF0863">
      <w:pPr>
        <w:pStyle w:val="Default"/>
        <w:spacing w:line="480" w:lineRule="auto"/>
        <w:ind w:firstLine="284"/>
        <w:jc w:val="both"/>
        <w:rPr>
          <w:lang w:val="en-US"/>
        </w:rPr>
      </w:pPr>
      <w:r w:rsidRPr="001F40A6">
        <w:rPr>
          <w:szCs w:val="23"/>
          <w:lang w:val="en-US"/>
        </w:rPr>
        <w:t>NIV failures that require invasive mechanical ventilation</w:t>
      </w:r>
      <w:r w:rsidRPr="001F40A6">
        <w:rPr>
          <w:lang w:val="en-US"/>
        </w:rPr>
        <w:t xml:space="preserve"> was defined as previously reported in studies using NIV</w:t>
      </w:r>
      <w:r w:rsidR="00600F85" w:rsidRPr="001F40A6">
        <w:rPr>
          <w:lang w:val="en-US"/>
        </w:rPr>
        <w:fldChar w:fldCharType="begin"/>
      </w:r>
      <w:r w:rsidR="00600F85" w:rsidRPr="001F40A6">
        <w:rPr>
          <w:lang w:val="en-US"/>
        </w:rPr>
        <w:instrText xml:space="preserve"> ADDIN ZOTERO_ITEM CSL_CITATION {"citationID":"p27WVfoh","properties":{"formattedCitation":"(6\\uc0\\u8211{}10)","plainCitation":"(6–10)","dontUpdate":true,"noteIndex":0},"citationItems":[{"id":778,"uris":["http://zotero.org/users/local/FBmVQWxf/items/TX9TPNKM"],"itemData":{"id":778,"type":"article-journal","abstract":"Noninvasive mechanical ventilation (NIV) is widely used in the acute care setting for acute respiratory failure (ARF) across a variety of aetiologies. This document provides European Respiratory Society/American Thoracic Society recommendations for the clinical application of NIV based on the most current literature.The guideline committee was composed of clinicians, methodologists and experts in the field of NIV. The committee developed recommendations based on the GRADE (Grading, Recommendation, Assessment, Development and Evaluation) methodology for each actionable question. The GRADE Evidence to Decision framework in the guideline development tool was used to generate recommendations. A number of topics were addressed using technical summaries without recommendations and these are discussed in the supplementary material.This guideline committee developed recommendations for 11 actionable questions in a PICO (population-intervention-comparison-outcome) format, all addressing the use of NIV for various aetiologies of ARF. The specific conditions where recommendations were made include exacerbation of chronic obstructive pulmonary disease, cardiogenic pulmonary oedema, de novo hypoxaemic respiratory failure, immunocompromised patients, chest trauma, palliation, post-operative care, weaning and post-extubation.This document summarises the current state of knowledge regarding the role of NIV in ARF. Evidence-based recommendations provide guidance to relevant stakeholders.","container-title":"The European Respiratory Journal","DOI":"10.1183/13993003.02426-2016","ISSN":"1399-3003","issue":"2","journalAbbreviation":"Eur Respir J","language":"eng","note":"PMID: 28860265","page":"1602426","source":"PubMed","title":"Official ERS/ATS clinical practice guidelines: noninvasive ventilation for acute respiratory failure","title-short":"Official ERS/ATS clinical practice guidelines","volume":"50","author":[{"family":"Rochwerg","given":"Bram"},{"family":"Brochard","given":"Laurent"},{"family":"Elliott","given":"Mark W."},{"family":"Hess","given":"Dean"},{"family":"Hill","given":"Nicholas S."},{"family":"Nava","given":"Stefano"},{"family":"Navalesi","given":"Paolo"},{"family":"Antonelli","given":"Massimo"},{"family":"Brozek","given":"Jan"},{"family":"Conti","given":"Giorgio"},{"family":"Ferrer","given":"Miquel"},{"family":"Guntupalli","given":"Kalpalatha"},{"family":"Jaber","given":"Samir"},{"family":"Keenan","given":"Sean"},{"family":"Mancebo","given":"Jordi"},{"family":"Mehta","given":"Sangeeta"},{"family":"Raoof","given":"Suhail"}],"issued":{"date-parts":[["2017",8]]}}},{"id":579,"uris":["http://zotero.org/users/local/FBmVQWxf/items/PD8U85FX"],"itemData":{"id":579,"type":"article-journal","container-title":"Thorax","DOI":"10.1136/thoraxjnl-2015-208209","ISSN":"1468-3296","journalAbbreviation":"Thorax","language":"eng","note":"PMID: 26976648","page":"ii1-35","source":"PubMed","title":"BTS/ICS guideline for the ventilatory management of acute hypercapnic respiratory failure in adults","volume":"71 Suppl 2","author":[{"family":"Davidson","given":"A. Craig"},{"family":"Banham","given":"Stephen"},{"family":"Elliott","given":"Mark"},{"family":"Kennedy","given":"Daniel"},{"family":"Gelder","given":"Colin"},{"family":"Glossop","given":"Alastair"},{"family":"Church","given":"Alistair Colin"},{"family":"Creagh-Brown","given":"Ben"},{"family":"Dodd","given":"James William"},{"family":"Felton","given":"Tim"},{"family":"Foëx","given":"Bernard"},{"family":"Mansfield","given":"Leigh"},{"family":"McDonnell","given":"Lynn"},{"family":"Parker","given":"Robert"},{"family":"Patterson","given":"Caroline Marie"},{"family":"Sovani","given":"Milind"},{"family":"Thomas","given":"Lynn"},{"literal":"BTS Standards of Care Committee Member, British Thoracic Society/Intensive Care Society Acute Hypercapnic Respiratory Failure Guideline Development Group, On behalf of the British Thoracic Society Standards of Care Committee"}],"issued":{"date-parts":[["2016",4]]}}},{"id":784,"uris":["http://zotero.org/users/local/FBmVQWxf/items/NX8VHPU3"],"itemData":{"id":784,"type":"article-journal","abstract":"BACKGROUND: Non-invasive positive pressure ventilation (NPPV) is being used increasingly in the management of patients admitted to hospital with acute respiratory failure secondary to an exacerbation of chronic obstructive pulmonary disease (COPD).\nOBJECTIVES: To determine the efficacy of NPPV in the management of patients with respiratory failure due to an acute exacerbation of COPD.\nSEARCH STRATEGY: An initial search was performed using the Cochrane Airways Group trials register and other relevant electronic databases. An updated search was conducted in September 2003 and another in April 2004.\nSELECTION CRITERIA: Randomised controlled trials comparing NPPV plus usual medical care (UMC) versus UMC alone were selected. Trials needed to recruit adult patients admitted to hospital with respiratory failure due to an exacerbation of COPD and with PaCO2 &gt; 6 kPa (45 mmHg).\nDATA COLLECTION AND ANALYSIS: Two reviewers independently selected articles for inclusion, evaluated methodological quality of the studies and abstracted the data.\nMAIN RESULTS: Fourteen studies were included in the review. NPPV resulted in decreased mortality (Relative Risk 0.52; 95%CI 0.35 to 0.76), decreased need for intubation (RR 0.41; 95%CI 0.33 to 0.53), reduction in treatment failure (RR 0.48; 95%CI 0.37 to 0.63), rapid improvement within the first hour in pH (Weight Mean Difference 0.03; 95%CI 0.02 to 0.04), PaCO2 (WMD -0.40 kPa; 95%CI -0.78 to -0.03) and respiratory rate (WMD -3.08 bpm; 95%CI -4.26 to -1.89). In addition, complications associated with treatment (RR 0.38; 95%CI 0.24 to 0.60) and length of hospital stay (WMD -3.24 days; 95%CI -4.42 to -2.06) was also reduced in the NPPV group.\nREVIEWERS' CONCLUSIONS: Data from good quality randomised controlled trials show benefit of NPPV as first line intervention as an adjunct therapy to usual medical care in all suitable patients for the management of respiratory failure secondary to an acute exacerbation of COPD. NPPV should be considered early in the course of respiratory failure and before severe acidosis ensues, as a means of reducing the likelihood of endotracheal intubation, treatment failure and mortality.","container-title":"The Cochrane Database of Systematic Reviews","DOI":"10.1002/14651858.CD004104.pub3","ISSN":"1469-493X","issue":"3","journalAbbreviation":"Cochrane Database Syst Rev","language":"eng","note":"PMID: 15266518","page":"CD004104","source":"PubMed","title":"Non-invasive positive pressure ventilation for treatment of respiratory failure due to exacerbations of chronic obstructive pulmonary disease","author":[{"family":"Ram","given":"F. S. F."},{"family":"Picot","given":"J."},{"family":"Lightowler","given":"J."},{"family":"Wedzicha","given":"J. A."}],"issued":{"date-parts":[["2004"]]}}},{"id":786,"uris":["http://zotero.org/users/local/FBmVQWxf/items/5FFFZIBI"],"itemData":{"id":786,"type":"article-journal","abstract":"OBJECTIVE: To update and expand the 2013 Clinical Practice Guidelines for the Management of Pain, Agitation, and Delirium in Adult Patients in the ICU.\nDESIGN: Thirty-two international experts, four methodologists, and four critical illness survivors met virtually at least monthly. All section groups gathered face-to-face at annual Society of Critical Care Medicine congresses; virtual connections included those unable to attend. A formal conflict of interest policy was developed a priori and enforced throughout the process. Teleconferences and electronic discussions among subgroups and whole panel were part of the guidelines' development. A general content review was completed face-to-face by all panel members in January 2017.\nMETHODS: Content experts, methodologists, and ICU survivors were represented in each of the five sections of the guidelines: Pain, Agitation/sedation, Delirium, Immobility (mobilization/rehabilitation), and Sleep (disruption). Each section created Population, Intervention, Comparison, and Outcome, and nonactionable, descriptive questions based on perceived clinical relevance. The guideline group then voted their ranking, and patients prioritized their importance. For each Population, Intervention, Comparison, and Outcome question, sections searched the best available evidence, determined its quality, and formulated recommendations as \"strong,\" \"conditional,\" or \"good\" practice statements based on Grading of Recommendations Assessment, Development and Evaluation principles. In addition, evidence gaps and clinical caveats were explicitly identified.\nRESULTS: The Pain, Agitation/Sedation, Delirium, Immobility (mobilization/rehabilitation), and Sleep (disruption) panel issued 37 recommendations (three strong and 34 conditional), two good practice statements, and 32 ungraded, nonactionable statements. Three questions from the patient-centered prioritized question list remained without recommendation.\nCONCLUSIONS: We found substantial agreement among a large, interdisciplinary cohort of international experts regarding evidence supporting recommendations, and the remaining literature gaps in the assessment, prevention, and treatment of Pain, Agitation/sedation, Delirium, Immobility (mobilization/rehabilitation), and Sleep (disruption) in critically ill adults. Highlighting this evidence and the research needs will improve Pain, Agitation/sedation, Delirium, Immobility (mobilization/rehabilitation), and Sleep (disruption) management and provide the foundation for improved outcomes and science in this vulnerable population.","container-title":"Critical Care Medicine","DOI":"10.1097/CCM.0000000000003299","ISSN":"1530-0293","issue":"9","journalAbbreviation":"Crit Care Med","language":"eng","note":"PMID: 30113379","page":"e825-e873","source":"PubMed","title":"Clinical Practice Guidelines for the Prevention and Management of Pain, Agitation/Sedation, Delirium, Immobility, and Sleep Disruption in Adult Patients in the ICU","volume":"46","author":[{"family":"Devlin","given":"John W."},{"family":"Skrobik","given":"Yoanna"},{"family":"Gélinas","given":"Céline"},{"family":"Needham","given":"Dale M."},{"family":"Slooter","given":"Arjen J. C."},{"family":"Pandharipande","given":"Pratik P."},{"family":"Watson","given":"Paula L."},{"family":"Weinhouse","given":"Gerald L."},{"family":"Nunnally","given":"Mark E."},{"family":"Rochwerg","given":"Bram"},{"family":"Balas","given":"Michele C."},{"family":"Boogaard","given":"Mark","non-dropping-particle":"van den"},{"family":"Bosma","given":"Karen J."},{"family":"Brummel","given":"Nathaniel E."},{"family":"Chanques","given":"Gerald"},{"family":"Denehy","given":"Linda"},{"family":"Drouot","given":"Xavier"},{"family":"Fraser","given":"Gilles L."},{"family":"Harris","given":"Jocelyn E."},{"family":"Joffe","given":"Aaron M."},{"family":"Kho","given":"Michelle E."},{"family":"Kress","given":"John P."},{"family":"Lanphere","given":"Julie A."},{"family":"McKinley","given":"Sharon"},{"family":"Neufeld","given":"Karin J."},{"family":"Pisani","given":"Margaret A."},{"family":"Payen","given":"Jean-Francois"},{"family":"Pun","given":"Brenda T."},{"family":"Puntillo","given":"Kathleen A."},{"family":"Riker","given":"Richard R."},{"family":"Robinson","given":"Bryce R. H."},{"family":"Shehabi","given":"Yahya"},{"family":"Szumita","given":"Paul M."},{"family":"Winkelman","given":"Chris"},{"family":"Centofanti","given":"John E."},{"family":"Price","given":"Carrie"},{"family":"Nikayin","given":"Sina"},{"family":"Misak","given":"Cheryl J."},{"family":"Flood","given":"Pamela D."},{"family":"Kiedrowski","given":"Ken"},{"family":"Alhazzani","given":"Waleed"}],"issued":{"date-parts":[["2018",9]]}}},{"id":789,"uris":["http://zotero.org/users/local/FBmVQWxf/items/ZPWLIEYI"],"itemData":{"id":789,"type":"article-journal","abstract":"Weaning covers the entire process of liberating the patient from mechanical support and from the endotracheal tube. Many controversial questions remain concerning the best methods for conducting this process. An International Consensus Conference was held in April 2005 to provide recommendations regarding the management of this process. An 11-member international jury answered five pre-defined questions. 1) What is known about the epidemiology of weaning problems? 2) What is the pathophysiology of weaning failure? 3) What is the usual process of initial weaning from the ventilator? 4) Is there a role for different ventilator modes in more difficult weaning? 5) How should patients with prolonged weaning failure be managed? The main recommendations were as follows. 1) Patients should be categorised into three groups based on the difficulty and duration of the weaning process. 2) Weaning should be considered as early as possible. 3) A spontaneous breathing trial is the major diagnostic test to determine whether patients can be successfully extubated. 4) The initial trial should last 30 min and consist of either T-tube breathing or low levels of pressure support. 5) Pressure support or assist-control ventilation modes should be favoured in patients failing an initial trial/trials. 6) Noninvasive ventilation techniques should be considered in selected patients to shorten the duration of intubation but should not be routinely used as a tool for extubation failure.","container-title":"The European Respiratory Journal","DOI":"10.1183/09031936.00010206","ISSN":"0903-1936","issue":"5","journalAbbreviation":"Eur Respir J","language":"eng","note":"PMID: 17470624","page":"1033-1056","source":"PubMed","title":"Weaning from mechanical ventilation","volume":"29","author":[{"family":"Boles","given":"J.-M."},{"family":"Bion","given":"J."},{"family":"Connors","given":"A."},{"family":"Herridge","given":"M."},{"family":"Marsh","given":"B."},{"family":"Melot","given":"C."},{"family":"Pearl","given":"R."},{"family":"Silverman","given":"H."},{"family":"Stanchina","given":"M."},{"family":"Vieillard-Baron","given":"A."},{"family":"Welte","given":"T."}],"issued":{"date-parts":[["2007",5]]}}}],"schema":"https://github.com/citation-style-language/schema/raw/master/csl-citation.json"} </w:instrText>
      </w:r>
      <w:r w:rsidR="00600F85" w:rsidRPr="001F40A6">
        <w:rPr>
          <w:lang w:val="en-US"/>
        </w:rPr>
        <w:fldChar w:fldCharType="separate"/>
      </w:r>
      <w:r w:rsidR="00600F85" w:rsidRPr="001F40A6">
        <w:rPr>
          <w:lang w:val="en-US"/>
        </w:rPr>
        <w:t>(E</w:t>
      </w:r>
      <w:r w:rsidR="00CD5828" w:rsidRPr="001F40A6">
        <w:rPr>
          <w:lang w:val="en-US"/>
        </w:rPr>
        <w:t>8</w:t>
      </w:r>
      <w:r w:rsidR="00600F85" w:rsidRPr="001F40A6">
        <w:rPr>
          <w:lang w:val="en-US"/>
        </w:rPr>
        <w:t>–</w:t>
      </w:r>
      <w:r w:rsidR="00A120AC" w:rsidRPr="001F40A6">
        <w:rPr>
          <w:lang w:val="en-US"/>
        </w:rPr>
        <w:t>E</w:t>
      </w:r>
      <w:r w:rsidR="00600F85" w:rsidRPr="001F40A6">
        <w:rPr>
          <w:lang w:val="en-US"/>
        </w:rPr>
        <w:t>1</w:t>
      </w:r>
      <w:r w:rsidR="00CD5828" w:rsidRPr="001F40A6">
        <w:rPr>
          <w:lang w:val="en-US"/>
        </w:rPr>
        <w:t>2</w:t>
      </w:r>
      <w:r w:rsidR="00600F85" w:rsidRPr="001F40A6">
        <w:rPr>
          <w:lang w:val="en-US"/>
        </w:rPr>
        <w:t>)</w:t>
      </w:r>
      <w:r w:rsidR="00600F85" w:rsidRPr="001F40A6">
        <w:rPr>
          <w:lang w:val="en-US"/>
        </w:rPr>
        <w:fldChar w:fldCharType="end"/>
      </w:r>
      <w:r w:rsidR="00600F85" w:rsidRPr="001F40A6">
        <w:rPr>
          <w:lang w:val="en-US"/>
        </w:rPr>
        <w:t xml:space="preserve"> a</w:t>
      </w:r>
      <w:r w:rsidRPr="001F40A6">
        <w:rPr>
          <w:lang w:val="en-US"/>
        </w:rPr>
        <w:t xml:space="preserve">nd correspond to current clinical daily practice in the ICU. </w:t>
      </w:r>
      <w:r w:rsidR="00CC6663" w:rsidRPr="001F40A6">
        <w:rPr>
          <w:lang w:val="en-US"/>
        </w:rPr>
        <w:t>T</w:t>
      </w:r>
      <w:r w:rsidRPr="001F40A6">
        <w:rPr>
          <w:lang w:val="en-US"/>
        </w:rPr>
        <w:t xml:space="preserve">he formal indications for invasive mechanical ventilation </w:t>
      </w:r>
      <w:r w:rsidR="00CC6663" w:rsidRPr="001F40A6">
        <w:rPr>
          <w:lang w:val="en-US"/>
        </w:rPr>
        <w:t xml:space="preserve">(MV) </w:t>
      </w:r>
      <w:r w:rsidRPr="001F40A6">
        <w:rPr>
          <w:lang w:val="en-US"/>
        </w:rPr>
        <w:t>w</w:t>
      </w:r>
      <w:r w:rsidR="00CC6663" w:rsidRPr="001F40A6">
        <w:rPr>
          <w:lang w:val="en-US"/>
        </w:rPr>
        <w:t>ere</w:t>
      </w:r>
      <w:r w:rsidRPr="001F40A6">
        <w:rPr>
          <w:lang w:val="en-US"/>
        </w:rPr>
        <w:t xml:space="preserve"> </w:t>
      </w:r>
      <w:r w:rsidR="00CC6663" w:rsidRPr="001F40A6">
        <w:rPr>
          <w:lang w:val="en-US"/>
        </w:rPr>
        <w:t xml:space="preserve">standardized </w:t>
      </w:r>
      <w:r w:rsidRPr="001F40A6">
        <w:rPr>
          <w:lang w:val="en-US"/>
        </w:rPr>
        <w:t xml:space="preserve">defined </w:t>
      </w:r>
      <w:r w:rsidR="00CC6663" w:rsidRPr="001F40A6">
        <w:rPr>
          <w:lang w:val="en-US"/>
        </w:rPr>
        <w:t xml:space="preserve">such </w:t>
      </w:r>
      <w:r w:rsidRPr="001F40A6">
        <w:rPr>
          <w:lang w:val="en-US"/>
        </w:rPr>
        <w:t xml:space="preserve">as: i) NIV failure (neurological worsening with persistent hypercapnic acidosis; respiratory and hypercapnic acidosis worsening; refractory hypoxemia under NIV); ii) cardiac arrhythmias leading to circulatory failure; iii) shock requiring a vasopressor; iv) cardiopulmonary arrest; or </w:t>
      </w:r>
      <w:r w:rsidRPr="001F40A6">
        <w:rPr>
          <w:lang w:val="en-US"/>
        </w:rPr>
        <w:lastRenderedPageBreak/>
        <w:t>v) respiratory failure and hypercapnic acidosis with contraindication to NIV (surgery, deformity or facial trauma, or digestive intolerance with uncontrollable vomiting making NIV impossible). For invasive mechanical ventilation, the procedure and ventilatory settings w</w:t>
      </w:r>
      <w:r w:rsidR="00CC6663" w:rsidRPr="001F40A6">
        <w:rPr>
          <w:lang w:val="en-US"/>
        </w:rPr>
        <w:t>ere</w:t>
      </w:r>
      <w:r w:rsidRPr="001F40A6">
        <w:rPr>
          <w:lang w:val="en-US"/>
        </w:rPr>
        <w:t xml:space="preserve"> standardized according to international recommendations. In case of acute respiratory distress syndrome (</w:t>
      </w:r>
      <w:r w:rsidRPr="001F40A6">
        <w:rPr>
          <w:szCs w:val="23"/>
          <w:lang w:val="en-US"/>
        </w:rPr>
        <w:t>ARDS)</w:t>
      </w:r>
      <w:r w:rsidRPr="001F40A6">
        <w:rPr>
          <w:lang w:val="en-US"/>
        </w:rPr>
        <w:t xml:space="preserve"> (Berlin definition</w:t>
      </w:r>
      <w:r w:rsidR="00600F85" w:rsidRPr="001F40A6">
        <w:rPr>
          <w:lang w:val="en-US"/>
        </w:rPr>
        <w:t xml:space="preserve"> </w:t>
      </w:r>
      <w:r w:rsidR="00600F85" w:rsidRPr="001F40A6">
        <w:rPr>
          <w:lang w:val="en-US"/>
        </w:rPr>
        <w:fldChar w:fldCharType="begin"/>
      </w:r>
      <w:r w:rsidR="00600F85" w:rsidRPr="001F40A6">
        <w:rPr>
          <w:lang w:val="en-US"/>
        </w:rPr>
        <w:instrText xml:space="preserve"> ADDIN ZOTERO_ITEM CSL_CITATION {"citationID":"ZepXR5z9","properties":{"formattedCitation":"(11)","plainCitation":"(11)","dontUpdate":true,"noteIndex":0},"citationItems":[{"id":792,"uris":["http://zotero.org/users/local/FBmVQWxf/items/RDPHSPSC"],"itemData":{"id":792,"type":"article-journal","abstract":"The acute respiratory distress syndrome (ARDS) was defined in 1994 by the American-European Consensus Conference (AECC); since then, issues regarding the reliability and validity of this definition have emerged. Using a consensus process, a panel of experts convened in 2011 (an initiative of the European Society of Intensive Care Medicine endorsed by the American Thoracic Society and the Society of Critical Care Medicine) developed the Berlin Definition, focusing on feasibility, reliability, validity, and objective evaluation of its performance. A draft definition proposed 3 mutually exclusive categories of ARDS based on degree of hypoxemia: mild (200 mm Hg &amp;lt; PaO2/FIO2 ≤ 300 mm Hg), moderate (100 mm Hg &amp;lt; PaO2/FIO2 ≤ 200 mm Hg), and severe (PaO2/FIO2 ≤ 100 mm Hg) and 4 ancillary variables for severe ARDS: radiographic severity, respiratory system compliance (≤40 mL/cm H2O), positive end-expiratory pressure (≥10 cm H2O), and corrected expired volume per minute (≥10 L/min). The draft Berlin Definition was empirically evaluated using patient-level meta-analysis of 4188 patients with ARDS from 4 multicenter clinical data sets and 269 patients with ARDS from 3 single-center data sets containing physiologic information. The 4 ancillary variables did not contribute to the predictive validity of severe ARDS for mortality and were removed from the definition. Using the Berlin Definition, stages of mild, moderate, and severe ARDS were associated with increased mortality (27%; 95% CI, 24%-30%; 32%; 95% CI, 29%-34%; and 45%; 95% CI, 42%-48%, respectively; P &amp;lt; .001) and increased median duration of mechanical ventilation in survivors (5 days; interquartile [IQR], 2-11; 7 days; IQR, 4-14; and 9 days; IQR, 5-17, respectively; P &amp;lt; .001). Compared with the AECC definition, the final Berlin Definition had better predictive validity for mortality, with an area under the receiver operating curve of 0.577 (95% CI, 0.561-0.593) vs 0.536 (95% CI, 0.520-0.553; P &amp;lt; .001). This updated and revised Berlin Definition for ARDS addresses a number of the limitations of the AECC definition. The approach of combining consensus discussions with empirical evaluation may serve as a model to create more accurate, evidence-based, critical illness syndrome definitions and to better inform clinical care, research, and health services planning.","container-title":"JAMA","DOI":"10.1001/jama.2012.5669","ISSN":"1538-3598","issue":"23","journalAbbreviation":"JAMA","language":"eng","note":"PMID: 22797452","page":"2526-2533","source":"PubMed","title":"Acute respiratory distress syndrome: the Berlin Definition","title-short":"Acute respiratory distress syndrome","volume":"307","author":[{"literal":"ARDS Definition Task Force"},{"family":"Ranieri","given":"V. Marco"},{"family":"Rubenfeld","given":"Gordon D."},{"family":"Thompson","given":"B. Taylor"},{"family":"Ferguson","given":"Niall D."},{"family":"Caldwell","given":"Ellen"},{"family":"Fan","given":"Eddy"},{"family":"Camporota","given":"Luigi"},{"family":"Slutsky","given":"Arthur S."}],"issued":{"date-parts":[["2012",6,20]]}}}],"schema":"https://github.com/citation-style-language/schema/raw/master/csl-citation.json"} </w:instrText>
      </w:r>
      <w:r w:rsidR="00600F85" w:rsidRPr="001F40A6">
        <w:rPr>
          <w:lang w:val="en-US"/>
        </w:rPr>
        <w:fldChar w:fldCharType="separate"/>
      </w:r>
      <w:r w:rsidR="00600F85" w:rsidRPr="001F40A6">
        <w:rPr>
          <w:lang w:val="en-US"/>
        </w:rPr>
        <w:t>(E1</w:t>
      </w:r>
      <w:r w:rsidR="00CD5828" w:rsidRPr="001F40A6">
        <w:rPr>
          <w:lang w:val="en-US"/>
        </w:rPr>
        <w:t>3</w:t>
      </w:r>
      <w:r w:rsidR="00600F85" w:rsidRPr="001F40A6">
        <w:rPr>
          <w:lang w:val="en-US"/>
        </w:rPr>
        <w:t>)</w:t>
      </w:r>
      <w:r w:rsidR="00600F85" w:rsidRPr="001F40A6">
        <w:rPr>
          <w:lang w:val="en-US"/>
        </w:rPr>
        <w:fldChar w:fldCharType="end"/>
      </w:r>
      <w:r w:rsidR="00600F85" w:rsidRPr="001F40A6">
        <w:rPr>
          <w:lang w:val="en-US"/>
        </w:rPr>
        <w:t>)</w:t>
      </w:r>
      <w:r w:rsidRPr="001F40A6">
        <w:rPr>
          <w:lang w:val="en-US"/>
        </w:rPr>
        <w:t>, settings of ventilatory parameters w</w:t>
      </w:r>
      <w:r w:rsidR="00EF333A" w:rsidRPr="001F40A6">
        <w:rPr>
          <w:lang w:val="en-US"/>
        </w:rPr>
        <w:t>ere</w:t>
      </w:r>
      <w:r w:rsidRPr="001F40A6">
        <w:rPr>
          <w:lang w:val="en-US"/>
        </w:rPr>
        <w:t xml:space="preserve"> left to the discretion of the clinician in charge but in </w:t>
      </w:r>
      <w:r w:rsidRPr="001F40A6">
        <w:rPr>
          <w:szCs w:val="23"/>
          <w:lang w:val="en-US"/>
        </w:rPr>
        <w:t>accordance with international ARDS guidelines</w:t>
      </w:r>
      <w:r w:rsidRPr="001F40A6">
        <w:rPr>
          <w:lang w:val="en-US"/>
        </w:rPr>
        <w:t>.</w:t>
      </w:r>
    </w:p>
    <w:p w14:paraId="34391D23" w14:textId="05F68AD1" w:rsidR="00FF0863" w:rsidRPr="001F40A6" w:rsidRDefault="00FF0863" w:rsidP="00FF0863">
      <w:pPr>
        <w:pStyle w:val="Default"/>
        <w:spacing w:line="480" w:lineRule="auto"/>
        <w:ind w:firstLine="284"/>
        <w:jc w:val="both"/>
        <w:rPr>
          <w:lang w:val="en-US"/>
        </w:rPr>
      </w:pPr>
      <w:r w:rsidRPr="001F40A6">
        <w:rPr>
          <w:szCs w:val="23"/>
          <w:lang w:val="en-US"/>
        </w:rPr>
        <w:t>In case of successful NIV (without the need for invasive mechanical ventilation</w:t>
      </w:r>
      <w:r w:rsidR="00EF333A" w:rsidRPr="001F40A6">
        <w:rPr>
          <w:szCs w:val="23"/>
          <w:lang w:val="en-US"/>
        </w:rPr>
        <w:t xml:space="preserve"> during ICU stay</w:t>
      </w:r>
      <w:r w:rsidRPr="001F40A6">
        <w:rPr>
          <w:szCs w:val="23"/>
          <w:lang w:val="en-US"/>
        </w:rPr>
        <w:t xml:space="preserve">), the weaning process was progressive. In the absence of universal established criteria, the </w:t>
      </w:r>
      <w:r w:rsidRPr="001F40A6">
        <w:rPr>
          <w:lang w:val="en-US"/>
        </w:rPr>
        <w:t xml:space="preserve">NIV withdrawal procedure was standardized but with flexibility left to the clinician in charge of the patient. The weaning took clinical and gasometrical criteria into account. If the strategy of reducing the number of NIV sessions was successful after a 24-hour period, the weaning period was started. In case of poor tolerance of the weaning process (clinical and/or gasometrical), NIV sessions were </w:t>
      </w:r>
      <w:r w:rsidRPr="001F40A6">
        <w:rPr>
          <w:szCs w:val="23"/>
          <w:lang w:val="en-US"/>
        </w:rPr>
        <w:t>increased until stabilization (no sign of acute respiratory failure, breath rate &lt;30/minute with stable pH &gt;7.35 and normocapnia or mild stable hypercapnia [&lt;50 mmHg])</w:t>
      </w:r>
      <w:r w:rsidRPr="001F40A6">
        <w:rPr>
          <w:lang w:val="en-US"/>
        </w:rPr>
        <w:t>.</w:t>
      </w:r>
    </w:p>
    <w:p w14:paraId="0E1F974B" w14:textId="6AB7220D" w:rsidR="00FF0863" w:rsidRPr="001F40A6" w:rsidRDefault="00FF0863" w:rsidP="00FF0863">
      <w:pPr>
        <w:pStyle w:val="Default"/>
        <w:spacing w:line="480" w:lineRule="auto"/>
        <w:ind w:firstLine="284"/>
        <w:jc w:val="both"/>
        <w:rPr>
          <w:lang w:val="en-US"/>
        </w:rPr>
      </w:pPr>
      <w:r w:rsidRPr="001F40A6">
        <w:rPr>
          <w:lang w:val="en-US"/>
        </w:rPr>
        <w:t xml:space="preserve">During the weaning process of invasive </w:t>
      </w:r>
      <w:r w:rsidR="00EF333A" w:rsidRPr="001F40A6">
        <w:rPr>
          <w:lang w:val="en-US"/>
        </w:rPr>
        <w:t>MV</w:t>
      </w:r>
      <w:r w:rsidR="00154F19" w:rsidRPr="001F40A6">
        <w:rPr>
          <w:szCs w:val="23"/>
          <w:lang w:val="en-US"/>
        </w:rPr>
        <w:t>,</w:t>
      </w:r>
      <w:r w:rsidRPr="001F40A6">
        <w:rPr>
          <w:lang w:val="en-US"/>
        </w:rPr>
        <w:t xml:space="preserve"> patients fulfilling the recommended prespecified criteria </w:t>
      </w:r>
      <w:r w:rsidR="00154F19" w:rsidRPr="001F40A6">
        <w:rPr>
          <w:lang w:val="en-US"/>
        </w:rPr>
        <w:t>were</w:t>
      </w:r>
      <w:r w:rsidRPr="001F40A6">
        <w:rPr>
          <w:lang w:val="en-US"/>
        </w:rPr>
        <w:t xml:space="preserve"> given a spontaneous breathing trial</w:t>
      </w:r>
      <w:r w:rsidR="00600F85" w:rsidRPr="001F40A6">
        <w:rPr>
          <w:lang w:val="en-US"/>
        </w:rPr>
        <w:t xml:space="preserve"> </w:t>
      </w:r>
      <w:r w:rsidR="00600F85" w:rsidRPr="001F40A6">
        <w:rPr>
          <w:lang w:val="en-US"/>
        </w:rPr>
        <w:fldChar w:fldCharType="begin"/>
      </w:r>
      <w:r w:rsidR="00600F85" w:rsidRPr="001F40A6">
        <w:rPr>
          <w:lang w:val="en-US"/>
        </w:rPr>
        <w:instrText xml:space="preserve"> ADDIN ZOTERO_ITEM CSL_CITATION {"citationID":"WgOkKyIr","properties":{"formattedCitation":"(10, 12)","plainCitation":"(10, 12)","dontUpdate":true,"noteIndex":0},"citationItems":[{"id":789,"uris":["http://zotero.org/users/local/FBmVQWxf/items/ZPWLIEYI"],"itemData":{"id":789,"type":"article-journal","abstract":"Weaning covers the entire process of liberating the patient from mechanical support and from the endotracheal tube. Many controversial questions remain concerning the best methods for conducting this process. An International Consensus Conference was held in April 2005 to provide recommendations regarding the management of this process. An 11-member international jury answered five pre-defined questions. 1) What is known about the epidemiology of weaning problems? 2) What is the pathophysiology of weaning failure? 3) What is the usual process of initial weaning from the ventilator? 4) Is there a role for different ventilator modes in more difficult weaning? 5) How should patients with prolonged weaning failure be managed? The main recommendations were as follows. 1) Patients should be categorised into three groups based on the difficulty and duration of the weaning process. 2) Weaning should be considered as early as possible. 3) A spontaneous breathing trial is the major diagnostic test to determine whether patients can be successfully extubated. 4) The initial trial should last 30 min and consist of either T-tube breathing or low levels of pressure support. 5) Pressure support or assist-control ventilation modes should be favoured in patients failing an initial trial/trials. 6) Noninvasive ventilation techniques should be considered in selected patients to shorten the duration of intubation but should not be routinely used as a tool for extubation failure.","container-title":"The European Respiratory Journal","DOI":"10.1183/09031936.00010206","ISSN":"0903-1936","issue":"5","journalAbbreviation":"Eur Respir J","language":"eng","note":"PMID: 17470624","page":"1033-1056","source":"PubMed","title":"Weaning from mechanical ventilation","volume":"29","author":[{"family":"Boles","given":"J.-M."},{"family":"Bion","given":"J."},{"family":"Connors","given":"A."},{"family":"Herridge","given":"M."},{"family":"Marsh","given":"B."},{"family":"Melot","given":"C."},{"family":"Pearl","given":"R."},{"family":"Silverman","given":"H."},{"family":"Stanchina","given":"M."},{"family":"Vieillard-Baron","given":"A."},{"family":"Welte","given":"T."}],"issued":{"date-parts":[["2007",5]]}}},{"id":727,"uris":["http://zotero.org/users/local/FBmVQWxf/items/47IZT7M9"],"itemData":{"id":727,"type":"article-journal","abstract":"BACKGROUND: Intubation and extubation of ventilated patients are not risk-free procedures in the intensive care unit (ICU) and can be associated with morbidity and mortality. Intubation in the ICU is frequently required in emergency situations for patients with an unstable cardiovascular or respiratory system. Under these circumstances, it is a high-risk procedure with life-threatening complications (20-50%). Moreover, technical problems can also give rise to complications and several new techniques, such as videolaryngoscopy, have been developed recently. Another risk period is extubation, which fails in approximately 10% of cases and is associated with a poor prognosis. A better understanding of the cause of failure is essential to improve success procedure.\nRESULTS AND CONCLUSION: In constructing these guidelines, the SFAR/SRLF experts have made use of new data on intubation and extubation in the ICU from the last decade to update existing procedures, incorporate more recent advances and propose algorithms.","container-title":"Annals of Intensive Care","DOI":"10.1186/s13613-019-0483-1","ISSN":"2110-5820","issue":"1","journalAbbreviation":"Ann Intensive Care","language":"eng","note":"PMID: 30671726\nPMCID: PMC6342741","page":"13","source":"PubMed","title":"Experts' guidelines of intubation and extubation of the ICU patient of French Society of Anaesthesia and Intensive Care Medicine (SFAR) and French-speaking Intensive Care Society (SRLF) : In collaboration with the pediatric Association of French-speaking Anaesthetists and Intensivists (ADARPEF), French-speaking Group of Intensive Care and Paediatric emergencies (GFRUP) and Intensive Care physiotherapy society (SKR)","title-short":"Experts' guidelines of intubation and extubation of the ICU patient of French Society of Anaesthesia and Intensive Care Medicine (SFAR) and French-speaking Intensive Care Society (SRLF)","volume":"9","author":[{"family":"Quintard","given":"Hervé"},{"family":"Her","given":"Erwan","non-dropping-particle":"l'"},{"family":"Pottecher","given":"Julien"},{"family":"Adnet","given":"Frédéric"},{"family":"Constantin","given":"Jean-Michel"},{"family":"De Jong","given":"Audrey"},{"family":"Diemunsch","given":"Pierre"},{"family":"Fesseau","given":"Rose"},{"family":"Freynet","given":"Anne"},{"family":"Girault","given":"Christophe"},{"family":"Guitton","given":"Christophe"},{"family":"Hamonic","given":"Yann"},{"family":"Maury","given":"Eric"},{"family":"Mekontso-Dessap","given":"Armand"},{"family":"Michel","given":"Fabrice"},{"family":"Nolent","given":"Paul"},{"family":"Perbet","given":"Sébastien"},{"family":"Prat","given":"Gwenael"},{"family":"Roquilly","given":"Antoine"},{"family":"Tazarourte","given":"Karim"},{"family":"Terzi","given":"Nicolas"},{"family":"Thille","given":"Arnaud W."},{"family":"Alves","given":"Mikael"},{"family":"Gayat","given":"Etienne"},{"family":"Donetti","given":"Laurence"}],"issued":{"date-parts":[["2019",1,22]]}}}],"schema":"https://github.com/citation-style-language/schema/raw/master/csl-citation.json"} </w:instrText>
      </w:r>
      <w:r w:rsidR="00600F85" w:rsidRPr="001F40A6">
        <w:rPr>
          <w:lang w:val="en-US"/>
        </w:rPr>
        <w:fldChar w:fldCharType="separate"/>
      </w:r>
      <w:r w:rsidR="00600F85" w:rsidRPr="001F40A6">
        <w:rPr>
          <w:lang w:val="en-US"/>
        </w:rPr>
        <w:t>(E1</w:t>
      </w:r>
      <w:r w:rsidR="00CD5828" w:rsidRPr="001F40A6">
        <w:rPr>
          <w:lang w:val="en-US"/>
        </w:rPr>
        <w:t>2</w:t>
      </w:r>
      <w:r w:rsidR="00600F85" w:rsidRPr="001F40A6">
        <w:rPr>
          <w:lang w:val="en-US"/>
        </w:rPr>
        <w:t>, E1</w:t>
      </w:r>
      <w:r w:rsidR="00CD5828" w:rsidRPr="001F40A6">
        <w:rPr>
          <w:lang w:val="en-US"/>
        </w:rPr>
        <w:t>4</w:t>
      </w:r>
      <w:r w:rsidR="00600F85" w:rsidRPr="001F40A6">
        <w:rPr>
          <w:lang w:val="en-US"/>
        </w:rPr>
        <w:t>)</w:t>
      </w:r>
      <w:r w:rsidR="00600F85" w:rsidRPr="001F40A6">
        <w:rPr>
          <w:lang w:val="en-US"/>
        </w:rPr>
        <w:fldChar w:fldCharType="end"/>
      </w:r>
      <w:r w:rsidR="00600F85" w:rsidRPr="001F40A6">
        <w:rPr>
          <w:lang w:val="en-US"/>
        </w:rPr>
        <w:t>.</w:t>
      </w:r>
      <w:r w:rsidRPr="001F40A6">
        <w:rPr>
          <w:lang w:val="en-US"/>
        </w:rPr>
        <w:t xml:space="preserve"> The modalities of this test </w:t>
      </w:r>
      <w:r w:rsidR="00154F19" w:rsidRPr="001F40A6">
        <w:rPr>
          <w:lang w:val="en-US"/>
        </w:rPr>
        <w:t>were</w:t>
      </w:r>
      <w:r w:rsidRPr="001F40A6">
        <w:rPr>
          <w:lang w:val="en-US"/>
        </w:rPr>
        <w:t xml:space="preserve"> </w:t>
      </w:r>
      <w:r w:rsidR="00EF333A" w:rsidRPr="001F40A6">
        <w:rPr>
          <w:lang w:val="en-US"/>
        </w:rPr>
        <w:t>standardized in our ICU with</w:t>
      </w:r>
      <w:r w:rsidR="00154F19" w:rsidRPr="001F40A6">
        <w:rPr>
          <w:lang w:val="en-US"/>
        </w:rPr>
        <w:t xml:space="preserve"> </w:t>
      </w:r>
      <w:r w:rsidRPr="001F40A6">
        <w:rPr>
          <w:szCs w:val="23"/>
          <w:lang w:val="en-US"/>
        </w:rPr>
        <w:t>minimum ventilatory assistance</w:t>
      </w:r>
      <w:r w:rsidR="00154F19" w:rsidRPr="001F40A6">
        <w:rPr>
          <w:szCs w:val="23"/>
          <w:lang w:val="en-US"/>
        </w:rPr>
        <w:t xml:space="preserve"> </w:t>
      </w:r>
      <w:r w:rsidR="00EF333A" w:rsidRPr="001F40A6">
        <w:rPr>
          <w:szCs w:val="23"/>
          <w:lang w:val="en-US"/>
        </w:rPr>
        <w:t xml:space="preserve">test </w:t>
      </w:r>
      <w:r w:rsidR="00154F19" w:rsidRPr="001F40A6">
        <w:rPr>
          <w:szCs w:val="23"/>
          <w:lang w:val="en-US"/>
        </w:rPr>
        <w:t>(zero-end-expiratory pressure and 7 cmH</w:t>
      </w:r>
      <w:r w:rsidR="00154F19" w:rsidRPr="001F40A6">
        <w:rPr>
          <w:szCs w:val="23"/>
          <w:vertAlign w:val="subscript"/>
          <w:lang w:val="en-US"/>
        </w:rPr>
        <w:t>2</w:t>
      </w:r>
      <w:r w:rsidR="00154F19" w:rsidRPr="001F40A6">
        <w:rPr>
          <w:szCs w:val="23"/>
          <w:lang w:val="en-US"/>
        </w:rPr>
        <w:t>O of inspiratory pressure)</w:t>
      </w:r>
      <w:r w:rsidRPr="001F40A6">
        <w:rPr>
          <w:szCs w:val="23"/>
          <w:lang w:val="en-US"/>
        </w:rPr>
        <w:t xml:space="preserve">. </w:t>
      </w:r>
      <w:r w:rsidR="00EF333A" w:rsidRPr="001F40A6">
        <w:rPr>
          <w:szCs w:val="23"/>
          <w:lang w:val="en-US"/>
        </w:rPr>
        <w:t>After the spontaneous breathing trial and its tolerance, t</w:t>
      </w:r>
      <w:r w:rsidRPr="001F40A6">
        <w:rPr>
          <w:szCs w:val="23"/>
          <w:lang w:val="en-US"/>
        </w:rPr>
        <w:t xml:space="preserve">he extubation decision </w:t>
      </w:r>
      <w:r w:rsidR="00154F19" w:rsidRPr="001F40A6">
        <w:rPr>
          <w:szCs w:val="23"/>
          <w:lang w:val="en-US"/>
        </w:rPr>
        <w:t>was</w:t>
      </w:r>
      <w:r w:rsidRPr="001F40A6">
        <w:rPr>
          <w:szCs w:val="23"/>
          <w:lang w:val="en-US"/>
        </w:rPr>
        <w:t xml:space="preserve"> left to the clinician's decision according to international </w:t>
      </w:r>
      <w:r w:rsidRPr="001F40A6">
        <w:rPr>
          <w:lang w:val="en-US"/>
        </w:rPr>
        <w:t xml:space="preserve">guidelines. </w:t>
      </w:r>
    </w:p>
    <w:p w14:paraId="6CFBC7F9" w14:textId="3A667055" w:rsidR="00FF0863" w:rsidRPr="001F40A6" w:rsidRDefault="00FF0863" w:rsidP="00FF0863">
      <w:pPr>
        <w:pStyle w:val="Default"/>
        <w:spacing w:line="480" w:lineRule="auto"/>
        <w:ind w:firstLine="284"/>
        <w:jc w:val="both"/>
        <w:rPr>
          <w:lang w:val="en-US"/>
        </w:rPr>
      </w:pPr>
      <w:r w:rsidRPr="001F40A6">
        <w:rPr>
          <w:lang w:val="en-US"/>
        </w:rPr>
        <w:t xml:space="preserve">After weaning from invasive </w:t>
      </w:r>
      <w:r w:rsidR="00EF333A" w:rsidRPr="001F40A6">
        <w:rPr>
          <w:lang w:val="en-US"/>
        </w:rPr>
        <w:t>MV</w:t>
      </w:r>
      <w:r w:rsidRPr="001F40A6">
        <w:rPr>
          <w:lang w:val="en-US"/>
        </w:rPr>
        <w:t xml:space="preserve">, prophylactic NIV </w:t>
      </w:r>
      <w:r w:rsidR="00154F19" w:rsidRPr="001F40A6">
        <w:rPr>
          <w:lang w:val="en-US"/>
        </w:rPr>
        <w:t>was</w:t>
      </w:r>
      <w:r w:rsidRPr="001F40A6">
        <w:rPr>
          <w:lang w:val="en-US"/>
        </w:rPr>
        <w:t xml:space="preserve"> used for all extubated patients because underlying COPD puts patients at high risk of extubation failure </w:t>
      </w:r>
      <w:r w:rsidR="00600F85" w:rsidRPr="001F40A6">
        <w:rPr>
          <w:lang w:val="en-US"/>
        </w:rPr>
        <w:fldChar w:fldCharType="begin"/>
      </w:r>
      <w:r w:rsidR="00600F85" w:rsidRPr="001F40A6">
        <w:rPr>
          <w:lang w:val="en-US"/>
        </w:rPr>
        <w:instrText xml:space="preserve"> ADDIN ZOTERO_ITEM CSL_CITATION {"citationID":"zMoQZ0PZ","properties":{"formattedCitation":"(6, 13)","plainCitation":"(6, 13)","dontUpdate":true,"noteIndex":0},"citationItems":[{"id":778,"uris":["http://zotero.org/users/local/FBmVQWxf/items/TX9TPNKM"],"itemData":{"id":778,"type":"article-journal","abstract":"Noninvasive mechanical ventilation (NIV) is widely used in the acute care setting for acute respiratory failure (ARF) across a variety of aetiologies. This document provides European Respiratory Society/American Thoracic Society recommendations for the clinical application of NIV based on the most current literature.The guideline committee was composed of clinicians, methodologists and experts in the field of NIV. The committee developed recommendations based on the GRADE (Grading, Recommendation, Assessment, Development and Evaluation) methodology for each actionable question. The GRADE Evidence to Decision framework in the guideline development tool was used to generate recommendations. A number of topics were addressed using technical summaries without recommendations and these are discussed in the supplementary material.This guideline committee developed recommendations for 11 actionable questions in a PICO (population-intervention-comparison-outcome) format, all addressing the use of NIV for various aetiologies of ARF. The specific conditions where recommendations were made include exacerbation of chronic obstructive pulmonary disease, cardiogenic pulmonary oedema, de novo hypoxaemic respiratory failure, immunocompromised patients, chest trauma, palliation, post-operative care, weaning and post-extubation.This document summarises the current state of knowledge regarding the role of NIV in ARF. Evidence-based recommendations provide guidance to relevant stakeholders.","container-title":"The European Respiratory Journal","DOI":"10.1183/13993003.02426-2016","ISSN":"1399-3003","issue":"2","journalAbbreviation":"Eur Respir J","language":"eng","note":"PMID: 28860265","page":"1602426","source":"PubMed","title":"Official ERS/ATS clinical practice guidelines: noninvasive ventilation for acute respiratory failure","title-short":"Official ERS/ATS clinical practice guidelines","volume":"50","author":[{"family":"Rochwerg","given":"Bram"},{"family":"Brochard","given":"Laurent"},{"family":"Elliott","given":"Mark W."},{"family":"Hess","given":"Dean"},{"family":"Hill","given":"Nicholas S."},{"family":"Nava","given":"Stefano"},{"family":"Navalesi","given":"Paolo"},{"family":"Antonelli","given":"Massimo"},{"family":"Brozek","given":"Jan"},{"family":"Conti","given":"Giorgio"},{"family":"Ferrer","given":"Miquel"},{"family":"Guntupalli","given":"Kalpalatha"},{"family":"Jaber","given":"Samir"},{"family":"Keenan","given":"Sean"},{"family":"Mancebo","given":"Jordi"},{"family":"Mehta","given":"Sangeeta"},{"family":"Raoof","given":"Suhail"}],"issued":{"date-parts":[["2017",8]]}}},{"id":797,"uris":["http://zotero.org/users/local/FBmVQWxf/items/QIIC2M2N"],"itemData":{"id":797,"type":"article-journal","abstract":"OBJECTIVE: Extubation failure is associated with a poor prognosis, but the respective roles for reintubation per se and underlying disease severity remain unclear. Our objectives were to evaluate the impact of failed extubation, whether planned or unplanned, on patient outcomes and to identify a patient subset at risk for extubation failure.\nDESIGN: Prospective 1-yr observational study with daily data collection.\nSETTING: : Thirteen-bed medical intensive care unit in a teaching hospital.\nPATIENTS: Consecutive patients requiring invasive mechanical ventilation were screened and followed until discharge or death.\nINTERVENTIONS: None.\nMEASUREMENTS AND MAIN RESULTS: Of 168 planned extubations in 340 patients, 26 (15%) failed. Of these 26 patients, seven (27%) had pneumonia and 13 (50%) died after reintubation. Compared with successfully extubated patients, the patients with failed extubation were not significantly different regarding disease severity, mechanical ventilation duration, or blood gas values. Age and underlying diseases were the only factors associated with extubation failure, and extubation failure occurred in 34% of patients &gt;65 yrs with chronic cardiac or respiratory disease compared with only 9% of other patients (p &lt; .01). Unplanned extubation occurred in 9% of patients, and inadequate endotracheal tube position was a risk factor. Failure of both planned and unplanned extubation was specifically associated with significant rapid worsening of daily organ dysfunction scores.\nCONCLUSIONS: Patients &gt;65 yrs with underlying chronic cardiac or respiratory disease are at high risk for extubation failure and subsequent pneumonia and death. Contrasting with successful extubation, failed planned or unplanned extubation was followed by marked clinical deterioration, suggesting a direct and specific effect of extubation failure and reintubation on patient outcomes.","container-title":"Critical Care Medicine","DOI":"10.1097/CCM.0b013e3182282a5a","ISSN":"1530-0293","issue":"12","journalAbbreviation":"Crit Care Med","language":"eng","note":"PMID: 21765357","page":"2612-2618","source":"PubMed","title":"Outcomes of extubation failure in medical intensive care unit patients","volume":"39","author":[{"family":"Thille","given":"Arnaud W."},{"family":"Harrois","given":"Anatole"},{"family":"Schortgen","given":"Frédérique"},{"family":"Brun-Buisson","given":"Christian"},{"family":"Brochard","given":"Laurent"}],"issued":{"date-parts":[["2011",12]]}}}],"schema":"https://github.com/citation-style-language/schema/raw/master/csl-citation.json"} </w:instrText>
      </w:r>
      <w:r w:rsidR="00600F85" w:rsidRPr="001F40A6">
        <w:rPr>
          <w:lang w:val="en-US"/>
        </w:rPr>
        <w:fldChar w:fldCharType="separate"/>
      </w:r>
      <w:r w:rsidR="00600F85" w:rsidRPr="001F40A6">
        <w:rPr>
          <w:lang w:val="en-US"/>
        </w:rPr>
        <w:t>(E</w:t>
      </w:r>
      <w:r w:rsidR="00CD5828" w:rsidRPr="001F40A6">
        <w:rPr>
          <w:lang w:val="en-US"/>
        </w:rPr>
        <w:t>8</w:t>
      </w:r>
      <w:r w:rsidR="00600F85" w:rsidRPr="001F40A6">
        <w:rPr>
          <w:lang w:val="en-US"/>
        </w:rPr>
        <w:t>, E1</w:t>
      </w:r>
      <w:r w:rsidR="00CD5828" w:rsidRPr="001F40A6">
        <w:rPr>
          <w:lang w:val="en-US"/>
        </w:rPr>
        <w:t>5</w:t>
      </w:r>
      <w:r w:rsidR="00600F85" w:rsidRPr="001F40A6">
        <w:rPr>
          <w:lang w:val="en-US"/>
        </w:rPr>
        <w:t>)</w:t>
      </w:r>
      <w:r w:rsidR="00600F85" w:rsidRPr="001F40A6">
        <w:rPr>
          <w:lang w:val="en-US"/>
        </w:rPr>
        <w:fldChar w:fldCharType="end"/>
      </w:r>
      <w:r w:rsidR="00600F85" w:rsidRPr="001F40A6">
        <w:rPr>
          <w:lang w:val="en-US"/>
        </w:rPr>
        <w:t>.</w:t>
      </w:r>
      <w:r w:rsidRPr="001F40A6">
        <w:rPr>
          <w:lang w:val="en-US"/>
        </w:rPr>
        <w:t xml:space="preserve"> NIV </w:t>
      </w:r>
      <w:r w:rsidR="00154F19" w:rsidRPr="001F40A6">
        <w:rPr>
          <w:lang w:val="en-US"/>
        </w:rPr>
        <w:t>was</w:t>
      </w:r>
      <w:r w:rsidRPr="001F40A6">
        <w:rPr>
          <w:lang w:val="en-US"/>
        </w:rPr>
        <w:t xml:space="preserve"> stopped after 24 hours according to clinical respiratory status associated with stable arterial blood gas. For patients with persistent moderate to severe respiratory symptoms, hypoxaemia </w:t>
      </w:r>
      <w:r w:rsidRPr="001F40A6">
        <w:rPr>
          <w:lang w:val="en-US"/>
        </w:rPr>
        <w:lastRenderedPageBreak/>
        <w:t>(defined as a need for FiO</w:t>
      </w:r>
      <w:r w:rsidRPr="001F40A6">
        <w:rPr>
          <w:vertAlign w:val="subscript"/>
          <w:lang w:val="en-US"/>
        </w:rPr>
        <w:t>2</w:t>
      </w:r>
      <w:r w:rsidRPr="001F40A6">
        <w:rPr>
          <w:lang w:val="en-US"/>
        </w:rPr>
        <w:t> ≥50% to maintain SpO</w:t>
      </w:r>
      <w:r w:rsidRPr="001F40A6">
        <w:rPr>
          <w:vertAlign w:val="subscript"/>
          <w:lang w:val="en-US"/>
        </w:rPr>
        <w:t>2</w:t>
      </w:r>
      <w:r w:rsidRPr="001F40A6">
        <w:rPr>
          <w:lang w:val="en-US"/>
        </w:rPr>
        <w:t> ≥92% or PaO</w:t>
      </w:r>
      <w:r w:rsidRPr="001F40A6">
        <w:rPr>
          <w:vertAlign w:val="subscript"/>
          <w:lang w:val="en-US"/>
        </w:rPr>
        <w:t>2</w:t>
      </w:r>
      <w:r w:rsidRPr="001F40A6">
        <w:rPr>
          <w:lang w:val="en-US"/>
        </w:rPr>
        <w:t>/FiO</w:t>
      </w:r>
      <w:r w:rsidRPr="001F40A6">
        <w:rPr>
          <w:vertAlign w:val="subscript"/>
          <w:lang w:val="en-US"/>
        </w:rPr>
        <w:t>2</w:t>
      </w:r>
      <w:r w:rsidRPr="001F40A6">
        <w:rPr>
          <w:lang w:val="en-US"/>
        </w:rPr>
        <w:t> ≤150 mmHg) and/or hypercapnic acidosis (pH ≤7.35 with PaCO</w:t>
      </w:r>
      <w:r w:rsidRPr="001F40A6">
        <w:rPr>
          <w:vertAlign w:val="subscript"/>
          <w:lang w:val="en-US"/>
        </w:rPr>
        <w:t>2</w:t>
      </w:r>
      <w:r w:rsidRPr="001F40A6">
        <w:rPr>
          <w:lang w:val="en-US"/>
        </w:rPr>
        <w:t xml:space="preserve"> ≥45 mmHg), NIV </w:t>
      </w:r>
      <w:r w:rsidR="00154F19" w:rsidRPr="001F40A6">
        <w:rPr>
          <w:lang w:val="en-US"/>
        </w:rPr>
        <w:t>was</w:t>
      </w:r>
      <w:r w:rsidRPr="001F40A6">
        <w:rPr>
          <w:lang w:val="en-US"/>
        </w:rPr>
        <w:t xml:space="preserve"> continued until clinical and/or gasometrical improvement for 24-hour periods until complete resolution. The rhythm and duration of NIV during each 24-hour period </w:t>
      </w:r>
      <w:r w:rsidR="00154F19" w:rsidRPr="001F40A6">
        <w:rPr>
          <w:lang w:val="en-US"/>
        </w:rPr>
        <w:t>was</w:t>
      </w:r>
      <w:r w:rsidRPr="001F40A6">
        <w:rPr>
          <w:lang w:val="en-US"/>
        </w:rPr>
        <w:t xml:space="preserve"> left to the clinician’s discretion.</w:t>
      </w:r>
    </w:p>
    <w:p w14:paraId="46B05F39" w14:textId="331C600E" w:rsidR="00050DEF" w:rsidRPr="001F40A6" w:rsidRDefault="00050DEF" w:rsidP="00043729">
      <w:pPr>
        <w:pStyle w:val="Default"/>
        <w:spacing w:line="480" w:lineRule="auto"/>
        <w:jc w:val="both"/>
        <w:rPr>
          <w:lang w:val="en-US"/>
        </w:rPr>
      </w:pPr>
    </w:p>
    <w:p w14:paraId="629DD58C" w14:textId="5C17C0C5" w:rsidR="00050DEF" w:rsidRPr="001F40A6" w:rsidRDefault="00050DEF" w:rsidP="00FF0863">
      <w:pPr>
        <w:pStyle w:val="Default"/>
        <w:spacing w:line="480" w:lineRule="auto"/>
        <w:ind w:firstLine="284"/>
        <w:jc w:val="both"/>
        <w:rPr>
          <w:lang w:val="en-US"/>
        </w:rPr>
      </w:pPr>
    </w:p>
    <w:p w14:paraId="307EFF6D" w14:textId="4ABE634F" w:rsidR="00F42F65" w:rsidRPr="001F40A6" w:rsidRDefault="00F42F65">
      <w:pPr>
        <w:rPr>
          <w:rFonts w:asciiTheme="majorBidi" w:eastAsiaTheme="minorHAnsi" w:hAnsiTheme="majorBidi" w:cstheme="majorBidi"/>
          <w:color w:val="000000"/>
          <w:lang w:val="en-US" w:eastAsia="en-US"/>
        </w:rPr>
        <w:sectPr w:rsidR="00F42F65" w:rsidRPr="001F40A6" w:rsidSect="006E4F60">
          <w:footerReference w:type="even" r:id="rId7"/>
          <w:footerReference w:type="default" r:id="rId8"/>
          <w:footerReference w:type="first" r:id="rId9"/>
          <w:pgSz w:w="11900" w:h="16840"/>
          <w:pgMar w:top="1417" w:right="1417" w:bottom="1417" w:left="1417" w:header="708" w:footer="708" w:gutter="0"/>
          <w:lnNumType w:countBy="1" w:restart="continuous"/>
          <w:cols w:space="708"/>
          <w:docGrid w:linePitch="360"/>
        </w:sectPr>
      </w:pPr>
    </w:p>
    <w:p w14:paraId="095021EF" w14:textId="4C14D3CF" w:rsidR="00FF0863" w:rsidRPr="001F40A6" w:rsidRDefault="001F53CA" w:rsidP="00F42F65">
      <w:pPr>
        <w:rPr>
          <w:rFonts w:asciiTheme="majorBidi" w:eastAsiaTheme="minorHAnsi" w:hAnsiTheme="majorBidi" w:cstheme="majorBidi"/>
          <w:color w:val="000000"/>
          <w:lang w:val="en-US" w:eastAsia="en-US"/>
        </w:rPr>
      </w:pPr>
      <w:bookmarkStart w:id="1" w:name="_Hlk129597991"/>
      <w:r w:rsidRPr="001F40A6">
        <w:rPr>
          <w:rFonts w:asciiTheme="majorBidi" w:hAnsiTheme="majorBidi" w:cstheme="majorBidi"/>
          <w:b/>
          <w:bCs/>
          <w:color w:val="000000"/>
          <w:lang w:val="en-US"/>
        </w:rPr>
        <w:lastRenderedPageBreak/>
        <w:t>Supplementary Figure 1</w:t>
      </w:r>
      <w:r w:rsidR="00FF0863" w:rsidRPr="001F40A6">
        <w:rPr>
          <w:rFonts w:asciiTheme="majorBidi" w:eastAsiaTheme="minorHAnsi" w:hAnsiTheme="majorBidi" w:cstheme="majorBidi"/>
          <w:b/>
          <w:bCs/>
          <w:color w:val="000000"/>
          <w:lang w:val="en-US" w:eastAsia="en-US"/>
        </w:rPr>
        <w:t xml:space="preserve">. </w:t>
      </w:r>
      <w:bookmarkStart w:id="2" w:name="_Hlk129128771"/>
      <w:r w:rsidR="00FF0863" w:rsidRPr="001F40A6">
        <w:rPr>
          <w:rFonts w:asciiTheme="majorBidi" w:eastAsiaTheme="minorHAnsi" w:hAnsiTheme="majorBidi" w:cstheme="majorBidi"/>
          <w:color w:val="000000"/>
          <w:lang w:val="en-US" w:eastAsia="en-US"/>
        </w:rPr>
        <w:t>Summary of all microbiological samples performed in the entire cohort and in the group of COPD patients with respiratory tract infection.</w:t>
      </w:r>
      <w:bookmarkEnd w:id="2"/>
    </w:p>
    <w:p w14:paraId="344E8191" w14:textId="77777777" w:rsidR="00C76437" w:rsidRPr="001F40A6" w:rsidRDefault="00C76437" w:rsidP="00C76437">
      <w:pPr>
        <w:rPr>
          <w:rFonts w:asciiTheme="majorBidi" w:eastAsiaTheme="minorHAnsi" w:hAnsiTheme="majorBidi" w:cstheme="majorBidi"/>
          <w:color w:val="000000"/>
          <w:lang w:val="en-US" w:eastAsia="en-US"/>
        </w:rPr>
      </w:pPr>
    </w:p>
    <w:p w14:paraId="42CD5B90" w14:textId="77777777" w:rsidR="00C76437" w:rsidRPr="001F40A6" w:rsidRDefault="00C76437" w:rsidP="00C76437">
      <w:pPr>
        <w:rPr>
          <w:rFonts w:asciiTheme="majorBidi" w:eastAsiaTheme="minorHAnsi" w:hAnsiTheme="majorBidi" w:cstheme="majorBidi"/>
          <w:color w:val="000000"/>
          <w:lang w:val="en-US" w:eastAsia="en-US"/>
        </w:rPr>
      </w:pPr>
      <w:r w:rsidRPr="001F40A6">
        <w:rPr>
          <w:rFonts w:asciiTheme="majorBidi" w:eastAsiaTheme="minorHAnsi" w:hAnsiTheme="majorBidi" w:cstheme="majorBidi"/>
          <w:color w:val="000000"/>
          <w:lang w:val="en-US" w:eastAsia="en-US"/>
        </w:rPr>
        <w:t>TBA: Tracheobronchial aspiration; BAL: Bronchoalveolar lavage; PDS: Protected distal lung sampling; AgU pneumo: antigen in urines sample for Streptococcus pneumoniae; AgU Legion: antigen in urines sample for Legionella pneumophila.</w:t>
      </w:r>
    </w:p>
    <w:p w14:paraId="5B3E6C84" w14:textId="77777777" w:rsidR="00C76437" w:rsidRPr="001F40A6" w:rsidRDefault="00C76437" w:rsidP="00C76437">
      <w:pPr>
        <w:rPr>
          <w:rFonts w:asciiTheme="majorBidi" w:eastAsiaTheme="minorHAnsi" w:hAnsiTheme="majorBidi" w:cstheme="majorBidi"/>
          <w:color w:val="000000"/>
          <w:lang w:val="en-US" w:eastAsia="en-US"/>
        </w:rPr>
      </w:pPr>
    </w:p>
    <w:p w14:paraId="04D5EF8E" w14:textId="77777777" w:rsidR="00C76437" w:rsidRPr="001F40A6" w:rsidRDefault="00C76437" w:rsidP="00C76437">
      <w:pPr>
        <w:rPr>
          <w:rFonts w:asciiTheme="majorBidi" w:eastAsiaTheme="minorHAnsi" w:hAnsiTheme="majorBidi" w:cstheme="majorBidi"/>
          <w:color w:val="000000"/>
          <w:lang w:val="en-US" w:eastAsia="en-US"/>
        </w:rPr>
      </w:pPr>
      <w:r w:rsidRPr="001F40A6">
        <w:rPr>
          <w:rFonts w:asciiTheme="majorBidi" w:eastAsiaTheme="minorHAnsi" w:hAnsiTheme="majorBidi" w:cstheme="majorBidi"/>
          <w:color w:val="000000"/>
          <w:lang w:val="en-US" w:eastAsia="en-US"/>
        </w:rPr>
        <w:t>* Completion of at least one sample among sputum sample/tracheobronchial aspiration/bronchoalveolar lavage/protected distal lung sampling.</w:t>
      </w:r>
    </w:p>
    <w:p w14:paraId="1E53C7C5" w14:textId="77777777" w:rsidR="00C76437" w:rsidRPr="001F40A6" w:rsidRDefault="00C76437" w:rsidP="00C76437">
      <w:pPr>
        <w:rPr>
          <w:rFonts w:asciiTheme="majorBidi" w:eastAsiaTheme="minorHAnsi" w:hAnsiTheme="majorBidi" w:cstheme="majorBidi"/>
          <w:color w:val="000000"/>
          <w:lang w:val="en-US" w:eastAsia="en-US"/>
        </w:rPr>
      </w:pPr>
    </w:p>
    <w:p w14:paraId="44E5DE29" w14:textId="77777777" w:rsidR="00C76437" w:rsidRPr="001F40A6" w:rsidRDefault="00C76437" w:rsidP="00F42F65">
      <w:pPr>
        <w:rPr>
          <w:rFonts w:asciiTheme="majorBidi" w:eastAsiaTheme="minorHAnsi" w:hAnsiTheme="majorBidi" w:cstheme="majorBidi"/>
          <w:b/>
          <w:bCs/>
          <w:color w:val="000000"/>
          <w:lang w:val="en-US" w:eastAsia="en-US"/>
        </w:rPr>
      </w:pPr>
    </w:p>
    <w:bookmarkEnd w:id="1"/>
    <w:p w14:paraId="456F25F7" w14:textId="11C0596F" w:rsidR="00FF0863" w:rsidRPr="001F40A6" w:rsidRDefault="00E752B3" w:rsidP="00736C9F">
      <w:pPr>
        <w:jc w:val="both"/>
        <w:rPr>
          <w:rFonts w:asciiTheme="majorBidi" w:hAnsiTheme="majorBidi" w:cstheme="majorBidi"/>
          <w:b/>
          <w:color w:val="000000"/>
          <w:lang w:val="en-US"/>
        </w:rPr>
      </w:pPr>
      <w:r w:rsidRPr="001F40A6">
        <w:rPr>
          <w:rFonts w:asciiTheme="majorBidi" w:hAnsiTheme="majorBidi" w:cstheme="majorBidi"/>
          <w:b/>
          <w:color w:val="000000"/>
          <w:lang w:val="en-US"/>
        </w:rPr>
        <w:lastRenderedPageBreak/>
        <w:drawing>
          <wp:anchor distT="0" distB="0" distL="114300" distR="114300" simplePos="0" relativeHeight="251660288" behindDoc="0" locked="0" layoutInCell="1" allowOverlap="1" wp14:anchorId="6C158F83" wp14:editId="64779E9F">
            <wp:simplePos x="0" y="0"/>
            <wp:positionH relativeFrom="margin">
              <wp:posOffset>536393</wp:posOffset>
            </wp:positionH>
            <wp:positionV relativeFrom="margin">
              <wp:posOffset>491943</wp:posOffset>
            </wp:positionV>
            <wp:extent cx="7198995" cy="5408295"/>
            <wp:effectExtent l="0" t="0" r="1905" b="1905"/>
            <wp:wrapSquare wrapText="bothSides"/>
            <wp:docPr id="7974949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490" name="Image 79749490"/>
                    <pic:cNvPicPr/>
                  </pic:nvPicPr>
                  <pic:blipFill>
                    <a:blip r:embed="rId10">
                      <a:extLst>
                        <a:ext uri="{28A0092B-C50C-407E-A947-70E740481C1C}">
                          <a14:useLocalDpi xmlns:a14="http://schemas.microsoft.com/office/drawing/2010/main" val="0"/>
                        </a:ext>
                      </a:extLst>
                    </a:blip>
                    <a:stretch>
                      <a:fillRect/>
                    </a:stretch>
                  </pic:blipFill>
                  <pic:spPr>
                    <a:xfrm>
                      <a:off x="0" y="0"/>
                      <a:ext cx="7198995" cy="5408295"/>
                    </a:xfrm>
                    <a:prstGeom prst="rect">
                      <a:avLst/>
                    </a:prstGeom>
                  </pic:spPr>
                </pic:pic>
              </a:graphicData>
            </a:graphic>
            <wp14:sizeRelH relativeFrom="margin">
              <wp14:pctWidth>0</wp14:pctWidth>
            </wp14:sizeRelH>
            <wp14:sizeRelV relativeFrom="margin">
              <wp14:pctHeight>0</wp14:pctHeight>
            </wp14:sizeRelV>
          </wp:anchor>
        </w:drawing>
      </w:r>
    </w:p>
    <w:p w14:paraId="6ABCC11B" w14:textId="3DB584D9" w:rsidR="00E752B3" w:rsidRPr="001F40A6" w:rsidRDefault="00E752B3" w:rsidP="00736C9F">
      <w:pPr>
        <w:jc w:val="both"/>
        <w:rPr>
          <w:rFonts w:asciiTheme="majorBidi" w:hAnsiTheme="majorBidi" w:cstheme="majorBidi"/>
          <w:b/>
          <w:color w:val="000000"/>
          <w:lang w:val="en-US"/>
        </w:rPr>
      </w:pPr>
    </w:p>
    <w:p w14:paraId="4CE43CE7" w14:textId="7D571B54" w:rsidR="00E752B3" w:rsidRPr="001F40A6" w:rsidRDefault="00E752B3" w:rsidP="00736C9F">
      <w:pPr>
        <w:jc w:val="both"/>
        <w:rPr>
          <w:rFonts w:asciiTheme="majorBidi" w:hAnsiTheme="majorBidi" w:cstheme="majorBidi"/>
          <w:b/>
          <w:color w:val="000000"/>
          <w:lang w:val="en-US"/>
        </w:rPr>
      </w:pPr>
    </w:p>
    <w:p w14:paraId="2BCC6833" w14:textId="77777777" w:rsidR="00E752B3" w:rsidRPr="001F40A6" w:rsidRDefault="00E752B3" w:rsidP="00736C9F">
      <w:pPr>
        <w:jc w:val="both"/>
        <w:rPr>
          <w:rFonts w:asciiTheme="majorBidi" w:hAnsiTheme="majorBidi" w:cstheme="majorBidi"/>
          <w:b/>
          <w:color w:val="000000"/>
          <w:lang w:val="en-US"/>
        </w:rPr>
      </w:pPr>
    </w:p>
    <w:p w14:paraId="5603C2EE" w14:textId="77777777" w:rsidR="00E752B3" w:rsidRPr="001F40A6" w:rsidRDefault="00E752B3" w:rsidP="00736C9F">
      <w:pPr>
        <w:jc w:val="both"/>
        <w:rPr>
          <w:rFonts w:asciiTheme="majorBidi" w:hAnsiTheme="majorBidi" w:cstheme="majorBidi"/>
          <w:b/>
          <w:color w:val="000000"/>
          <w:lang w:val="en-US"/>
        </w:rPr>
      </w:pPr>
    </w:p>
    <w:p w14:paraId="70A7B1B0" w14:textId="77777777" w:rsidR="00E752B3" w:rsidRPr="001F40A6" w:rsidRDefault="00E752B3" w:rsidP="00736C9F">
      <w:pPr>
        <w:jc w:val="both"/>
        <w:rPr>
          <w:rFonts w:asciiTheme="majorBidi" w:hAnsiTheme="majorBidi" w:cstheme="majorBidi"/>
          <w:b/>
          <w:color w:val="000000"/>
          <w:lang w:val="en-US"/>
        </w:rPr>
      </w:pPr>
    </w:p>
    <w:p w14:paraId="6B09D5DB" w14:textId="77777777" w:rsidR="00E752B3" w:rsidRPr="001F40A6" w:rsidRDefault="00E752B3" w:rsidP="00736C9F">
      <w:pPr>
        <w:jc w:val="both"/>
        <w:rPr>
          <w:rFonts w:asciiTheme="majorBidi" w:hAnsiTheme="majorBidi" w:cstheme="majorBidi"/>
          <w:b/>
          <w:color w:val="000000"/>
          <w:lang w:val="en-US"/>
        </w:rPr>
      </w:pPr>
    </w:p>
    <w:p w14:paraId="5011AAFF" w14:textId="77777777" w:rsidR="00E752B3" w:rsidRPr="001F40A6" w:rsidRDefault="00E752B3" w:rsidP="00736C9F">
      <w:pPr>
        <w:jc w:val="both"/>
        <w:rPr>
          <w:rFonts w:asciiTheme="majorBidi" w:hAnsiTheme="majorBidi" w:cstheme="majorBidi"/>
          <w:b/>
          <w:color w:val="000000"/>
          <w:lang w:val="en-US"/>
        </w:rPr>
      </w:pPr>
    </w:p>
    <w:p w14:paraId="7CBEE79B" w14:textId="77777777" w:rsidR="00E752B3" w:rsidRPr="001F40A6" w:rsidRDefault="00E752B3" w:rsidP="00736C9F">
      <w:pPr>
        <w:jc w:val="both"/>
        <w:rPr>
          <w:rFonts w:asciiTheme="majorBidi" w:hAnsiTheme="majorBidi" w:cstheme="majorBidi"/>
          <w:b/>
          <w:color w:val="000000"/>
          <w:lang w:val="en-US"/>
        </w:rPr>
      </w:pPr>
    </w:p>
    <w:p w14:paraId="36FCAD8D" w14:textId="0C6C6BB1" w:rsidR="00E752B3" w:rsidRPr="001F40A6" w:rsidRDefault="00E752B3" w:rsidP="00736C9F">
      <w:pPr>
        <w:jc w:val="both"/>
        <w:rPr>
          <w:rFonts w:asciiTheme="majorBidi" w:hAnsiTheme="majorBidi" w:cstheme="majorBidi"/>
          <w:b/>
          <w:color w:val="000000"/>
          <w:lang w:val="en-US"/>
        </w:rPr>
      </w:pPr>
    </w:p>
    <w:p w14:paraId="7E2CE8BB" w14:textId="77777777" w:rsidR="00E752B3" w:rsidRPr="001F40A6" w:rsidRDefault="00E752B3" w:rsidP="00736C9F">
      <w:pPr>
        <w:jc w:val="both"/>
        <w:rPr>
          <w:rFonts w:asciiTheme="majorBidi" w:hAnsiTheme="majorBidi" w:cstheme="majorBidi"/>
          <w:b/>
          <w:color w:val="000000"/>
          <w:lang w:val="en-US"/>
        </w:rPr>
      </w:pPr>
    </w:p>
    <w:p w14:paraId="07240DAF" w14:textId="77777777" w:rsidR="00E752B3" w:rsidRPr="001F40A6" w:rsidRDefault="00E752B3" w:rsidP="00736C9F">
      <w:pPr>
        <w:jc w:val="both"/>
        <w:rPr>
          <w:rFonts w:asciiTheme="majorBidi" w:hAnsiTheme="majorBidi" w:cstheme="majorBidi"/>
          <w:b/>
          <w:color w:val="000000"/>
          <w:lang w:val="en-US"/>
        </w:rPr>
      </w:pPr>
    </w:p>
    <w:p w14:paraId="702CF1F6" w14:textId="77777777" w:rsidR="00E752B3" w:rsidRPr="001F40A6" w:rsidRDefault="00E752B3" w:rsidP="00736C9F">
      <w:pPr>
        <w:jc w:val="both"/>
        <w:rPr>
          <w:rFonts w:asciiTheme="majorBidi" w:hAnsiTheme="majorBidi" w:cstheme="majorBidi"/>
          <w:b/>
          <w:color w:val="000000"/>
          <w:lang w:val="en-US"/>
        </w:rPr>
      </w:pPr>
    </w:p>
    <w:p w14:paraId="41461961" w14:textId="77777777" w:rsidR="00E752B3" w:rsidRPr="001F40A6" w:rsidRDefault="00E752B3" w:rsidP="00736C9F">
      <w:pPr>
        <w:jc w:val="both"/>
        <w:rPr>
          <w:rFonts w:asciiTheme="majorBidi" w:hAnsiTheme="majorBidi" w:cstheme="majorBidi"/>
          <w:b/>
          <w:color w:val="000000"/>
          <w:lang w:val="en-US"/>
        </w:rPr>
      </w:pPr>
    </w:p>
    <w:p w14:paraId="0F912442" w14:textId="77777777" w:rsidR="00E752B3" w:rsidRPr="001F40A6" w:rsidRDefault="00E752B3" w:rsidP="00736C9F">
      <w:pPr>
        <w:jc w:val="both"/>
        <w:rPr>
          <w:rFonts w:asciiTheme="majorBidi" w:hAnsiTheme="majorBidi" w:cstheme="majorBidi"/>
          <w:b/>
          <w:color w:val="000000"/>
          <w:lang w:val="en-US"/>
        </w:rPr>
      </w:pPr>
    </w:p>
    <w:p w14:paraId="62F790A1" w14:textId="77777777" w:rsidR="00E752B3" w:rsidRPr="001F40A6" w:rsidRDefault="00E752B3" w:rsidP="00736C9F">
      <w:pPr>
        <w:jc w:val="both"/>
        <w:rPr>
          <w:rFonts w:asciiTheme="majorBidi" w:hAnsiTheme="majorBidi" w:cstheme="majorBidi"/>
          <w:b/>
          <w:color w:val="000000"/>
          <w:lang w:val="en-US"/>
        </w:rPr>
      </w:pPr>
    </w:p>
    <w:p w14:paraId="79EEDFC1" w14:textId="77777777" w:rsidR="00E752B3" w:rsidRPr="001F40A6" w:rsidRDefault="00E752B3" w:rsidP="00736C9F">
      <w:pPr>
        <w:jc w:val="both"/>
        <w:rPr>
          <w:rFonts w:asciiTheme="majorBidi" w:hAnsiTheme="majorBidi" w:cstheme="majorBidi"/>
          <w:b/>
          <w:color w:val="000000"/>
          <w:lang w:val="en-US"/>
        </w:rPr>
      </w:pPr>
    </w:p>
    <w:p w14:paraId="3023213C" w14:textId="77777777" w:rsidR="00E752B3" w:rsidRPr="001F40A6" w:rsidRDefault="00E752B3" w:rsidP="00736C9F">
      <w:pPr>
        <w:jc w:val="both"/>
        <w:rPr>
          <w:rFonts w:asciiTheme="majorBidi" w:hAnsiTheme="majorBidi" w:cstheme="majorBidi"/>
          <w:b/>
          <w:color w:val="000000"/>
          <w:lang w:val="en-US"/>
        </w:rPr>
      </w:pPr>
    </w:p>
    <w:p w14:paraId="1723E11D" w14:textId="77777777" w:rsidR="00E752B3" w:rsidRPr="001F40A6" w:rsidRDefault="00E752B3" w:rsidP="00736C9F">
      <w:pPr>
        <w:jc w:val="both"/>
        <w:rPr>
          <w:rFonts w:asciiTheme="majorBidi" w:hAnsiTheme="majorBidi" w:cstheme="majorBidi"/>
          <w:b/>
          <w:color w:val="000000"/>
          <w:lang w:val="en-US"/>
        </w:rPr>
      </w:pPr>
    </w:p>
    <w:p w14:paraId="5B6A3CF0" w14:textId="77777777" w:rsidR="00E752B3" w:rsidRPr="001F40A6" w:rsidRDefault="00E752B3" w:rsidP="00736C9F">
      <w:pPr>
        <w:jc w:val="both"/>
        <w:rPr>
          <w:rFonts w:asciiTheme="majorBidi" w:hAnsiTheme="majorBidi" w:cstheme="majorBidi"/>
          <w:b/>
          <w:color w:val="000000"/>
          <w:lang w:val="en-US"/>
        </w:rPr>
      </w:pPr>
    </w:p>
    <w:p w14:paraId="71241F0D" w14:textId="77777777" w:rsidR="00E752B3" w:rsidRPr="001F40A6" w:rsidRDefault="00E752B3" w:rsidP="00736C9F">
      <w:pPr>
        <w:jc w:val="both"/>
        <w:rPr>
          <w:rFonts w:asciiTheme="majorBidi" w:hAnsiTheme="majorBidi" w:cstheme="majorBidi"/>
          <w:b/>
          <w:color w:val="000000"/>
          <w:lang w:val="en-US"/>
        </w:rPr>
      </w:pPr>
    </w:p>
    <w:p w14:paraId="14F8D601" w14:textId="77777777" w:rsidR="00E752B3" w:rsidRPr="001F40A6" w:rsidRDefault="00E752B3" w:rsidP="00736C9F">
      <w:pPr>
        <w:jc w:val="both"/>
        <w:rPr>
          <w:rFonts w:asciiTheme="majorBidi" w:hAnsiTheme="majorBidi" w:cstheme="majorBidi"/>
          <w:b/>
          <w:color w:val="000000"/>
          <w:lang w:val="en-US"/>
        </w:rPr>
      </w:pPr>
    </w:p>
    <w:p w14:paraId="17D7EA99" w14:textId="77777777" w:rsidR="00E752B3" w:rsidRPr="001F40A6" w:rsidRDefault="00E752B3" w:rsidP="00736C9F">
      <w:pPr>
        <w:jc w:val="both"/>
        <w:rPr>
          <w:rFonts w:asciiTheme="majorBidi" w:hAnsiTheme="majorBidi" w:cstheme="majorBidi"/>
          <w:b/>
          <w:color w:val="000000"/>
          <w:lang w:val="en-US"/>
        </w:rPr>
      </w:pPr>
    </w:p>
    <w:p w14:paraId="53F42CBA" w14:textId="77777777" w:rsidR="00E752B3" w:rsidRPr="001F40A6" w:rsidRDefault="00E752B3" w:rsidP="00736C9F">
      <w:pPr>
        <w:jc w:val="both"/>
        <w:rPr>
          <w:rFonts w:asciiTheme="majorBidi" w:hAnsiTheme="majorBidi" w:cstheme="majorBidi"/>
          <w:b/>
          <w:color w:val="000000"/>
          <w:lang w:val="en-US"/>
        </w:rPr>
      </w:pPr>
    </w:p>
    <w:p w14:paraId="490EE6F2" w14:textId="77777777" w:rsidR="00E752B3" w:rsidRPr="001F40A6" w:rsidRDefault="00E752B3" w:rsidP="00736C9F">
      <w:pPr>
        <w:jc w:val="both"/>
        <w:rPr>
          <w:rFonts w:asciiTheme="majorBidi" w:hAnsiTheme="majorBidi" w:cstheme="majorBidi"/>
          <w:b/>
          <w:color w:val="000000"/>
          <w:lang w:val="en-US"/>
        </w:rPr>
      </w:pPr>
    </w:p>
    <w:p w14:paraId="4F54D30B" w14:textId="77777777" w:rsidR="00E752B3" w:rsidRPr="001F40A6" w:rsidRDefault="00E752B3" w:rsidP="00736C9F">
      <w:pPr>
        <w:jc w:val="both"/>
        <w:rPr>
          <w:rFonts w:asciiTheme="majorBidi" w:hAnsiTheme="majorBidi" w:cstheme="majorBidi"/>
          <w:b/>
          <w:color w:val="000000"/>
          <w:lang w:val="en-US"/>
        </w:rPr>
      </w:pPr>
    </w:p>
    <w:p w14:paraId="7E87FA53" w14:textId="77777777" w:rsidR="00E752B3" w:rsidRPr="001F40A6" w:rsidRDefault="00E752B3" w:rsidP="00736C9F">
      <w:pPr>
        <w:jc w:val="both"/>
        <w:rPr>
          <w:rFonts w:asciiTheme="majorBidi" w:hAnsiTheme="majorBidi" w:cstheme="majorBidi"/>
          <w:b/>
          <w:color w:val="000000"/>
          <w:lang w:val="en-US"/>
        </w:rPr>
      </w:pPr>
    </w:p>
    <w:p w14:paraId="25A56E31" w14:textId="77777777" w:rsidR="00E752B3" w:rsidRPr="001F40A6" w:rsidRDefault="00E752B3" w:rsidP="00736C9F">
      <w:pPr>
        <w:jc w:val="both"/>
        <w:rPr>
          <w:rFonts w:asciiTheme="majorBidi" w:hAnsiTheme="majorBidi" w:cstheme="majorBidi"/>
          <w:b/>
          <w:color w:val="000000"/>
          <w:lang w:val="en-US"/>
        </w:rPr>
      </w:pPr>
    </w:p>
    <w:p w14:paraId="529B6404" w14:textId="77777777" w:rsidR="00E752B3" w:rsidRPr="001F40A6" w:rsidRDefault="00E752B3" w:rsidP="00736C9F">
      <w:pPr>
        <w:jc w:val="both"/>
        <w:rPr>
          <w:rFonts w:asciiTheme="majorBidi" w:hAnsiTheme="majorBidi" w:cstheme="majorBidi"/>
          <w:b/>
          <w:color w:val="000000"/>
          <w:lang w:val="en-US"/>
        </w:rPr>
      </w:pPr>
    </w:p>
    <w:p w14:paraId="0168F53F" w14:textId="77777777" w:rsidR="00E752B3" w:rsidRPr="001F40A6" w:rsidRDefault="00E752B3" w:rsidP="00736C9F">
      <w:pPr>
        <w:jc w:val="both"/>
        <w:rPr>
          <w:rFonts w:asciiTheme="majorBidi" w:hAnsiTheme="majorBidi" w:cstheme="majorBidi"/>
          <w:b/>
          <w:color w:val="000000"/>
          <w:lang w:val="en-US"/>
        </w:rPr>
      </w:pPr>
    </w:p>
    <w:p w14:paraId="54105097" w14:textId="360BEB9A" w:rsidR="00FF0863" w:rsidRPr="001F40A6" w:rsidRDefault="001F53CA" w:rsidP="00FF0863">
      <w:pPr>
        <w:tabs>
          <w:tab w:val="left" w:pos="5582"/>
        </w:tabs>
        <w:spacing w:line="480" w:lineRule="auto"/>
        <w:jc w:val="both"/>
        <w:rPr>
          <w:rFonts w:asciiTheme="majorBidi" w:hAnsiTheme="majorBidi" w:cstheme="majorBidi"/>
          <w:b/>
          <w:color w:val="000000"/>
          <w:lang w:val="en-US"/>
        </w:rPr>
      </w:pPr>
      <w:bookmarkStart w:id="3" w:name="_Hlk129597947"/>
      <w:r w:rsidRPr="001F40A6">
        <w:rPr>
          <w:rFonts w:asciiTheme="majorBidi" w:hAnsiTheme="majorBidi" w:cstheme="majorBidi"/>
          <w:b/>
          <w:bCs/>
          <w:color w:val="000000"/>
          <w:lang w:val="en-US"/>
        </w:rPr>
        <w:lastRenderedPageBreak/>
        <w:t>Supplementary Figure 2</w:t>
      </w:r>
      <w:r w:rsidR="00FF0863" w:rsidRPr="001F40A6">
        <w:rPr>
          <w:rFonts w:asciiTheme="majorBidi" w:hAnsiTheme="majorBidi" w:cstheme="majorBidi"/>
          <w:b/>
          <w:color w:val="000000"/>
          <w:lang w:val="en-US"/>
        </w:rPr>
        <w:t xml:space="preserve">. </w:t>
      </w:r>
      <w:r w:rsidR="00FF0863" w:rsidRPr="001F40A6">
        <w:rPr>
          <w:rFonts w:asciiTheme="majorBidi" w:hAnsiTheme="majorBidi" w:cstheme="majorBidi"/>
          <w:bCs/>
          <w:color w:val="000000"/>
          <w:lang w:val="en-US"/>
        </w:rPr>
        <w:t>Ka</w:t>
      </w:r>
      <w:r w:rsidR="00E90088" w:rsidRPr="001F40A6">
        <w:rPr>
          <w:rFonts w:asciiTheme="majorBidi" w:hAnsiTheme="majorBidi" w:cstheme="majorBidi"/>
          <w:bCs/>
          <w:color w:val="000000"/>
          <w:lang w:val="en-US"/>
        </w:rPr>
        <w:t>p</w:t>
      </w:r>
      <w:r w:rsidR="00FF0863" w:rsidRPr="001F40A6">
        <w:rPr>
          <w:rFonts w:asciiTheme="majorBidi" w:hAnsiTheme="majorBidi" w:cstheme="majorBidi"/>
          <w:bCs/>
          <w:color w:val="000000"/>
          <w:lang w:val="en-US"/>
        </w:rPr>
        <w:t>lan–Meier survival curves at 90 days according to the type of respiratory infection.</w:t>
      </w:r>
    </w:p>
    <w:bookmarkEnd w:id="3"/>
    <w:p w14:paraId="7AFF328D" w14:textId="41C1AE80" w:rsidR="00FF0863" w:rsidRPr="001F40A6" w:rsidRDefault="00E90088" w:rsidP="00736C9F">
      <w:pPr>
        <w:autoSpaceDE w:val="0"/>
        <w:autoSpaceDN w:val="0"/>
        <w:adjustRightInd w:val="0"/>
        <w:spacing w:line="480" w:lineRule="auto"/>
        <w:rPr>
          <w:rFonts w:asciiTheme="majorBidi" w:hAnsiTheme="majorBidi" w:cstheme="majorBidi"/>
          <w:b/>
          <w:color w:val="000000"/>
          <w:lang w:val="en-US"/>
        </w:rPr>
      </w:pPr>
      <w:r w:rsidRPr="001F40A6">
        <w:rPr>
          <w:rFonts w:asciiTheme="majorBidi" w:hAnsiTheme="majorBidi" w:cstheme="majorBidi"/>
          <w:b/>
          <w:color w:val="000000"/>
          <w:lang w:val="en-US"/>
        </w:rPr>
        <w:drawing>
          <wp:anchor distT="0" distB="0" distL="114300" distR="114300" simplePos="0" relativeHeight="251659264" behindDoc="0" locked="0" layoutInCell="1" allowOverlap="1" wp14:anchorId="49019E6A" wp14:editId="104239A6">
            <wp:simplePos x="0" y="0"/>
            <wp:positionH relativeFrom="column">
              <wp:posOffset>638084</wp:posOffset>
            </wp:positionH>
            <wp:positionV relativeFrom="paragraph">
              <wp:posOffset>-133894</wp:posOffset>
            </wp:positionV>
            <wp:extent cx="6518143" cy="5457371"/>
            <wp:effectExtent l="0" t="0" r="0" b="3810"/>
            <wp:wrapSquare wrapText="bothSides"/>
            <wp:docPr id="159062070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20701" name="Image 159062070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22209" cy="5460776"/>
                    </a:xfrm>
                    <a:prstGeom prst="rect">
                      <a:avLst/>
                    </a:prstGeom>
                  </pic:spPr>
                </pic:pic>
              </a:graphicData>
            </a:graphic>
            <wp14:sizeRelH relativeFrom="page">
              <wp14:pctWidth>0</wp14:pctWidth>
            </wp14:sizeRelH>
            <wp14:sizeRelV relativeFrom="page">
              <wp14:pctHeight>0</wp14:pctHeight>
            </wp14:sizeRelV>
          </wp:anchor>
        </w:drawing>
      </w:r>
    </w:p>
    <w:p w14:paraId="356EB943" w14:textId="2DDDC1C0" w:rsidR="00E90088" w:rsidRPr="001F40A6" w:rsidRDefault="00E90088" w:rsidP="00736C9F">
      <w:pPr>
        <w:autoSpaceDE w:val="0"/>
        <w:autoSpaceDN w:val="0"/>
        <w:adjustRightInd w:val="0"/>
        <w:spacing w:line="480" w:lineRule="auto"/>
        <w:rPr>
          <w:rFonts w:asciiTheme="majorBidi" w:hAnsiTheme="majorBidi" w:cstheme="majorBidi"/>
          <w:b/>
          <w:color w:val="000000"/>
          <w:lang w:val="en-US"/>
        </w:rPr>
      </w:pPr>
    </w:p>
    <w:p w14:paraId="28034C81" w14:textId="2AD98327" w:rsidR="00E90088" w:rsidRPr="001F40A6" w:rsidRDefault="00E90088" w:rsidP="00736C9F">
      <w:pPr>
        <w:autoSpaceDE w:val="0"/>
        <w:autoSpaceDN w:val="0"/>
        <w:adjustRightInd w:val="0"/>
        <w:spacing w:line="480" w:lineRule="auto"/>
        <w:rPr>
          <w:rFonts w:asciiTheme="majorBidi" w:hAnsiTheme="majorBidi" w:cstheme="majorBidi"/>
          <w:b/>
          <w:color w:val="000000"/>
          <w:lang w:val="en-US"/>
        </w:rPr>
      </w:pPr>
    </w:p>
    <w:p w14:paraId="55BE3AB8" w14:textId="797ECCEF" w:rsidR="00E90088" w:rsidRPr="001F40A6" w:rsidRDefault="00E90088" w:rsidP="00736C9F">
      <w:pPr>
        <w:autoSpaceDE w:val="0"/>
        <w:autoSpaceDN w:val="0"/>
        <w:adjustRightInd w:val="0"/>
        <w:spacing w:line="480" w:lineRule="auto"/>
        <w:rPr>
          <w:rFonts w:asciiTheme="majorBidi" w:hAnsiTheme="majorBidi" w:cstheme="majorBidi"/>
          <w:b/>
          <w:color w:val="000000"/>
          <w:lang w:val="en-US"/>
        </w:rPr>
      </w:pPr>
    </w:p>
    <w:p w14:paraId="1A7588B3" w14:textId="24F021F9" w:rsidR="00E90088" w:rsidRPr="001F40A6" w:rsidRDefault="00E90088" w:rsidP="00736C9F">
      <w:pPr>
        <w:autoSpaceDE w:val="0"/>
        <w:autoSpaceDN w:val="0"/>
        <w:adjustRightInd w:val="0"/>
        <w:spacing w:line="480" w:lineRule="auto"/>
        <w:rPr>
          <w:rFonts w:asciiTheme="majorBidi" w:hAnsiTheme="majorBidi" w:cstheme="majorBidi"/>
          <w:b/>
          <w:color w:val="000000"/>
          <w:lang w:val="en-US"/>
        </w:rPr>
      </w:pPr>
    </w:p>
    <w:p w14:paraId="5C869A1F" w14:textId="0FA4076B" w:rsidR="00E90088" w:rsidRPr="001F40A6" w:rsidRDefault="00E90088" w:rsidP="00736C9F">
      <w:pPr>
        <w:autoSpaceDE w:val="0"/>
        <w:autoSpaceDN w:val="0"/>
        <w:adjustRightInd w:val="0"/>
        <w:spacing w:line="480" w:lineRule="auto"/>
        <w:rPr>
          <w:rFonts w:asciiTheme="majorBidi" w:hAnsiTheme="majorBidi" w:cstheme="majorBidi"/>
          <w:b/>
          <w:color w:val="000000"/>
          <w:lang w:val="en-US"/>
        </w:rPr>
      </w:pPr>
    </w:p>
    <w:p w14:paraId="70B3BE0B" w14:textId="38B2F62A" w:rsidR="00E90088" w:rsidRPr="001F40A6" w:rsidRDefault="00E90088" w:rsidP="00736C9F">
      <w:pPr>
        <w:autoSpaceDE w:val="0"/>
        <w:autoSpaceDN w:val="0"/>
        <w:adjustRightInd w:val="0"/>
        <w:spacing w:line="480" w:lineRule="auto"/>
        <w:rPr>
          <w:rFonts w:asciiTheme="majorBidi" w:hAnsiTheme="majorBidi" w:cstheme="majorBidi"/>
          <w:b/>
          <w:color w:val="000000"/>
          <w:lang w:val="en-US"/>
        </w:rPr>
      </w:pPr>
    </w:p>
    <w:p w14:paraId="2D925967" w14:textId="3F640E15" w:rsidR="00E90088" w:rsidRPr="001F40A6" w:rsidRDefault="00E90088" w:rsidP="00736C9F">
      <w:pPr>
        <w:autoSpaceDE w:val="0"/>
        <w:autoSpaceDN w:val="0"/>
        <w:adjustRightInd w:val="0"/>
        <w:spacing w:line="480" w:lineRule="auto"/>
        <w:rPr>
          <w:rFonts w:asciiTheme="majorBidi" w:hAnsiTheme="majorBidi" w:cstheme="majorBidi"/>
          <w:b/>
          <w:color w:val="000000"/>
          <w:lang w:val="en-US"/>
        </w:rPr>
      </w:pPr>
    </w:p>
    <w:p w14:paraId="0D07E61E" w14:textId="24065E59" w:rsidR="00E90088" w:rsidRPr="001F40A6" w:rsidRDefault="00E90088" w:rsidP="00736C9F">
      <w:pPr>
        <w:autoSpaceDE w:val="0"/>
        <w:autoSpaceDN w:val="0"/>
        <w:adjustRightInd w:val="0"/>
        <w:spacing w:line="480" w:lineRule="auto"/>
        <w:rPr>
          <w:rFonts w:asciiTheme="majorBidi" w:hAnsiTheme="majorBidi" w:cstheme="majorBidi"/>
          <w:b/>
          <w:color w:val="000000"/>
          <w:lang w:val="en-US"/>
        </w:rPr>
      </w:pPr>
    </w:p>
    <w:p w14:paraId="2AB20FE1" w14:textId="77777777" w:rsidR="00E90088" w:rsidRPr="001F40A6" w:rsidRDefault="00E90088" w:rsidP="00736C9F">
      <w:pPr>
        <w:autoSpaceDE w:val="0"/>
        <w:autoSpaceDN w:val="0"/>
        <w:adjustRightInd w:val="0"/>
        <w:spacing w:line="480" w:lineRule="auto"/>
        <w:rPr>
          <w:rFonts w:asciiTheme="majorBidi" w:hAnsiTheme="majorBidi" w:cstheme="majorBidi"/>
          <w:b/>
          <w:color w:val="000000"/>
          <w:lang w:val="en-US"/>
        </w:rPr>
      </w:pPr>
    </w:p>
    <w:p w14:paraId="7699EE8E" w14:textId="77777777" w:rsidR="00E90088" w:rsidRPr="001F40A6" w:rsidRDefault="00E90088" w:rsidP="00736C9F">
      <w:pPr>
        <w:autoSpaceDE w:val="0"/>
        <w:autoSpaceDN w:val="0"/>
        <w:adjustRightInd w:val="0"/>
        <w:spacing w:line="480" w:lineRule="auto"/>
        <w:rPr>
          <w:rFonts w:asciiTheme="majorBidi" w:hAnsiTheme="majorBidi" w:cstheme="majorBidi"/>
          <w:b/>
          <w:color w:val="000000"/>
          <w:lang w:val="en-US"/>
        </w:rPr>
      </w:pPr>
    </w:p>
    <w:p w14:paraId="0AE0C334" w14:textId="77777777" w:rsidR="00E90088" w:rsidRPr="001F40A6" w:rsidRDefault="00E90088" w:rsidP="00736C9F">
      <w:pPr>
        <w:autoSpaceDE w:val="0"/>
        <w:autoSpaceDN w:val="0"/>
        <w:adjustRightInd w:val="0"/>
        <w:spacing w:line="480" w:lineRule="auto"/>
        <w:rPr>
          <w:rFonts w:asciiTheme="majorBidi" w:hAnsiTheme="majorBidi" w:cstheme="majorBidi"/>
          <w:b/>
          <w:color w:val="000000"/>
          <w:lang w:val="en-US"/>
        </w:rPr>
      </w:pPr>
    </w:p>
    <w:p w14:paraId="5399141D" w14:textId="77777777" w:rsidR="00E90088" w:rsidRPr="001F40A6" w:rsidRDefault="00E90088" w:rsidP="00736C9F">
      <w:pPr>
        <w:autoSpaceDE w:val="0"/>
        <w:autoSpaceDN w:val="0"/>
        <w:adjustRightInd w:val="0"/>
        <w:spacing w:line="480" w:lineRule="auto"/>
        <w:rPr>
          <w:rFonts w:asciiTheme="majorBidi" w:hAnsiTheme="majorBidi" w:cstheme="majorBidi"/>
          <w:b/>
          <w:color w:val="000000"/>
          <w:lang w:val="en-US"/>
        </w:rPr>
      </w:pPr>
    </w:p>
    <w:p w14:paraId="6DE76DB2" w14:textId="77777777" w:rsidR="00E90088" w:rsidRPr="001F40A6" w:rsidRDefault="00E90088" w:rsidP="00736C9F">
      <w:pPr>
        <w:autoSpaceDE w:val="0"/>
        <w:autoSpaceDN w:val="0"/>
        <w:adjustRightInd w:val="0"/>
        <w:spacing w:line="480" w:lineRule="auto"/>
        <w:rPr>
          <w:rFonts w:asciiTheme="majorBidi" w:hAnsiTheme="majorBidi" w:cstheme="majorBidi"/>
          <w:b/>
          <w:color w:val="000000"/>
          <w:lang w:val="en-US"/>
        </w:rPr>
      </w:pPr>
    </w:p>
    <w:p w14:paraId="05833016" w14:textId="25B7D70F" w:rsidR="00AC682B" w:rsidRPr="001F40A6" w:rsidRDefault="00AC682B" w:rsidP="00AC682B">
      <w:pPr>
        <w:spacing w:line="480" w:lineRule="auto"/>
        <w:ind w:right="283"/>
        <w:jc w:val="both"/>
        <w:rPr>
          <w:rFonts w:asciiTheme="majorBidi" w:hAnsiTheme="majorBidi" w:cstheme="majorBidi"/>
          <w:color w:val="000000"/>
          <w:lang w:val="en-US"/>
        </w:rPr>
      </w:pPr>
      <w:bookmarkStart w:id="4" w:name="_Hlk129597918"/>
      <w:r w:rsidRPr="001F40A6">
        <w:rPr>
          <w:rFonts w:asciiTheme="majorBidi" w:hAnsiTheme="majorBidi" w:cstheme="majorBidi"/>
          <w:b/>
          <w:color w:val="000000"/>
          <w:lang w:val="en-US"/>
        </w:rPr>
        <w:lastRenderedPageBreak/>
        <w:t>Table</w:t>
      </w:r>
      <w:r w:rsidR="009A51C8" w:rsidRPr="001F40A6">
        <w:rPr>
          <w:rFonts w:asciiTheme="majorBidi" w:hAnsiTheme="majorBidi" w:cstheme="majorBidi"/>
          <w:b/>
          <w:color w:val="000000"/>
          <w:lang w:val="en-US"/>
        </w:rPr>
        <w:t>-</w:t>
      </w:r>
      <w:r w:rsidR="00043729" w:rsidRPr="001F40A6">
        <w:rPr>
          <w:rFonts w:asciiTheme="majorBidi" w:hAnsiTheme="majorBidi" w:cstheme="majorBidi"/>
          <w:b/>
          <w:color w:val="000000"/>
          <w:lang w:val="en-US"/>
        </w:rPr>
        <w:t>S</w:t>
      </w:r>
      <w:r w:rsidRPr="001F40A6">
        <w:rPr>
          <w:rFonts w:asciiTheme="majorBidi" w:hAnsiTheme="majorBidi" w:cstheme="majorBidi"/>
          <w:b/>
          <w:color w:val="000000"/>
          <w:lang w:val="en-US"/>
        </w:rPr>
        <w:t xml:space="preserve">1. </w:t>
      </w:r>
      <w:r w:rsidRPr="001F40A6">
        <w:rPr>
          <w:rFonts w:asciiTheme="majorBidi" w:hAnsiTheme="majorBidi" w:cstheme="majorBidi"/>
          <w:bCs/>
          <w:color w:val="000000"/>
          <w:lang w:val="en-US"/>
        </w:rPr>
        <w:t xml:space="preserve">Baseline and intensive care unit (ICU) characteristics in patients admitted for a severe acute exacerbation of </w:t>
      </w:r>
      <w:r w:rsidRPr="001F40A6">
        <w:rPr>
          <w:rFonts w:asciiTheme="majorBidi" w:eastAsiaTheme="minorHAnsi" w:hAnsiTheme="majorBidi" w:cstheme="majorBidi"/>
          <w:color w:val="000000"/>
          <w:lang w:val="en-US" w:eastAsia="en-US"/>
        </w:rPr>
        <w:t>chronic obstructive pulmonary disease</w:t>
      </w:r>
      <w:r w:rsidRPr="001F40A6">
        <w:rPr>
          <w:rFonts w:asciiTheme="majorBidi" w:hAnsiTheme="majorBidi" w:cstheme="majorBidi"/>
          <w:bCs/>
          <w:color w:val="000000"/>
          <w:lang w:val="en-US"/>
        </w:rPr>
        <w:t xml:space="preserve"> (COPD).</w:t>
      </w:r>
    </w:p>
    <w:tbl>
      <w:tblPr>
        <w:tblW w:w="14318" w:type="dxa"/>
        <w:tblInd w:w="-426" w:type="dxa"/>
        <w:tblLayout w:type="fixed"/>
        <w:tblCellMar>
          <w:left w:w="70" w:type="dxa"/>
          <w:right w:w="70" w:type="dxa"/>
        </w:tblCellMar>
        <w:tblLook w:val="04A0" w:firstRow="1" w:lastRow="0" w:firstColumn="1" w:lastColumn="0" w:noHBand="0" w:noVBand="1"/>
      </w:tblPr>
      <w:tblGrid>
        <w:gridCol w:w="2553"/>
        <w:gridCol w:w="1842"/>
        <w:gridCol w:w="1983"/>
        <w:gridCol w:w="1701"/>
        <w:gridCol w:w="1845"/>
        <w:gridCol w:w="1701"/>
        <w:gridCol w:w="1842"/>
        <w:gridCol w:w="851"/>
      </w:tblGrid>
      <w:tr w:rsidR="00736C9F" w:rsidRPr="001F40A6" w14:paraId="54B56F76" w14:textId="77777777" w:rsidTr="006A5CB3">
        <w:trPr>
          <w:trHeight w:val="300"/>
        </w:trPr>
        <w:tc>
          <w:tcPr>
            <w:tcW w:w="2553" w:type="dxa"/>
            <w:tcBorders>
              <w:top w:val="single" w:sz="12" w:space="0" w:color="auto"/>
              <w:bottom w:val="single" w:sz="12" w:space="0" w:color="auto"/>
            </w:tcBorders>
            <w:shd w:val="clear" w:color="auto" w:fill="auto"/>
            <w:noWrap/>
          </w:tcPr>
          <w:p w14:paraId="1BF8E32B" w14:textId="77777777" w:rsidR="00736C9F" w:rsidRPr="001F40A6" w:rsidRDefault="00736C9F" w:rsidP="006A5CB3">
            <w:pPr>
              <w:ind w:right="283"/>
              <w:rPr>
                <w:b/>
                <w:bCs/>
                <w:color w:val="000000"/>
                <w:sz w:val="18"/>
                <w:szCs w:val="18"/>
                <w:lang w:val="en-US"/>
              </w:rPr>
            </w:pPr>
            <w:r w:rsidRPr="001F40A6">
              <w:rPr>
                <w:b/>
                <w:bCs/>
                <w:color w:val="000000"/>
                <w:sz w:val="18"/>
                <w:szCs w:val="18"/>
                <w:lang w:val="en-US"/>
              </w:rPr>
              <w:t>Variables</w:t>
            </w:r>
          </w:p>
          <w:p w14:paraId="362FB7AC" w14:textId="77777777" w:rsidR="00736C9F" w:rsidRPr="001F40A6" w:rsidRDefault="00736C9F" w:rsidP="006A5CB3">
            <w:pPr>
              <w:ind w:right="283"/>
              <w:rPr>
                <w:b/>
                <w:bCs/>
                <w:color w:val="000000"/>
                <w:sz w:val="18"/>
                <w:szCs w:val="18"/>
                <w:lang w:val="en-US"/>
              </w:rPr>
            </w:pPr>
          </w:p>
        </w:tc>
        <w:tc>
          <w:tcPr>
            <w:tcW w:w="1842" w:type="dxa"/>
            <w:tcBorders>
              <w:top w:val="single" w:sz="12" w:space="0" w:color="auto"/>
              <w:bottom w:val="single" w:sz="12" w:space="0" w:color="auto"/>
            </w:tcBorders>
            <w:shd w:val="clear" w:color="auto" w:fill="auto"/>
            <w:noWrap/>
          </w:tcPr>
          <w:p w14:paraId="5FA60D29"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All cases</w:t>
            </w:r>
          </w:p>
          <w:p w14:paraId="0053C945" w14:textId="77777777" w:rsidR="00736C9F" w:rsidRPr="001F40A6" w:rsidRDefault="00736C9F" w:rsidP="006A5CB3">
            <w:pPr>
              <w:ind w:right="283"/>
              <w:jc w:val="center"/>
              <w:rPr>
                <w:b/>
                <w:bCs/>
                <w:color w:val="000000"/>
                <w:sz w:val="18"/>
                <w:szCs w:val="18"/>
                <w:lang w:val="en-US"/>
              </w:rPr>
            </w:pPr>
          </w:p>
          <w:p w14:paraId="295D1AB5" w14:textId="77777777" w:rsidR="00736C9F" w:rsidRPr="001F40A6" w:rsidRDefault="00736C9F" w:rsidP="006A5CB3">
            <w:pPr>
              <w:ind w:right="-69"/>
              <w:jc w:val="center"/>
              <w:rPr>
                <w:b/>
                <w:color w:val="000000"/>
                <w:sz w:val="18"/>
                <w:szCs w:val="18"/>
                <w:lang w:val="en-US"/>
              </w:rPr>
            </w:pPr>
            <w:r w:rsidRPr="001F40A6">
              <w:rPr>
                <w:b/>
                <w:bCs/>
                <w:color w:val="000000"/>
                <w:sz w:val="18"/>
                <w:szCs w:val="18"/>
                <w:lang w:val="en-US"/>
              </w:rPr>
              <w:t>n=473</w:t>
            </w:r>
          </w:p>
        </w:tc>
        <w:tc>
          <w:tcPr>
            <w:tcW w:w="7230" w:type="dxa"/>
            <w:gridSpan w:val="4"/>
            <w:tcBorders>
              <w:top w:val="single" w:sz="12" w:space="0" w:color="auto"/>
              <w:bottom w:val="single" w:sz="12" w:space="0" w:color="auto"/>
            </w:tcBorders>
            <w:shd w:val="clear" w:color="auto" w:fill="auto"/>
            <w:noWrap/>
          </w:tcPr>
          <w:p w14:paraId="73D665E6" w14:textId="77777777" w:rsidR="00736C9F" w:rsidRPr="001F40A6" w:rsidRDefault="00736C9F" w:rsidP="006A5CB3">
            <w:pPr>
              <w:ind w:right="283"/>
              <w:jc w:val="center"/>
              <w:rPr>
                <w:b/>
                <w:color w:val="000000"/>
                <w:sz w:val="18"/>
                <w:szCs w:val="18"/>
                <w:lang w:val="en-US"/>
              </w:rPr>
            </w:pPr>
            <w:r w:rsidRPr="001F40A6">
              <w:rPr>
                <w:b/>
                <w:bCs/>
                <w:color w:val="000000"/>
                <w:sz w:val="18"/>
                <w:szCs w:val="18"/>
                <w:lang w:val="en-US"/>
              </w:rPr>
              <w:t>Respiratory tract infection</w:t>
            </w:r>
            <w:r w:rsidRPr="001F40A6">
              <w:rPr>
                <w:b/>
                <w:bCs/>
                <w:color w:val="000000"/>
                <w:sz w:val="18"/>
                <w:szCs w:val="18"/>
                <w:vertAlign w:val="superscript"/>
                <w:lang w:val="en-US"/>
              </w:rPr>
              <w:t xml:space="preserve">a </w:t>
            </w:r>
            <w:r w:rsidRPr="001F40A6">
              <w:rPr>
                <w:b/>
                <w:bCs/>
                <w:color w:val="000000"/>
                <w:sz w:val="18"/>
                <w:szCs w:val="18"/>
                <w:lang w:val="en-US"/>
              </w:rPr>
              <w:t xml:space="preserve">   n=288 (60.9)</w:t>
            </w:r>
          </w:p>
        </w:tc>
        <w:tc>
          <w:tcPr>
            <w:tcW w:w="1842" w:type="dxa"/>
            <w:vMerge w:val="restart"/>
            <w:tcBorders>
              <w:top w:val="single" w:sz="12" w:space="0" w:color="auto"/>
            </w:tcBorders>
          </w:tcPr>
          <w:p w14:paraId="0310101C" w14:textId="77777777" w:rsidR="00736C9F" w:rsidRPr="001F40A6" w:rsidRDefault="00736C9F" w:rsidP="006A5CB3">
            <w:pPr>
              <w:ind w:right="283"/>
              <w:rPr>
                <w:b/>
                <w:bCs/>
                <w:color w:val="000000"/>
                <w:sz w:val="18"/>
                <w:szCs w:val="18"/>
                <w:lang w:val="en-US"/>
              </w:rPr>
            </w:pPr>
            <w:r w:rsidRPr="001F40A6">
              <w:rPr>
                <w:b/>
                <w:bCs/>
                <w:color w:val="000000"/>
                <w:sz w:val="18"/>
                <w:szCs w:val="18"/>
                <w:lang w:val="en-US"/>
              </w:rPr>
              <w:t>No respiratory tract infection</w:t>
            </w:r>
          </w:p>
          <w:p w14:paraId="1A46B6D9" w14:textId="77777777" w:rsidR="00736C9F" w:rsidRPr="001F40A6" w:rsidRDefault="00736C9F" w:rsidP="006A5CB3">
            <w:pPr>
              <w:ind w:right="283"/>
              <w:rPr>
                <w:b/>
                <w:color w:val="000000"/>
                <w:sz w:val="18"/>
                <w:szCs w:val="18"/>
                <w:lang w:val="en-US"/>
              </w:rPr>
            </w:pPr>
            <w:r w:rsidRPr="001F40A6">
              <w:rPr>
                <w:b/>
                <w:bCs/>
                <w:color w:val="000000"/>
                <w:sz w:val="18"/>
                <w:szCs w:val="18"/>
                <w:lang w:val="en-US"/>
              </w:rPr>
              <w:t>n=185 (39.1)</w:t>
            </w:r>
          </w:p>
        </w:tc>
        <w:tc>
          <w:tcPr>
            <w:tcW w:w="851" w:type="dxa"/>
            <w:vMerge w:val="restart"/>
            <w:tcBorders>
              <w:top w:val="single" w:sz="12" w:space="0" w:color="auto"/>
            </w:tcBorders>
          </w:tcPr>
          <w:p w14:paraId="25E170E9" w14:textId="77777777" w:rsidR="00736C9F" w:rsidRPr="001F40A6" w:rsidRDefault="00736C9F" w:rsidP="006A5CB3">
            <w:pPr>
              <w:ind w:right="283"/>
              <w:rPr>
                <w:b/>
                <w:color w:val="000000"/>
                <w:sz w:val="18"/>
                <w:szCs w:val="18"/>
                <w:lang w:val="en-US"/>
              </w:rPr>
            </w:pPr>
            <w:r w:rsidRPr="001F40A6">
              <w:rPr>
                <w:b/>
                <w:bCs/>
                <w:color w:val="000000"/>
                <w:sz w:val="18"/>
                <w:szCs w:val="18"/>
                <w:lang w:val="en-US"/>
              </w:rPr>
              <w:t>N missing†</w:t>
            </w:r>
          </w:p>
        </w:tc>
      </w:tr>
      <w:tr w:rsidR="00736C9F" w:rsidRPr="001F40A6" w14:paraId="46E24DF2" w14:textId="77777777" w:rsidTr="006A5CB3">
        <w:trPr>
          <w:trHeight w:val="300"/>
        </w:trPr>
        <w:tc>
          <w:tcPr>
            <w:tcW w:w="2553" w:type="dxa"/>
            <w:tcBorders>
              <w:top w:val="single" w:sz="12" w:space="0" w:color="auto"/>
              <w:bottom w:val="single" w:sz="12" w:space="0" w:color="auto"/>
            </w:tcBorders>
            <w:shd w:val="clear" w:color="auto" w:fill="auto"/>
            <w:noWrap/>
          </w:tcPr>
          <w:p w14:paraId="4F81F362" w14:textId="77777777" w:rsidR="00736C9F" w:rsidRPr="001F40A6" w:rsidRDefault="00736C9F" w:rsidP="006A5CB3">
            <w:pPr>
              <w:ind w:right="283"/>
              <w:rPr>
                <w:b/>
                <w:bCs/>
                <w:color w:val="000000"/>
                <w:sz w:val="18"/>
                <w:szCs w:val="18"/>
                <w:lang w:val="en-US"/>
              </w:rPr>
            </w:pPr>
          </w:p>
        </w:tc>
        <w:tc>
          <w:tcPr>
            <w:tcW w:w="1842" w:type="dxa"/>
            <w:tcBorders>
              <w:top w:val="single" w:sz="12" w:space="0" w:color="auto"/>
              <w:bottom w:val="single" w:sz="12" w:space="0" w:color="auto"/>
            </w:tcBorders>
            <w:shd w:val="clear" w:color="auto" w:fill="auto"/>
            <w:noWrap/>
          </w:tcPr>
          <w:p w14:paraId="4762D78F" w14:textId="77777777" w:rsidR="00736C9F" w:rsidRPr="001F40A6" w:rsidRDefault="00736C9F" w:rsidP="006A5CB3">
            <w:pPr>
              <w:ind w:right="-69"/>
              <w:rPr>
                <w:b/>
                <w:color w:val="000000"/>
                <w:sz w:val="18"/>
                <w:szCs w:val="18"/>
                <w:lang w:val="en-US"/>
              </w:rPr>
            </w:pPr>
          </w:p>
        </w:tc>
        <w:tc>
          <w:tcPr>
            <w:tcW w:w="1983" w:type="dxa"/>
            <w:tcBorders>
              <w:top w:val="single" w:sz="12" w:space="0" w:color="auto"/>
              <w:bottom w:val="single" w:sz="12" w:space="0" w:color="auto"/>
            </w:tcBorders>
            <w:shd w:val="clear" w:color="auto" w:fill="auto"/>
            <w:noWrap/>
          </w:tcPr>
          <w:p w14:paraId="35F46470" w14:textId="77777777" w:rsidR="00736C9F" w:rsidRPr="001F40A6" w:rsidRDefault="00736C9F" w:rsidP="006A5CB3">
            <w:pPr>
              <w:ind w:right="283"/>
              <w:jc w:val="center"/>
              <w:rPr>
                <w:b/>
                <w:bCs/>
                <w:color w:val="000000"/>
                <w:sz w:val="18"/>
                <w:szCs w:val="18"/>
                <w:vertAlign w:val="superscript"/>
                <w:lang w:val="en-US"/>
              </w:rPr>
            </w:pPr>
            <w:r w:rsidRPr="001F40A6">
              <w:rPr>
                <w:b/>
                <w:bCs/>
                <w:color w:val="000000"/>
                <w:sz w:val="18"/>
                <w:szCs w:val="18"/>
                <w:lang w:val="en-US"/>
              </w:rPr>
              <w:t>Respiratory tract infection</w:t>
            </w:r>
            <w:r w:rsidRPr="001F40A6">
              <w:rPr>
                <w:b/>
                <w:bCs/>
                <w:color w:val="000000"/>
                <w:sz w:val="18"/>
                <w:szCs w:val="18"/>
                <w:vertAlign w:val="superscript"/>
                <w:lang w:val="en-US"/>
              </w:rPr>
              <w:t>a</w:t>
            </w:r>
          </w:p>
          <w:p w14:paraId="7BBDEE35"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All cases</w:t>
            </w:r>
          </w:p>
          <w:p w14:paraId="40685912" w14:textId="77777777" w:rsidR="00736C9F" w:rsidRPr="001F40A6" w:rsidRDefault="00736C9F" w:rsidP="006A5CB3">
            <w:pPr>
              <w:ind w:right="283"/>
              <w:jc w:val="center"/>
              <w:rPr>
                <w:b/>
                <w:color w:val="000000"/>
                <w:sz w:val="18"/>
                <w:szCs w:val="18"/>
                <w:lang w:val="en-US"/>
              </w:rPr>
            </w:pPr>
            <w:r w:rsidRPr="001F40A6">
              <w:rPr>
                <w:b/>
                <w:bCs/>
                <w:color w:val="000000"/>
                <w:sz w:val="18"/>
                <w:szCs w:val="18"/>
                <w:lang w:val="en-US"/>
              </w:rPr>
              <w:t>n=288 (60.9)</w:t>
            </w:r>
          </w:p>
        </w:tc>
        <w:tc>
          <w:tcPr>
            <w:tcW w:w="1701" w:type="dxa"/>
            <w:tcBorders>
              <w:top w:val="single" w:sz="12" w:space="0" w:color="auto"/>
              <w:bottom w:val="single" w:sz="12" w:space="0" w:color="auto"/>
            </w:tcBorders>
            <w:shd w:val="clear" w:color="auto" w:fill="auto"/>
            <w:noWrap/>
          </w:tcPr>
          <w:p w14:paraId="7E2DDE14"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Viral</w:t>
            </w:r>
          </w:p>
          <w:p w14:paraId="40AD9D9A"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infection</w:t>
            </w:r>
          </w:p>
          <w:p w14:paraId="5F83EBFE" w14:textId="77777777" w:rsidR="00736C9F" w:rsidRPr="001F40A6" w:rsidRDefault="00736C9F" w:rsidP="006A5CB3">
            <w:pPr>
              <w:ind w:right="283"/>
              <w:jc w:val="center"/>
              <w:rPr>
                <w:b/>
                <w:color w:val="000000"/>
                <w:sz w:val="18"/>
                <w:szCs w:val="18"/>
                <w:lang w:val="en-US"/>
              </w:rPr>
            </w:pPr>
            <w:r w:rsidRPr="001F40A6">
              <w:rPr>
                <w:b/>
                <w:bCs/>
                <w:color w:val="000000"/>
                <w:sz w:val="18"/>
                <w:szCs w:val="18"/>
                <w:lang w:val="en-US"/>
              </w:rPr>
              <w:t>n=89</w:t>
            </w:r>
          </w:p>
        </w:tc>
        <w:tc>
          <w:tcPr>
            <w:tcW w:w="1845" w:type="dxa"/>
            <w:tcBorders>
              <w:top w:val="single" w:sz="12" w:space="0" w:color="auto"/>
              <w:bottom w:val="single" w:sz="12" w:space="0" w:color="auto"/>
            </w:tcBorders>
          </w:tcPr>
          <w:p w14:paraId="63016150"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Bacterial</w:t>
            </w:r>
          </w:p>
          <w:p w14:paraId="46FF256F"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infection</w:t>
            </w:r>
          </w:p>
          <w:p w14:paraId="454BF854" w14:textId="77777777" w:rsidR="00736C9F" w:rsidRPr="001F40A6" w:rsidRDefault="00736C9F" w:rsidP="006A5CB3">
            <w:pPr>
              <w:ind w:right="283"/>
              <w:jc w:val="center"/>
              <w:rPr>
                <w:b/>
                <w:color w:val="000000"/>
                <w:sz w:val="18"/>
                <w:szCs w:val="18"/>
                <w:lang w:val="en-US"/>
              </w:rPr>
            </w:pPr>
            <w:r w:rsidRPr="001F40A6">
              <w:rPr>
                <w:b/>
                <w:bCs/>
                <w:color w:val="000000"/>
                <w:sz w:val="18"/>
                <w:szCs w:val="18"/>
                <w:lang w:val="en-US"/>
              </w:rPr>
              <w:t>n=81</w:t>
            </w:r>
          </w:p>
        </w:tc>
        <w:tc>
          <w:tcPr>
            <w:tcW w:w="1701" w:type="dxa"/>
            <w:tcBorders>
              <w:top w:val="single" w:sz="12" w:space="0" w:color="auto"/>
              <w:bottom w:val="single" w:sz="12" w:space="0" w:color="auto"/>
            </w:tcBorders>
          </w:tcPr>
          <w:p w14:paraId="0E8282AA"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Viral + Bacterial infection</w:t>
            </w:r>
          </w:p>
          <w:p w14:paraId="3FDB668F" w14:textId="77777777" w:rsidR="00736C9F" w:rsidRPr="001F40A6" w:rsidRDefault="00736C9F" w:rsidP="006A5CB3">
            <w:pPr>
              <w:ind w:right="283"/>
              <w:jc w:val="center"/>
              <w:rPr>
                <w:b/>
                <w:color w:val="000000"/>
                <w:sz w:val="18"/>
                <w:szCs w:val="18"/>
                <w:lang w:val="en-US"/>
              </w:rPr>
            </w:pPr>
            <w:r w:rsidRPr="001F40A6">
              <w:rPr>
                <w:b/>
                <w:bCs/>
                <w:color w:val="000000"/>
                <w:sz w:val="18"/>
                <w:szCs w:val="18"/>
                <w:lang w:val="en-US"/>
              </w:rPr>
              <w:t>n=34</w:t>
            </w:r>
          </w:p>
        </w:tc>
        <w:tc>
          <w:tcPr>
            <w:tcW w:w="1842" w:type="dxa"/>
            <w:vMerge/>
            <w:tcBorders>
              <w:bottom w:val="single" w:sz="12" w:space="0" w:color="auto"/>
            </w:tcBorders>
          </w:tcPr>
          <w:p w14:paraId="5EFA5BA2" w14:textId="77777777" w:rsidR="00736C9F" w:rsidRPr="001F40A6" w:rsidRDefault="00736C9F" w:rsidP="006A5CB3">
            <w:pPr>
              <w:ind w:right="283"/>
              <w:rPr>
                <w:b/>
                <w:color w:val="000000"/>
                <w:sz w:val="18"/>
                <w:szCs w:val="18"/>
                <w:lang w:val="en-US"/>
              </w:rPr>
            </w:pPr>
          </w:p>
        </w:tc>
        <w:tc>
          <w:tcPr>
            <w:tcW w:w="851" w:type="dxa"/>
            <w:vMerge/>
            <w:tcBorders>
              <w:bottom w:val="single" w:sz="12" w:space="0" w:color="auto"/>
            </w:tcBorders>
          </w:tcPr>
          <w:p w14:paraId="459A2DF8" w14:textId="77777777" w:rsidR="00736C9F" w:rsidRPr="001F40A6" w:rsidRDefault="00736C9F" w:rsidP="006A5CB3">
            <w:pPr>
              <w:ind w:right="283"/>
              <w:rPr>
                <w:b/>
                <w:color w:val="000000"/>
                <w:sz w:val="18"/>
                <w:szCs w:val="18"/>
                <w:lang w:val="en-US"/>
              </w:rPr>
            </w:pPr>
          </w:p>
        </w:tc>
      </w:tr>
      <w:tr w:rsidR="00736C9F" w:rsidRPr="001F40A6" w14:paraId="767A3D64" w14:textId="77777777" w:rsidTr="006A5CB3">
        <w:trPr>
          <w:trHeight w:val="288"/>
        </w:trPr>
        <w:tc>
          <w:tcPr>
            <w:tcW w:w="14318" w:type="dxa"/>
            <w:gridSpan w:val="8"/>
            <w:shd w:val="clear" w:color="auto" w:fill="F2F2F2" w:themeFill="background1" w:themeFillShade="F2"/>
            <w:noWrap/>
            <w:vAlign w:val="bottom"/>
          </w:tcPr>
          <w:p w14:paraId="72D5285C" w14:textId="77777777" w:rsidR="00736C9F" w:rsidRPr="001F40A6" w:rsidRDefault="00736C9F" w:rsidP="006A5CB3">
            <w:pPr>
              <w:ind w:right="283"/>
              <w:rPr>
                <w:color w:val="000000"/>
                <w:sz w:val="18"/>
                <w:szCs w:val="18"/>
                <w:lang w:val="en-US"/>
              </w:rPr>
            </w:pPr>
            <w:r w:rsidRPr="001F40A6">
              <w:rPr>
                <w:b/>
                <w:bCs/>
                <w:color w:val="000000"/>
                <w:sz w:val="18"/>
                <w:szCs w:val="18"/>
                <w:lang w:val="en-US"/>
              </w:rPr>
              <w:t>Demography</w:t>
            </w:r>
          </w:p>
        </w:tc>
      </w:tr>
      <w:tr w:rsidR="00736C9F" w:rsidRPr="001F40A6" w14:paraId="1A6AF188" w14:textId="77777777" w:rsidTr="006A5CB3">
        <w:trPr>
          <w:trHeight w:val="288"/>
        </w:trPr>
        <w:tc>
          <w:tcPr>
            <w:tcW w:w="2553" w:type="dxa"/>
            <w:shd w:val="clear" w:color="auto" w:fill="auto"/>
            <w:noWrap/>
            <w:vAlign w:val="bottom"/>
          </w:tcPr>
          <w:p w14:paraId="4A921BCA" w14:textId="77777777" w:rsidR="00736C9F" w:rsidRPr="001F40A6" w:rsidRDefault="00736C9F" w:rsidP="006A5CB3">
            <w:pPr>
              <w:ind w:right="283"/>
              <w:rPr>
                <w:color w:val="000000"/>
                <w:sz w:val="18"/>
                <w:szCs w:val="18"/>
                <w:lang w:val="en-US"/>
              </w:rPr>
            </w:pPr>
            <w:r w:rsidRPr="001F40A6">
              <w:rPr>
                <w:color w:val="000000"/>
                <w:sz w:val="18"/>
                <w:szCs w:val="18"/>
                <w:lang w:val="en-US"/>
              </w:rPr>
              <w:t>Age (years)</w:t>
            </w:r>
          </w:p>
        </w:tc>
        <w:tc>
          <w:tcPr>
            <w:tcW w:w="1842" w:type="dxa"/>
            <w:shd w:val="clear" w:color="auto" w:fill="auto"/>
            <w:noWrap/>
            <w:vAlign w:val="center"/>
          </w:tcPr>
          <w:p w14:paraId="6240F4F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69 [62-77]</w:t>
            </w:r>
          </w:p>
        </w:tc>
        <w:tc>
          <w:tcPr>
            <w:tcW w:w="1983" w:type="dxa"/>
            <w:shd w:val="clear" w:color="auto" w:fill="auto"/>
            <w:noWrap/>
            <w:vAlign w:val="center"/>
          </w:tcPr>
          <w:p w14:paraId="710286B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71 [62-77]</w:t>
            </w:r>
          </w:p>
        </w:tc>
        <w:tc>
          <w:tcPr>
            <w:tcW w:w="1701" w:type="dxa"/>
            <w:shd w:val="clear" w:color="auto" w:fill="auto"/>
            <w:noWrap/>
            <w:vAlign w:val="center"/>
          </w:tcPr>
          <w:p w14:paraId="08F7E6C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72 [65-78]</w:t>
            </w:r>
          </w:p>
        </w:tc>
        <w:tc>
          <w:tcPr>
            <w:tcW w:w="1845" w:type="dxa"/>
            <w:vAlign w:val="center"/>
          </w:tcPr>
          <w:p w14:paraId="295D9D0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70 (63-76]</w:t>
            </w:r>
          </w:p>
        </w:tc>
        <w:tc>
          <w:tcPr>
            <w:tcW w:w="1701" w:type="dxa"/>
            <w:vAlign w:val="center"/>
          </w:tcPr>
          <w:p w14:paraId="075E5151"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67 [59-77]</w:t>
            </w:r>
          </w:p>
        </w:tc>
        <w:tc>
          <w:tcPr>
            <w:tcW w:w="1842" w:type="dxa"/>
            <w:vAlign w:val="center"/>
          </w:tcPr>
          <w:p w14:paraId="48624B3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67 [61-76]</w:t>
            </w:r>
          </w:p>
        </w:tc>
        <w:tc>
          <w:tcPr>
            <w:tcW w:w="851" w:type="dxa"/>
            <w:vAlign w:val="center"/>
          </w:tcPr>
          <w:p w14:paraId="7DED79EA" w14:textId="77777777" w:rsidR="00736C9F" w:rsidRPr="001F40A6" w:rsidRDefault="00736C9F" w:rsidP="006A5CB3">
            <w:pPr>
              <w:ind w:right="283"/>
              <w:jc w:val="center"/>
              <w:rPr>
                <w:color w:val="000000"/>
                <w:sz w:val="18"/>
                <w:szCs w:val="18"/>
                <w:lang w:val="en-US"/>
              </w:rPr>
            </w:pPr>
          </w:p>
        </w:tc>
      </w:tr>
      <w:tr w:rsidR="00736C9F" w:rsidRPr="001F40A6" w14:paraId="0246DFA2" w14:textId="77777777" w:rsidTr="006A5CB3">
        <w:trPr>
          <w:trHeight w:val="288"/>
        </w:trPr>
        <w:tc>
          <w:tcPr>
            <w:tcW w:w="2553" w:type="dxa"/>
            <w:shd w:val="clear" w:color="auto" w:fill="auto"/>
            <w:noWrap/>
            <w:vAlign w:val="bottom"/>
            <w:hideMark/>
          </w:tcPr>
          <w:p w14:paraId="13C0BB10" w14:textId="77777777" w:rsidR="00736C9F" w:rsidRPr="001F40A6" w:rsidRDefault="00736C9F" w:rsidP="006A5CB3">
            <w:pPr>
              <w:ind w:right="283"/>
              <w:rPr>
                <w:color w:val="000000"/>
                <w:sz w:val="18"/>
                <w:szCs w:val="18"/>
                <w:lang w:val="en-US"/>
              </w:rPr>
            </w:pPr>
            <w:r w:rsidRPr="001F40A6">
              <w:rPr>
                <w:color w:val="000000"/>
                <w:sz w:val="18"/>
                <w:szCs w:val="18"/>
                <w:lang w:val="en-US"/>
              </w:rPr>
              <w:t>Male sex</w:t>
            </w:r>
          </w:p>
        </w:tc>
        <w:tc>
          <w:tcPr>
            <w:tcW w:w="1842" w:type="dxa"/>
            <w:shd w:val="clear" w:color="auto" w:fill="auto"/>
            <w:noWrap/>
            <w:vAlign w:val="center"/>
          </w:tcPr>
          <w:p w14:paraId="63D50151"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304 (64.3)</w:t>
            </w:r>
          </w:p>
        </w:tc>
        <w:tc>
          <w:tcPr>
            <w:tcW w:w="1983" w:type="dxa"/>
            <w:shd w:val="clear" w:color="auto" w:fill="auto"/>
            <w:noWrap/>
            <w:vAlign w:val="center"/>
          </w:tcPr>
          <w:p w14:paraId="7DA07C94"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189 (65.6)</w:t>
            </w:r>
          </w:p>
        </w:tc>
        <w:tc>
          <w:tcPr>
            <w:tcW w:w="1701" w:type="dxa"/>
            <w:shd w:val="clear" w:color="auto" w:fill="auto"/>
            <w:noWrap/>
            <w:vAlign w:val="center"/>
          </w:tcPr>
          <w:p w14:paraId="10D83926"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57 (64.0)</w:t>
            </w:r>
          </w:p>
        </w:tc>
        <w:tc>
          <w:tcPr>
            <w:tcW w:w="1845" w:type="dxa"/>
            <w:vAlign w:val="center"/>
          </w:tcPr>
          <w:p w14:paraId="5215123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59 (72.8)</w:t>
            </w:r>
          </w:p>
        </w:tc>
        <w:tc>
          <w:tcPr>
            <w:tcW w:w="1701" w:type="dxa"/>
            <w:vAlign w:val="center"/>
          </w:tcPr>
          <w:p w14:paraId="0D679BCC"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24 (70.6)</w:t>
            </w:r>
          </w:p>
        </w:tc>
        <w:tc>
          <w:tcPr>
            <w:tcW w:w="1842" w:type="dxa"/>
            <w:vAlign w:val="center"/>
          </w:tcPr>
          <w:p w14:paraId="5AD0AB36"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115 (62.2)</w:t>
            </w:r>
          </w:p>
        </w:tc>
        <w:tc>
          <w:tcPr>
            <w:tcW w:w="851" w:type="dxa"/>
            <w:vAlign w:val="center"/>
          </w:tcPr>
          <w:p w14:paraId="1245291C" w14:textId="77777777" w:rsidR="00736C9F" w:rsidRPr="001F40A6" w:rsidRDefault="00736C9F" w:rsidP="006A5CB3">
            <w:pPr>
              <w:ind w:right="283"/>
              <w:jc w:val="center"/>
              <w:rPr>
                <w:color w:val="000000"/>
                <w:sz w:val="18"/>
                <w:szCs w:val="18"/>
                <w:lang w:val="en-US"/>
              </w:rPr>
            </w:pPr>
          </w:p>
        </w:tc>
      </w:tr>
      <w:tr w:rsidR="00736C9F" w:rsidRPr="001F40A6" w14:paraId="1BF28F52" w14:textId="77777777" w:rsidTr="006A5CB3">
        <w:trPr>
          <w:trHeight w:val="288"/>
        </w:trPr>
        <w:tc>
          <w:tcPr>
            <w:tcW w:w="2553" w:type="dxa"/>
            <w:shd w:val="clear" w:color="auto" w:fill="auto"/>
            <w:noWrap/>
            <w:vAlign w:val="bottom"/>
          </w:tcPr>
          <w:p w14:paraId="73FDEFC3" w14:textId="77777777" w:rsidR="00736C9F" w:rsidRPr="001F40A6" w:rsidRDefault="00736C9F" w:rsidP="006A5CB3">
            <w:pPr>
              <w:ind w:right="283"/>
              <w:rPr>
                <w:color w:val="000000"/>
                <w:sz w:val="18"/>
                <w:szCs w:val="18"/>
                <w:lang w:val="en-US"/>
              </w:rPr>
            </w:pPr>
            <w:r w:rsidRPr="001F40A6">
              <w:rPr>
                <w:color w:val="000000"/>
                <w:sz w:val="18"/>
                <w:szCs w:val="18"/>
                <w:lang w:val="en-US"/>
              </w:rPr>
              <w:t>COPD stage 1 and 2</w:t>
            </w:r>
          </w:p>
        </w:tc>
        <w:tc>
          <w:tcPr>
            <w:tcW w:w="1842" w:type="dxa"/>
            <w:shd w:val="clear" w:color="auto" w:fill="auto"/>
            <w:noWrap/>
            <w:vAlign w:val="center"/>
          </w:tcPr>
          <w:p w14:paraId="6FE40898"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115 (30.0)</w:t>
            </w:r>
          </w:p>
        </w:tc>
        <w:tc>
          <w:tcPr>
            <w:tcW w:w="1983" w:type="dxa"/>
            <w:shd w:val="clear" w:color="auto" w:fill="auto"/>
            <w:noWrap/>
            <w:vAlign w:val="center"/>
          </w:tcPr>
          <w:p w14:paraId="1A2AB09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74 (32)</w:t>
            </w:r>
          </w:p>
        </w:tc>
        <w:tc>
          <w:tcPr>
            <w:tcW w:w="1701" w:type="dxa"/>
            <w:shd w:val="clear" w:color="auto" w:fill="auto"/>
            <w:noWrap/>
            <w:vAlign w:val="center"/>
          </w:tcPr>
          <w:p w14:paraId="72C691E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26 (34.7)**</w:t>
            </w:r>
          </w:p>
        </w:tc>
        <w:tc>
          <w:tcPr>
            <w:tcW w:w="1845" w:type="dxa"/>
            <w:shd w:val="clear" w:color="auto" w:fill="auto"/>
            <w:vAlign w:val="center"/>
          </w:tcPr>
          <w:p w14:paraId="46D882C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14 (23)</w:t>
            </w:r>
          </w:p>
        </w:tc>
        <w:tc>
          <w:tcPr>
            <w:tcW w:w="1701" w:type="dxa"/>
            <w:shd w:val="clear" w:color="auto" w:fill="auto"/>
            <w:vAlign w:val="center"/>
          </w:tcPr>
          <w:p w14:paraId="7B1E75FE"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15 (55.5)</w:t>
            </w:r>
          </w:p>
        </w:tc>
        <w:tc>
          <w:tcPr>
            <w:tcW w:w="1842" w:type="dxa"/>
            <w:shd w:val="clear" w:color="auto" w:fill="auto"/>
            <w:vAlign w:val="center"/>
          </w:tcPr>
          <w:p w14:paraId="5AA17FB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41 (27)</w:t>
            </w:r>
          </w:p>
        </w:tc>
        <w:tc>
          <w:tcPr>
            <w:tcW w:w="851" w:type="dxa"/>
            <w:shd w:val="clear" w:color="auto" w:fill="auto"/>
            <w:vAlign w:val="center"/>
          </w:tcPr>
          <w:p w14:paraId="00AD85CC"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92</w:t>
            </w:r>
          </w:p>
        </w:tc>
      </w:tr>
      <w:tr w:rsidR="00736C9F" w:rsidRPr="001F40A6" w14:paraId="1A00416D" w14:textId="77777777" w:rsidTr="006A5CB3">
        <w:trPr>
          <w:trHeight w:val="288"/>
        </w:trPr>
        <w:tc>
          <w:tcPr>
            <w:tcW w:w="2553" w:type="dxa"/>
            <w:shd w:val="clear" w:color="auto" w:fill="auto"/>
            <w:noWrap/>
            <w:vAlign w:val="bottom"/>
          </w:tcPr>
          <w:p w14:paraId="4370F6B6" w14:textId="77777777" w:rsidR="00736C9F" w:rsidRPr="001F40A6" w:rsidRDefault="00736C9F" w:rsidP="006A5CB3">
            <w:pPr>
              <w:ind w:right="283"/>
              <w:rPr>
                <w:color w:val="000000"/>
                <w:sz w:val="18"/>
                <w:szCs w:val="18"/>
                <w:lang w:val="en-US"/>
              </w:rPr>
            </w:pPr>
            <w:r w:rsidRPr="001F40A6">
              <w:rPr>
                <w:color w:val="000000"/>
                <w:sz w:val="18"/>
                <w:szCs w:val="18"/>
                <w:lang w:val="en-US"/>
              </w:rPr>
              <w:t>COPD stage 3 and 4</w:t>
            </w:r>
          </w:p>
        </w:tc>
        <w:tc>
          <w:tcPr>
            <w:tcW w:w="1842" w:type="dxa"/>
            <w:shd w:val="clear" w:color="auto" w:fill="auto"/>
            <w:noWrap/>
            <w:vAlign w:val="center"/>
          </w:tcPr>
          <w:p w14:paraId="5FB572C1"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266 (70)</w:t>
            </w:r>
          </w:p>
        </w:tc>
        <w:tc>
          <w:tcPr>
            <w:tcW w:w="1983" w:type="dxa"/>
            <w:shd w:val="clear" w:color="auto" w:fill="auto"/>
            <w:noWrap/>
            <w:vAlign w:val="center"/>
          </w:tcPr>
          <w:p w14:paraId="4F0034F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154 (68)</w:t>
            </w:r>
          </w:p>
        </w:tc>
        <w:tc>
          <w:tcPr>
            <w:tcW w:w="1701" w:type="dxa"/>
            <w:shd w:val="clear" w:color="auto" w:fill="auto"/>
            <w:noWrap/>
            <w:vAlign w:val="center"/>
          </w:tcPr>
          <w:p w14:paraId="55FD0CA6"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49 (65.3)**</w:t>
            </w:r>
          </w:p>
        </w:tc>
        <w:tc>
          <w:tcPr>
            <w:tcW w:w="1845" w:type="dxa"/>
            <w:shd w:val="clear" w:color="auto" w:fill="auto"/>
            <w:vAlign w:val="center"/>
          </w:tcPr>
          <w:p w14:paraId="67DB0E2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47 (77)</w:t>
            </w:r>
          </w:p>
        </w:tc>
        <w:tc>
          <w:tcPr>
            <w:tcW w:w="1701" w:type="dxa"/>
            <w:shd w:val="clear" w:color="auto" w:fill="auto"/>
            <w:vAlign w:val="center"/>
          </w:tcPr>
          <w:p w14:paraId="59B9C8F3"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12 (44.5)</w:t>
            </w:r>
          </w:p>
        </w:tc>
        <w:tc>
          <w:tcPr>
            <w:tcW w:w="1842" w:type="dxa"/>
            <w:shd w:val="clear" w:color="auto" w:fill="auto"/>
            <w:vAlign w:val="center"/>
          </w:tcPr>
          <w:p w14:paraId="475EFEA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112 (73)</w:t>
            </w:r>
          </w:p>
        </w:tc>
        <w:tc>
          <w:tcPr>
            <w:tcW w:w="851" w:type="dxa"/>
            <w:shd w:val="clear" w:color="auto" w:fill="auto"/>
            <w:vAlign w:val="center"/>
          </w:tcPr>
          <w:p w14:paraId="225B0CA1" w14:textId="77777777" w:rsidR="00736C9F" w:rsidRPr="001F40A6" w:rsidRDefault="00736C9F" w:rsidP="006A5CB3">
            <w:pPr>
              <w:ind w:right="283"/>
              <w:jc w:val="center"/>
              <w:rPr>
                <w:color w:val="000000"/>
                <w:sz w:val="18"/>
                <w:szCs w:val="18"/>
                <w:lang w:val="en-US"/>
              </w:rPr>
            </w:pPr>
          </w:p>
        </w:tc>
      </w:tr>
      <w:tr w:rsidR="00736C9F" w:rsidRPr="001F40A6" w14:paraId="279A830E" w14:textId="77777777" w:rsidTr="006A5CB3">
        <w:trPr>
          <w:trHeight w:val="288"/>
        </w:trPr>
        <w:tc>
          <w:tcPr>
            <w:tcW w:w="2553" w:type="dxa"/>
            <w:shd w:val="clear" w:color="auto" w:fill="auto"/>
            <w:noWrap/>
            <w:vAlign w:val="bottom"/>
          </w:tcPr>
          <w:p w14:paraId="16DAAA46" w14:textId="77777777" w:rsidR="00736C9F" w:rsidRPr="001F40A6" w:rsidRDefault="00736C9F" w:rsidP="006A5CB3">
            <w:pPr>
              <w:ind w:right="283"/>
              <w:rPr>
                <w:color w:val="000000"/>
                <w:sz w:val="18"/>
                <w:szCs w:val="18"/>
                <w:lang w:val="en-US"/>
              </w:rPr>
            </w:pPr>
            <w:r w:rsidRPr="001F40A6">
              <w:rPr>
                <w:color w:val="000000"/>
                <w:sz w:val="18"/>
                <w:szCs w:val="18"/>
                <w:lang w:val="en-US"/>
              </w:rPr>
              <w:t>Long-term oral corticosteroids therapy</w:t>
            </w:r>
          </w:p>
        </w:tc>
        <w:tc>
          <w:tcPr>
            <w:tcW w:w="1842" w:type="dxa"/>
            <w:shd w:val="clear" w:color="auto" w:fill="auto"/>
            <w:noWrap/>
            <w:vAlign w:val="center"/>
          </w:tcPr>
          <w:p w14:paraId="5DC2F155"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61 (12.9)</w:t>
            </w:r>
          </w:p>
        </w:tc>
        <w:tc>
          <w:tcPr>
            <w:tcW w:w="1983" w:type="dxa"/>
            <w:shd w:val="clear" w:color="auto" w:fill="auto"/>
            <w:noWrap/>
            <w:vAlign w:val="center"/>
          </w:tcPr>
          <w:p w14:paraId="1AB122AC"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37 (12.8)</w:t>
            </w:r>
          </w:p>
        </w:tc>
        <w:tc>
          <w:tcPr>
            <w:tcW w:w="1701" w:type="dxa"/>
            <w:shd w:val="clear" w:color="auto" w:fill="auto"/>
            <w:noWrap/>
            <w:vAlign w:val="center"/>
          </w:tcPr>
          <w:p w14:paraId="188BDD54"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12 (13.5)</w:t>
            </w:r>
          </w:p>
        </w:tc>
        <w:tc>
          <w:tcPr>
            <w:tcW w:w="1845" w:type="dxa"/>
            <w:vAlign w:val="center"/>
          </w:tcPr>
          <w:p w14:paraId="48B6A5E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11 (13.6)</w:t>
            </w:r>
          </w:p>
        </w:tc>
        <w:tc>
          <w:tcPr>
            <w:tcW w:w="1701" w:type="dxa"/>
            <w:vAlign w:val="center"/>
          </w:tcPr>
          <w:p w14:paraId="22064B5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4 (11.8)</w:t>
            </w:r>
          </w:p>
        </w:tc>
        <w:tc>
          <w:tcPr>
            <w:tcW w:w="1842" w:type="dxa"/>
            <w:vAlign w:val="center"/>
          </w:tcPr>
          <w:p w14:paraId="6685B8C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24 (13.0)</w:t>
            </w:r>
          </w:p>
        </w:tc>
        <w:tc>
          <w:tcPr>
            <w:tcW w:w="851" w:type="dxa"/>
            <w:vAlign w:val="center"/>
          </w:tcPr>
          <w:p w14:paraId="330D7DA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w:t>
            </w:r>
          </w:p>
        </w:tc>
      </w:tr>
      <w:tr w:rsidR="00736C9F" w:rsidRPr="001F40A6" w14:paraId="47394A26" w14:textId="77777777" w:rsidTr="006A5CB3">
        <w:trPr>
          <w:trHeight w:val="288"/>
        </w:trPr>
        <w:tc>
          <w:tcPr>
            <w:tcW w:w="2553" w:type="dxa"/>
            <w:shd w:val="clear" w:color="auto" w:fill="auto"/>
            <w:noWrap/>
            <w:vAlign w:val="bottom"/>
          </w:tcPr>
          <w:p w14:paraId="6DA26E93" w14:textId="77777777" w:rsidR="00736C9F" w:rsidRPr="001F40A6" w:rsidRDefault="00736C9F" w:rsidP="006A5CB3">
            <w:pPr>
              <w:ind w:right="283"/>
              <w:rPr>
                <w:color w:val="000000"/>
                <w:sz w:val="18"/>
                <w:szCs w:val="18"/>
                <w:lang w:val="en-US"/>
              </w:rPr>
            </w:pPr>
            <w:r w:rsidRPr="001F40A6">
              <w:rPr>
                <w:color w:val="000000"/>
                <w:sz w:val="18"/>
                <w:szCs w:val="18"/>
                <w:lang w:val="en-US"/>
              </w:rPr>
              <w:t>Long-term oxygen therapy</w:t>
            </w:r>
          </w:p>
        </w:tc>
        <w:tc>
          <w:tcPr>
            <w:tcW w:w="1842" w:type="dxa"/>
            <w:shd w:val="clear" w:color="auto" w:fill="auto"/>
            <w:noWrap/>
            <w:vAlign w:val="center"/>
          </w:tcPr>
          <w:p w14:paraId="0B78E9F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154 (32.6)</w:t>
            </w:r>
          </w:p>
        </w:tc>
        <w:tc>
          <w:tcPr>
            <w:tcW w:w="1983" w:type="dxa"/>
            <w:shd w:val="clear" w:color="auto" w:fill="auto"/>
            <w:noWrap/>
            <w:vAlign w:val="center"/>
          </w:tcPr>
          <w:p w14:paraId="38B4D6F1"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84 (29.2)</w:t>
            </w:r>
          </w:p>
        </w:tc>
        <w:tc>
          <w:tcPr>
            <w:tcW w:w="1701" w:type="dxa"/>
            <w:shd w:val="clear" w:color="auto" w:fill="auto"/>
            <w:noWrap/>
            <w:vAlign w:val="center"/>
          </w:tcPr>
          <w:p w14:paraId="0CA69B18"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21 (23.6)</w:t>
            </w:r>
          </w:p>
        </w:tc>
        <w:tc>
          <w:tcPr>
            <w:tcW w:w="1845" w:type="dxa"/>
            <w:shd w:val="clear" w:color="auto" w:fill="auto"/>
            <w:vAlign w:val="center"/>
          </w:tcPr>
          <w:p w14:paraId="6E989C64"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29 (35.8)</w:t>
            </w:r>
          </w:p>
        </w:tc>
        <w:tc>
          <w:tcPr>
            <w:tcW w:w="1701" w:type="dxa"/>
            <w:shd w:val="clear" w:color="auto" w:fill="auto"/>
            <w:vAlign w:val="center"/>
          </w:tcPr>
          <w:p w14:paraId="6FB49CC4"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6 (17.6)</w:t>
            </w:r>
          </w:p>
        </w:tc>
        <w:tc>
          <w:tcPr>
            <w:tcW w:w="1842" w:type="dxa"/>
            <w:shd w:val="clear" w:color="auto" w:fill="auto"/>
            <w:vAlign w:val="center"/>
          </w:tcPr>
          <w:p w14:paraId="7EEEEF8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70 (37.8)</w:t>
            </w:r>
          </w:p>
        </w:tc>
        <w:tc>
          <w:tcPr>
            <w:tcW w:w="851" w:type="dxa"/>
            <w:shd w:val="clear" w:color="auto" w:fill="auto"/>
            <w:vAlign w:val="center"/>
          </w:tcPr>
          <w:p w14:paraId="2F6816A3" w14:textId="77777777" w:rsidR="00736C9F" w:rsidRPr="001F40A6" w:rsidRDefault="00736C9F" w:rsidP="006A5CB3">
            <w:pPr>
              <w:ind w:right="283"/>
              <w:jc w:val="center"/>
              <w:rPr>
                <w:color w:val="000000"/>
                <w:sz w:val="18"/>
                <w:szCs w:val="18"/>
                <w:lang w:val="en-US"/>
              </w:rPr>
            </w:pPr>
          </w:p>
        </w:tc>
      </w:tr>
      <w:tr w:rsidR="00736C9F" w:rsidRPr="001F40A6" w14:paraId="5B18E54A" w14:textId="77777777" w:rsidTr="006A5CB3">
        <w:trPr>
          <w:trHeight w:val="288"/>
        </w:trPr>
        <w:tc>
          <w:tcPr>
            <w:tcW w:w="2553" w:type="dxa"/>
            <w:shd w:val="clear" w:color="auto" w:fill="auto"/>
            <w:noWrap/>
            <w:vAlign w:val="bottom"/>
          </w:tcPr>
          <w:p w14:paraId="7BDE72F6" w14:textId="77777777" w:rsidR="00736C9F" w:rsidRPr="001F40A6" w:rsidRDefault="00736C9F" w:rsidP="006A5CB3">
            <w:pPr>
              <w:ind w:right="283"/>
              <w:rPr>
                <w:color w:val="000000"/>
                <w:sz w:val="18"/>
                <w:szCs w:val="18"/>
                <w:lang w:val="en-US"/>
              </w:rPr>
            </w:pPr>
            <w:r w:rsidRPr="001F40A6">
              <w:rPr>
                <w:color w:val="000000"/>
                <w:sz w:val="18"/>
                <w:szCs w:val="18"/>
                <w:lang w:val="en-US"/>
              </w:rPr>
              <w:t>Long-term homecare NIV</w:t>
            </w:r>
          </w:p>
        </w:tc>
        <w:tc>
          <w:tcPr>
            <w:tcW w:w="1842" w:type="dxa"/>
            <w:shd w:val="clear" w:color="auto" w:fill="auto"/>
            <w:noWrap/>
            <w:vAlign w:val="center"/>
          </w:tcPr>
          <w:p w14:paraId="1FED3B6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75 (15.9)</w:t>
            </w:r>
          </w:p>
        </w:tc>
        <w:tc>
          <w:tcPr>
            <w:tcW w:w="1983" w:type="dxa"/>
            <w:shd w:val="clear" w:color="auto" w:fill="auto"/>
            <w:noWrap/>
            <w:vAlign w:val="center"/>
          </w:tcPr>
          <w:p w14:paraId="6B0DD2BC"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34 (11.8)*</w:t>
            </w:r>
          </w:p>
        </w:tc>
        <w:tc>
          <w:tcPr>
            <w:tcW w:w="1701" w:type="dxa"/>
            <w:shd w:val="clear" w:color="auto" w:fill="auto"/>
            <w:noWrap/>
            <w:vAlign w:val="center"/>
          </w:tcPr>
          <w:p w14:paraId="0C5A6618"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8 (9.0)</w:t>
            </w:r>
          </w:p>
        </w:tc>
        <w:tc>
          <w:tcPr>
            <w:tcW w:w="1845" w:type="dxa"/>
            <w:shd w:val="clear" w:color="auto" w:fill="auto"/>
            <w:vAlign w:val="center"/>
          </w:tcPr>
          <w:p w14:paraId="030B5A8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16 (19.8)</w:t>
            </w:r>
          </w:p>
        </w:tc>
        <w:tc>
          <w:tcPr>
            <w:tcW w:w="1701" w:type="dxa"/>
            <w:shd w:val="clear" w:color="auto" w:fill="auto"/>
            <w:vAlign w:val="center"/>
          </w:tcPr>
          <w:p w14:paraId="659B8151"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 (2.9)</w:t>
            </w:r>
          </w:p>
        </w:tc>
        <w:tc>
          <w:tcPr>
            <w:tcW w:w="1842" w:type="dxa"/>
            <w:shd w:val="clear" w:color="auto" w:fill="auto"/>
            <w:vAlign w:val="center"/>
          </w:tcPr>
          <w:p w14:paraId="19BCEFB3"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41 (22.2)</w:t>
            </w:r>
          </w:p>
        </w:tc>
        <w:tc>
          <w:tcPr>
            <w:tcW w:w="851" w:type="dxa"/>
            <w:shd w:val="clear" w:color="auto" w:fill="auto"/>
            <w:vAlign w:val="center"/>
          </w:tcPr>
          <w:p w14:paraId="00446665" w14:textId="77777777" w:rsidR="00736C9F" w:rsidRPr="001F40A6" w:rsidRDefault="00736C9F" w:rsidP="006A5CB3">
            <w:pPr>
              <w:ind w:right="283"/>
              <w:jc w:val="center"/>
              <w:rPr>
                <w:color w:val="000000"/>
                <w:sz w:val="18"/>
                <w:szCs w:val="18"/>
                <w:lang w:val="en-US"/>
              </w:rPr>
            </w:pPr>
          </w:p>
        </w:tc>
      </w:tr>
      <w:tr w:rsidR="00736C9F" w:rsidRPr="001F40A6" w14:paraId="577AF20A" w14:textId="77777777" w:rsidTr="006A5CB3">
        <w:trPr>
          <w:trHeight w:val="288"/>
        </w:trPr>
        <w:tc>
          <w:tcPr>
            <w:tcW w:w="2553" w:type="dxa"/>
            <w:shd w:val="clear" w:color="auto" w:fill="auto"/>
            <w:noWrap/>
            <w:vAlign w:val="bottom"/>
          </w:tcPr>
          <w:p w14:paraId="6521355A" w14:textId="77777777" w:rsidR="00736C9F" w:rsidRPr="001F40A6" w:rsidRDefault="00736C9F" w:rsidP="006A5CB3">
            <w:pPr>
              <w:ind w:right="283"/>
              <w:rPr>
                <w:color w:val="000000"/>
                <w:sz w:val="18"/>
                <w:szCs w:val="18"/>
                <w:lang w:val="en-US"/>
              </w:rPr>
            </w:pPr>
            <w:r w:rsidRPr="001F40A6">
              <w:rPr>
                <w:color w:val="000000"/>
                <w:sz w:val="18"/>
                <w:szCs w:val="18"/>
                <w:lang w:val="en-US"/>
              </w:rPr>
              <w:t>Diabetes mellitus</w:t>
            </w:r>
          </w:p>
        </w:tc>
        <w:tc>
          <w:tcPr>
            <w:tcW w:w="1842" w:type="dxa"/>
            <w:shd w:val="clear" w:color="auto" w:fill="auto"/>
            <w:noWrap/>
            <w:vAlign w:val="center"/>
          </w:tcPr>
          <w:p w14:paraId="4608B462"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104 (22.0)</w:t>
            </w:r>
          </w:p>
        </w:tc>
        <w:tc>
          <w:tcPr>
            <w:tcW w:w="1983" w:type="dxa"/>
            <w:shd w:val="clear" w:color="auto" w:fill="auto"/>
            <w:noWrap/>
            <w:vAlign w:val="center"/>
          </w:tcPr>
          <w:p w14:paraId="56FCE2A6"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65 (22.6)</w:t>
            </w:r>
          </w:p>
        </w:tc>
        <w:tc>
          <w:tcPr>
            <w:tcW w:w="1701" w:type="dxa"/>
            <w:shd w:val="clear" w:color="auto" w:fill="auto"/>
            <w:noWrap/>
            <w:vAlign w:val="center"/>
          </w:tcPr>
          <w:p w14:paraId="3E8FEC5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17 (19.1)</w:t>
            </w:r>
          </w:p>
        </w:tc>
        <w:tc>
          <w:tcPr>
            <w:tcW w:w="1845" w:type="dxa"/>
            <w:shd w:val="clear" w:color="auto" w:fill="auto"/>
            <w:vAlign w:val="center"/>
          </w:tcPr>
          <w:p w14:paraId="326AD758"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28 (22.2)</w:t>
            </w:r>
          </w:p>
        </w:tc>
        <w:tc>
          <w:tcPr>
            <w:tcW w:w="1701" w:type="dxa"/>
            <w:shd w:val="clear" w:color="auto" w:fill="auto"/>
            <w:vAlign w:val="center"/>
          </w:tcPr>
          <w:p w14:paraId="47D4099C"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 (29.4)</w:t>
            </w:r>
          </w:p>
        </w:tc>
        <w:tc>
          <w:tcPr>
            <w:tcW w:w="1842" w:type="dxa"/>
            <w:vAlign w:val="center"/>
          </w:tcPr>
          <w:p w14:paraId="2C8179D1"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39 (21.1)</w:t>
            </w:r>
          </w:p>
        </w:tc>
        <w:tc>
          <w:tcPr>
            <w:tcW w:w="851" w:type="dxa"/>
            <w:vAlign w:val="center"/>
          </w:tcPr>
          <w:p w14:paraId="7E2B2016" w14:textId="77777777" w:rsidR="00736C9F" w:rsidRPr="001F40A6" w:rsidRDefault="00736C9F" w:rsidP="006A5CB3">
            <w:pPr>
              <w:ind w:right="283"/>
              <w:jc w:val="center"/>
              <w:rPr>
                <w:color w:val="000000"/>
                <w:sz w:val="18"/>
                <w:szCs w:val="18"/>
                <w:lang w:val="en-US"/>
              </w:rPr>
            </w:pPr>
          </w:p>
        </w:tc>
      </w:tr>
      <w:tr w:rsidR="00736C9F" w:rsidRPr="001F40A6" w14:paraId="545F6BEA" w14:textId="77777777" w:rsidTr="006A5CB3">
        <w:trPr>
          <w:trHeight w:val="288"/>
        </w:trPr>
        <w:tc>
          <w:tcPr>
            <w:tcW w:w="2553" w:type="dxa"/>
            <w:shd w:val="clear" w:color="auto" w:fill="auto"/>
            <w:noWrap/>
            <w:vAlign w:val="bottom"/>
          </w:tcPr>
          <w:p w14:paraId="22A441D3" w14:textId="29AE08D7" w:rsidR="00736C9F" w:rsidRPr="001F40A6" w:rsidRDefault="00736C9F" w:rsidP="006A5CB3">
            <w:pPr>
              <w:ind w:right="283"/>
              <w:rPr>
                <w:color w:val="000000"/>
                <w:sz w:val="18"/>
                <w:szCs w:val="18"/>
                <w:lang w:val="en-US"/>
              </w:rPr>
            </w:pPr>
            <w:r w:rsidRPr="001F40A6">
              <w:rPr>
                <w:color w:val="000000"/>
                <w:sz w:val="18"/>
                <w:szCs w:val="18"/>
                <w:lang w:val="en-US"/>
              </w:rPr>
              <w:t>Immunodeficiency</w:t>
            </w:r>
          </w:p>
        </w:tc>
        <w:tc>
          <w:tcPr>
            <w:tcW w:w="1842" w:type="dxa"/>
            <w:shd w:val="clear" w:color="auto" w:fill="auto"/>
            <w:noWrap/>
            <w:vAlign w:val="center"/>
          </w:tcPr>
          <w:p w14:paraId="127E0D7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107 (22.6)</w:t>
            </w:r>
          </w:p>
        </w:tc>
        <w:tc>
          <w:tcPr>
            <w:tcW w:w="1983" w:type="dxa"/>
            <w:shd w:val="clear" w:color="auto" w:fill="auto"/>
            <w:noWrap/>
            <w:vAlign w:val="center"/>
          </w:tcPr>
          <w:p w14:paraId="08D7C24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69 (24.0)</w:t>
            </w:r>
          </w:p>
        </w:tc>
        <w:tc>
          <w:tcPr>
            <w:tcW w:w="1701" w:type="dxa"/>
            <w:shd w:val="clear" w:color="auto" w:fill="auto"/>
            <w:noWrap/>
            <w:vAlign w:val="center"/>
          </w:tcPr>
          <w:p w14:paraId="5845308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23 (25.8)</w:t>
            </w:r>
          </w:p>
        </w:tc>
        <w:tc>
          <w:tcPr>
            <w:tcW w:w="1845" w:type="dxa"/>
            <w:shd w:val="clear" w:color="auto" w:fill="auto"/>
            <w:vAlign w:val="center"/>
          </w:tcPr>
          <w:p w14:paraId="7162915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24 (29.6)</w:t>
            </w:r>
          </w:p>
        </w:tc>
        <w:tc>
          <w:tcPr>
            <w:tcW w:w="1701" w:type="dxa"/>
            <w:shd w:val="clear" w:color="auto" w:fill="auto"/>
            <w:vAlign w:val="center"/>
          </w:tcPr>
          <w:p w14:paraId="6D6F8814"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8 (23.5)</w:t>
            </w:r>
          </w:p>
        </w:tc>
        <w:tc>
          <w:tcPr>
            <w:tcW w:w="1842" w:type="dxa"/>
            <w:vAlign w:val="center"/>
          </w:tcPr>
          <w:p w14:paraId="6AC46BA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38 (20.5)</w:t>
            </w:r>
          </w:p>
        </w:tc>
        <w:tc>
          <w:tcPr>
            <w:tcW w:w="851" w:type="dxa"/>
            <w:vAlign w:val="center"/>
          </w:tcPr>
          <w:p w14:paraId="0C63311A" w14:textId="77777777" w:rsidR="00736C9F" w:rsidRPr="001F40A6" w:rsidRDefault="00736C9F" w:rsidP="006A5CB3">
            <w:pPr>
              <w:ind w:right="283"/>
              <w:jc w:val="center"/>
              <w:rPr>
                <w:color w:val="000000"/>
                <w:sz w:val="18"/>
                <w:szCs w:val="18"/>
                <w:lang w:val="en-US"/>
              </w:rPr>
            </w:pPr>
          </w:p>
        </w:tc>
      </w:tr>
      <w:tr w:rsidR="00736C9F" w:rsidRPr="001F40A6" w14:paraId="131FDF1A" w14:textId="77777777" w:rsidTr="006A5CB3">
        <w:trPr>
          <w:trHeight w:val="288"/>
        </w:trPr>
        <w:tc>
          <w:tcPr>
            <w:tcW w:w="2553" w:type="dxa"/>
            <w:shd w:val="clear" w:color="auto" w:fill="auto"/>
            <w:noWrap/>
            <w:vAlign w:val="bottom"/>
          </w:tcPr>
          <w:p w14:paraId="6BBBD60F" w14:textId="77777777" w:rsidR="00736C9F" w:rsidRPr="001F40A6" w:rsidRDefault="00736C9F" w:rsidP="006A5CB3">
            <w:pPr>
              <w:ind w:right="283"/>
              <w:rPr>
                <w:color w:val="000000"/>
                <w:sz w:val="18"/>
                <w:szCs w:val="18"/>
                <w:lang w:val="en-US"/>
              </w:rPr>
            </w:pPr>
            <w:r w:rsidRPr="001F40A6">
              <w:rPr>
                <w:color w:val="000000"/>
                <w:sz w:val="18"/>
                <w:szCs w:val="18"/>
                <w:lang w:val="en-US"/>
              </w:rPr>
              <w:t>Body mass index (kg/m</w:t>
            </w:r>
            <w:r w:rsidRPr="001F40A6">
              <w:rPr>
                <w:color w:val="000000"/>
                <w:sz w:val="18"/>
                <w:szCs w:val="18"/>
                <w:vertAlign w:val="superscript"/>
                <w:lang w:val="en-US"/>
              </w:rPr>
              <w:t>2</w:t>
            </w:r>
            <w:r w:rsidRPr="001F40A6">
              <w:rPr>
                <w:color w:val="000000"/>
                <w:sz w:val="18"/>
                <w:szCs w:val="18"/>
                <w:lang w:val="en-US"/>
              </w:rPr>
              <w:t>)</w:t>
            </w:r>
          </w:p>
        </w:tc>
        <w:tc>
          <w:tcPr>
            <w:tcW w:w="1842" w:type="dxa"/>
            <w:shd w:val="clear" w:color="auto" w:fill="auto"/>
            <w:noWrap/>
            <w:vAlign w:val="center"/>
          </w:tcPr>
          <w:p w14:paraId="200FE66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25.3 [31.0-30.7]</w:t>
            </w:r>
          </w:p>
        </w:tc>
        <w:tc>
          <w:tcPr>
            <w:tcW w:w="1983" w:type="dxa"/>
            <w:shd w:val="clear" w:color="auto" w:fill="auto"/>
            <w:noWrap/>
            <w:vAlign w:val="center"/>
          </w:tcPr>
          <w:p w14:paraId="1D07A982"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24.8 [20.7-29.4]</w:t>
            </w:r>
          </w:p>
        </w:tc>
        <w:tc>
          <w:tcPr>
            <w:tcW w:w="1701" w:type="dxa"/>
            <w:shd w:val="clear" w:color="auto" w:fill="auto"/>
            <w:noWrap/>
            <w:vAlign w:val="center"/>
          </w:tcPr>
          <w:p w14:paraId="49FEA5C2"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26 [22-30]</w:t>
            </w:r>
          </w:p>
        </w:tc>
        <w:tc>
          <w:tcPr>
            <w:tcW w:w="1845" w:type="dxa"/>
            <w:shd w:val="clear" w:color="auto" w:fill="auto"/>
            <w:vAlign w:val="center"/>
          </w:tcPr>
          <w:p w14:paraId="4929F2E5"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24 [21-29]</w:t>
            </w:r>
          </w:p>
        </w:tc>
        <w:tc>
          <w:tcPr>
            <w:tcW w:w="1701" w:type="dxa"/>
            <w:shd w:val="clear" w:color="auto" w:fill="auto"/>
            <w:vAlign w:val="center"/>
          </w:tcPr>
          <w:p w14:paraId="695818D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23 [21-27]</w:t>
            </w:r>
          </w:p>
        </w:tc>
        <w:tc>
          <w:tcPr>
            <w:tcW w:w="1842" w:type="dxa"/>
            <w:shd w:val="clear" w:color="auto" w:fill="auto"/>
            <w:vAlign w:val="center"/>
          </w:tcPr>
          <w:p w14:paraId="73BE3EF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26.1 [22.3-32.1]</w:t>
            </w:r>
          </w:p>
        </w:tc>
        <w:tc>
          <w:tcPr>
            <w:tcW w:w="851" w:type="dxa"/>
            <w:shd w:val="clear" w:color="auto" w:fill="auto"/>
            <w:vAlign w:val="center"/>
          </w:tcPr>
          <w:p w14:paraId="64831094" w14:textId="77777777" w:rsidR="00736C9F" w:rsidRPr="001F40A6" w:rsidRDefault="00736C9F" w:rsidP="006A5CB3">
            <w:pPr>
              <w:ind w:right="283"/>
              <w:jc w:val="center"/>
              <w:rPr>
                <w:color w:val="000000"/>
                <w:sz w:val="18"/>
                <w:szCs w:val="18"/>
                <w:lang w:val="en-US"/>
              </w:rPr>
            </w:pPr>
          </w:p>
        </w:tc>
      </w:tr>
      <w:tr w:rsidR="00736C9F" w:rsidRPr="001F40A6" w14:paraId="700C234E" w14:textId="77777777" w:rsidTr="006A5CB3">
        <w:trPr>
          <w:trHeight w:val="288"/>
        </w:trPr>
        <w:tc>
          <w:tcPr>
            <w:tcW w:w="2553" w:type="dxa"/>
            <w:shd w:val="clear" w:color="auto" w:fill="auto"/>
            <w:noWrap/>
            <w:vAlign w:val="bottom"/>
          </w:tcPr>
          <w:p w14:paraId="48BE9A0C" w14:textId="77777777" w:rsidR="00736C9F" w:rsidRPr="001F40A6" w:rsidRDefault="00736C9F" w:rsidP="006A5CB3">
            <w:pPr>
              <w:ind w:right="283"/>
              <w:rPr>
                <w:color w:val="000000"/>
                <w:sz w:val="18"/>
                <w:szCs w:val="18"/>
                <w:lang w:val="en-US"/>
              </w:rPr>
            </w:pPr>
            <w:r w:rsidRPr="001F40A6">
              <w:rPr>
                <w:color w:val="000000"/>
                <w:sz w:val="18"/>
                <w:szCs w:val="18"/>
                <w:lang w:val="en-US"/>
              </w:rPr>
              <w:t>Chronic kidney failure</w:t>
            </w:r>
          </w:p>
        </w:tc>
        <w:tc>
          <w:tcPr>
            <w:tcW w:w="1842" w:type="dxa"/>
            <w:shd w:val="clear" w:color="auto" w:fill="auto"/>
            <w:noWrap/>
            <w:vAlign w:val="center"/>
          </w:tcPr>
          <w:p w14:paraId="5328A1A3"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39 (8.2)</w:t>
            </w:r>
          </w:p>
        </w:tc>
        <w:tc>
          <w:tcPr>
            <w:tcW w:w="1983" w:type="dxa"/>
            <w:shd w:val="clear" w:color="auto" w:fill="auto"/>
            <w:noWrap/>
            <w:vAlign w:val="center"/>
          </w:tcPr>
          <w:p w14:paraId="58CDDDE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27 (9.4)</w:t>
            </w:r>
          </w:p>
        </w:tc>
        <w:tc>
          <w:tcPr>
            <w:tcW w:w="1701" w:type="dxa"/>
            <w:shd w:val="clear" w:color="auto" w:fill="auto"/>
            <w:noWrap/>
            <w:vAlign w:val="center"/>
          </w:tcPr>
          <w:p w14:paraId="6CC6D223"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 (7.9)</w:t>
            </w:r>
          </w:p>
        </w:tc>
        <w:tc>
          <w:tcPr>
            <w:tcW w:w="1845" w:type="dxa"/>
            <w:vAlign w:val="center"/>
          </w:tcPr>
          <w:p w14:paraId="22788626"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 (12.3)</w:t>
            </w:r>
          </w:p>
        </w:tc>
        <w:tc>
          <w:tcPr>
            <w:tcW w:w="1701" w:type="dxa"/>
            <w:vAlign w:val="center"/>
          </w:tcPr>
          <w:p w14:paraId="04BF15F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 (8.8)</w:t>
            </w:r>
          </w:p>
        </w:tc>
        <w:tc>
          <w:tcPr>
            <w:tcW w:w="1842" w:type="dxa"/>
            <w:shd w:val="clear" w:color="auto" w:fill="auto"/>
            <w:vAlign w:val="center"/>
          </w:tcPr>
          <w:p w14:paraId="31BAFE2C"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12 (6.5)</w:t>
            </w:r>
          </w:p>
        </w:tc>
        <w:tc>
          <w:tcPr>
            <w:tcW w:w="851" w:type="dxa"/>
            <w:shd w:val="clear" w:color="auto" w:fill="auto"/>
            <w:vAlign w:val="center"/>
          </w:tcPr>
          <w:p w14:paraId="6DB5BC77" w14:textId="77777777" w:rsidR="00736C9F" w:rsidRPr="001F40A6" w:rsidRDefault="00736C9F" w:rsidP="006A5CB3">
            <w:pPr>
              <w:ind w:right="283"/>
              <w:jc w:val="center"/>
              <w:rPr>
                <w:color w:val="000000"/>
                <w:sz w:val="18"/>
                <w:szCs w:val="18"/>
                <w:lang w:val="en-US"/>
              </w:rPr>
            </w:pPr>
          </w:p>
        </w:tc>
      </w:tr>
      <w:tr w:rsidR="00736C9F" w:rsidRPr="001F40A6" w14:paraId="0BB69E94" w14:textId="77777777" w:rsidTr="006A5CB3">
        <w:trPr>
          <w:trHeight w:val="288"/>
        </w:trPr>
        <w:tc>
          <w:tcPr>
            <w:tcW w:w="2553" w:type="dxa"/>
            <w:shd w:val="clear" w:color="auto" w:fill="auto"/>
            <w:noWrap/>
            <w:vAlign w:val="bottom"/>
          </w:tcPr>
          <w:p w14:paraId="1CB34DC4" w14:textId="77777777" w:rsidR="00736C9F" w:rsidRPr="001F40A6" w:rsidRDefault="00736C9F" w:rsidP="006A5CB3">
            <w:pPr>
              <w:ind w:right="283"/>
              <w:rPr>
                <w:color w:val="000000"/>
                <w:sz w:val="18"/>
                <w:szCs w:val="18"/>
                <w:lang w:val="en-US"/>
              </w:rPr>
            </w:pPr>
            <w:r w:rsidRPr="001F40A6">
              <w:rPr>
                <w:color w:val="000000"/>
                <w:sz w:val="18"/>
                <w:szCs w:val="18"/>
                <w:lang w:val="en-US"/>
              </w:rPr>
              <w:t>Coronary artery disease</w:t>
            </w:r>
          </w:p>
        </w:tc>
        <w:tc>
          <w:tcPr>
            <w:tcW w:w="1842" w:type="dxa"/>
            <w:shd w:val="clear" w:color="auto" w:fill="auto"/>
            <w:noWrap/>
            <w:vAlign w:val="center"/>
          </w:tcPr>
          <w:p w14:paraId="25BB175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102 (21.6)</w:t>
            </w:r>
          </w:p>
        </w:tc>
        <w:tc>
          <w:tcPr>
            <w:tcW w:w="1983" w:type="dxa"/>
            <w:shd w:val="clear" w:color="auto" w:fill="auto"/>
            <w:noWrap/>
            <w:vAlign w:val="center"/>
          </w:tcPr>
          <w:p w14:paraId="157C4FB6"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64 (22.2)</w:t>
            </w:r>
          </w:p>
        </w:tc>
        <w:tc>
          <w:tcPr>
            <w:tcW w:w="1701" w:type="dxa"/>
            <w:shd w:val="clear" w:color="auto" w:fill="auto"/>
            <w:noWrap/>
            <w:vAlign w:val="center"/>
          </w:tcPr>
          <w:p w14:paraId="5D0AB56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21 (23.6)</w:t>
            </w:r>
          </w:p>
        </w:tc>
        <w:tc>
          <w:tcPr>
            <w:tcW w:w="1845" w:type="dxa"/>
            <w:vAlign w:val="center"/>
          </w:tcPr>
          <w:p w14:paraId="7EDF45A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16 (19.8)</w:t>
            </w:r>
          </w:p>
        </w:tc>
        <w:tc>
          <w:tcPr>
            <w:tcW w:w="1701" w:type="dxa"/>
            <w:vAlign w:val="center"/>
          </w:tcPr>
          <w:p w14:paraId="567F1751"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 (29.4)</w:t>
            </w:r>
          </w:p>
        </w:tc>
        <w:tc>
          <w:tcPr>
            <w:tcW w:w="1842" w:type="dxa"/>
            <w:vAlign w:val="center"/>
          </w:tcPr>
          <w:p w14:paraId="64AE5291"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38 (20.5)</w:t>
            </w:r>
          </w:p>
        </w:tc>
        <w:tc>
          <w:tcPr>
            <w:tcW w:w="851" w:type="dxa"/>
            <w:vAlign w:val="center"/>
          </w:tcPr>
          <w:p w14:paraId="0EA28435" w14:textId="77777777" w:rsidR="00736C9F" w:rsidRPr="001F40A6" w:rsidRDefault="00736C9F" w:rsidP="006A5CB3">
            <w:pPr>
              <w:ind w:right="283"/>
              <w:jc w:val="center"/>
              <w:rPr>
                <w:color w:val="000000"/>
                <w:sz w:val="18"/>
                <w:szCs w:val="18"/>
                <w:lang w:val="en-US"/>
              </w:rPr>
            </w:pPr>
          </w:p>
        </w:tc>
      </w:tr>
      <w:tr w:rsidR="00736C9F" w:rsidRPr="001F40A6" w14:paraId="784BFD38" w14:textId="77777777" w:rsidTr="006A5CB3">
        <w:trPr>
          <w:trHeight w:val="288"/>
        </w:trPr>
        <w:tc>
          <w:tcPr>
            <w:tcW w:w="2553" w:type="dxa"/>
            <w:shd w:val="clear" w:color="auto" w:fill="auto"/>
            <w:noWrap/>
            <w:vAlign w:val="bottom"/>
            <w:hideMark/>
          </w:tcPr>
          <w:p w14:paraId="77EE4584" w14:textId="77777777" w:rsidR="00736C9F" w:rsidRPr="001F40A6" w:rsidRDefault="00736C9F" w:rsidP="006A5CB3">
            <w:pPr>
              <w:ind w:right="283"/>
              <w:rPr>
                <w:color w:val="000000"/>
                <w:sz w:val="18"/>
                <w:szCs w:val="18"/>
                <w:lang w:val="en-US"/>
              </w:rPr>
            </w:pPr>
            <w:r w:rsidRPr="001F40A6">
              <w:rPr>
                <w:color w:val="000000"/>
                <w:sz w:val="18"/>
                <w:szCs w:val="18"/>
                <w:lang w:val="en-US"/>
              </w:rPr>
              <w:t>Treated arterial hypertension</w:t>
            </w:r>
          </w:p>
        </w:tc>
        <w:tc>
          <w:tcPr>
            <w:tcW w:w="1842" w:type="dxa"/>
            <w:shd w:val="clear" w:color="auto" w:fill="auto"/>
            <w:noWrap/>
            <w:vAlign w:val="center"/>
          </w:tcPr>
          <w:p w14:paraId="0AEDCA2C"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270 (57.1)</w:t>
            </w:r>
          </w:p>
        </w:tc>
        <w:tc>
          <w:tcPr>
            <w:tcW w:w="1983" w:type="dxa"/>
            <w:shd w:val="clear" w:color="auto" w:fill="auto"/>
            <w:noWrap/>
            <w:vAlign w:val="center"/>
          </w:tcPr>
          <w:p w14:paraId="5F71BF24"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162 (56.2)</w:t>
            </w:r>
          </w:p>
        </w:tc>
        <w:tc>
          <w:tcPr>
            <w:tcW w:w="1701" w:type="dxa"/>
            <w:shd w:val="clear" w:color="auto" w:fill="auto"/>
            <w:noWrap/>
            <w:vAlign w:val="center"/>
          </w:tcPr>
          <w:p w14:paraId="29BEBB05"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53 (59.6)</w:t>
            </w:r>
          </w:p>
        </w:tc>
        <w:tc>
          <w:tcPr>
            <w:tcW w:w="1845" w:type="dxa"/>
            <w:vAlign w:val="center"/>
          </w:tcPr>
          <w:p w14:paraId="15197AB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46 (56.8)</w:t>
            </w:r>
          </w:p>
        </w:tc>
        <w:tc>
          <w:tcPr>
            <w:tcW w:w="1701" w:type="dxa"/>
            <w:vAlign w:val="center"/>
          </w:tcPr>
          <w:p w14:paraId="0D85BEC3"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23 (67.6)</w:t>
            </w:r>
          </w:p>
        </w:tc>
        <w:tc>
          <w:tcPr>
            <w:tcW w:w="1842" w:type="dxa"/>
            <w:vAlign w:val="center"/>
          </w:tcPr>
          <w:p w14:paraId="5EF3F11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108 (58.4)</w:t>
            </w:r>
          </w:p>
        </w:tc>
        <w:tc>
          <w:tcPr>
            <w:tcW w:w="851" w:type="dxa"/>
            <w:vAlign w:val="center"/>
          </w:tcPr>
          <w:p w14:paraId="4F75E12B" w14:textId="77777777" w:rsidR="00736C9F" w:rsidRPr="001F40A6" w:rsidRDefault="00736C9F" w:rsidP="006A5CB3">
            <w:pPr>
              <w:ind w:right="283"/>
              <w:jc w:val="center"/>
              <w:rPr>
                <w:color w:val="000000"/>
                <w:sz w:val="18"/>
                <w:szCs w:val="18"/>
                <w:lang w:val="en-US"/>
              </w:rPr>
            </w:pPr>
          </w:p>
        </w:tc>
      </w:tr>
      <w:tr w:rsidR="00736C9F" w:rsidRPr="001F40A6" w14:paraId="19D93CCC" w14:textId="77777777" w:rsidTr="006A5CB3">
        <w:trPr>
          <w:trHeight w:val="288"/>
        </w:trPr>
        <w:tc>
          <w:tcPr>
            <w:tcW w:w="2553" w:type="dxa"/>
            <w:shd w:val="clear" w:color="auto" w:fill="auto"/>
            <w:noWrap/>
            <w:vAlign w:val="bottom"/>
            <w:hideMark/>
          </w:tcPr>
          <w:p w14:paraId="163E3BF1" w14:textId="77777777" w:rsidR="00736C9F" w:rsidRPr="001F40A6" w:rsidRDefault="00736C9F" w:rsidP="006A5CB3">
            <w:pPr>
              <w:ind w:right="283"/>
              <w:rPr>
                <w:color w:val="000000"/>
                <w:sz w:val="18"/>
                <w:szCs w:val="18"/>
                <w:lang w:val="en-US"/>
              </w:rPr>
            </w:pPr>
            <w:r w:rsidRPr="001F40A6">
              <w:rPr>
                <w:color w:val="000000"/>
                <w:sz w:val="18"/>
                <w:szCs w:val="18"/>
                <w:lang w:val="en-US"/>
              </w:rPr>
              <w:t>Rhythmic cardiopathy</w:t>
            </w:r>
          </w:p>
        </w:tc>
        <w:tc>
          <w:tcPr>
            <w:tcW w:w="1842" w:type="dxa"/>
            <w:shd w:val="clear" w:color="auto" w:fill="auto"/>
            <w:noWrap/>
            <w:vAlign w:val="center"/>
          </w:tcPr>
          <w:p w14:paraId="6C8E43EC"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103 (21.8)</w:t>
            </w:r>
          </w:p>
        </w:tc>
        <w:tc>
          <w:tcPr>
            <w:tcW w:w="1983" w:type="dxa"/>
            <w:shd w:val="clear" w:color="auto" w:fill="auto"/>
            <w:noWrap/>
            <w:vAlign w:val="center"/>
          </w:tcPr>
          <w:p w14:paraId="28D0977E"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57 (19.8)</w:t>
            </w:r>
          </w:p>
        </w:tc>
        <w:tc>
          <w:tcPr>
            <w:tcW w:w="1701" w:type="dxa"/>
            <w:shd w:val="clear" w:color="auto" w:fill="auto"/>
            <w:noWrap/>
            <w:vAlign w:val="center"/>
          </w:tcPr>
          <w:p w14:paraId="65507FD5"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22 (24.7)</w:t>
            </w:r>
          </w:p>
        </w:tc>
        <w:tc>
          <w:tcPr>
            <w:tcW w:w="1845" w:type="dxa"/>
            <w:vAlign w:val="center"/>
          </w:tcPr>
          <w:p w14:paraId="5C44FE05"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19 (23.5)</w:t>
            </w:r>
          </w:p>
        </w:tc>
        <w:tc>
          <w:tcPr>
            <w:tcW w:w="1701" w:type="dxa"/>
            <w:vAlign w:val="center"/>
          </w:tcPr>
          <w:p w14:paraId="5DD1F861"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5 (14.7)</w:t>
            </w:r>
          </w:p>
        </w:tc>
        <w:tc>
          <w:tcPr>
            <w:tcW w:w="1842" w:type="dxa"/>
            <w:vAlign w:val="center"/>
          </w:tcPr>
          <w:p w14:paraId="5B329706"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46 (24.9)</w:t>
            </w:r>
          </w:p>
        </w:tc>
        <w:tc>
          <w:tcPr>
            <w:tcW w:w="851" w:type="dxa"/>
            <w:vAlign w:val="center"/>
          </w:tcPr>
          <w:p w14:paraId="3ED8AFB3" w14:textId="77777777" w:rsidR="00736C9F" w:rsidRPr="001F40A6" w:rsidRDefault="00736C9F" w:rsidP="006A5CB3">
            <w:pPr>
              <w:ind w:right="283"/>
              <w:jc w:val="center"/>
              <w:rPr>
                <w:color w:val="000000"/>
                <w:sz w:val="18"/>
                <w:szCs w:val="18"/>
                <w:lang w:val="en-US"/>
              </w:rPr>
            </w:pPr>
          </w:p>
        </w:tc>
      </w:tr>
      <w:tr w:rsidR="00736C9F" w:rsidRPr="001F40A6" w14:paraId="1FF494BC" w14:textId="77777777" w:rsidTr="006A5CB3">
        <w:trPr>
          <w:trHeight w:val="288"/>
        </w:trPr>
        <w:tc>
          <w:tcPr>
            <w:tcW w:w="2553" w:type="dxa"/>
            <w:shd w:val="clear" w:color="auto" w:fill="auto"/>
            <w:noWrap/>
            <w:vAlign w:val="bottom"/>
            <w:hideMark/>
          </w:tcPr>
          <w:p w14:paraId="3DFE1EA0" w14:textId="77777777" w:rsidR="00736C9F" w:rsidRPr="001F40A6" w:rsidRDefault="00736C9F" w:rsidP="006A5CB3">
            <w:pPr>
              <w:ind w:right="283"/>
              <w:rPr>
                <w:color w:val="000000"/>
                <w:sz w:val="18"/>
                <w:szCs w:val="18"/>
                <w:lang w:val="en-US"/>
              </w:rPr>
            </w:pPr>
            <w:r w:rsidRPr="001F40A6">
              <w:rPr>
                <w:color w:val="000000"/>
                <w:sz w:val="18"/>
                <w:szCs w:val="18"/>
                <w:lang w:val="en-US"/>
              </w:rPr>
              <w:t>Chronic heart failure</w:t>
            </w:r>
          </w:p>
        </w:tc>
        <w:tc>
          <w:tcPr>
            <w:tcW w:w="1842" w:type="dxa"/>
            <w:shd w:val="clear" w:color="auto" w:fill="auto"/>
            <w:noWrap/>
            <w:vAlign w:val="center"/>
          </w:tcPr>
          <w:p w14:paraId="58E9A2A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73 (15.5)</w:t>
            </w:r>
          </w:p>
        </w:tc>
        <w:tc>
          <w:tcPr>
            <w:tcW w:w="1983" w:type="dxa"/>
            <w:shd w:val="clear" w:color="auto" w:fill="auto"/>
            <w:noWrap/>
            <w:vAlign w:val="center"/>
          </w:tcPr>
          <w:p w14:paraId="161212A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43 (15.1)</w:t>
            </w:r>
          </w:p>
        </w:tc>
        <w:tc>
          <w:tcPr>
            <w:tcW w:w="1701" w:type="dxa"/>
            <w:shd w:val="clear" w:color="auto" w:fill="auto"/>
            <w:noWrap/>
            <w:vAlign w:val="center"/>
          </w:tcPr>
          <w:p w14:paraId="4E6146D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11 (12.5)</w:t>
            </w:r>
          </w:p>
        </w:tc>
        <w:tc>
          <w:tcPr>
            <w:tcW w:w="1845" w:type="dxa"/>
            <w:vAlign w:val="center"/>
          </w:tcPr>
          <w:p w14:paraId="04E6665E"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13 (16.0)</w:t>
            </w:r>
          </w:p>
        </w:tc>
        <w:tc>
          <w:tcPr>
            <w:tcW w:w="1701" w:type="dxa"/>
            <w:vAlign w:val="center"/>
          </w:tcPr>
          <w:p w14:paraId="15F1DE98"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5 (14.7)</w:t>
            </w:r>
          </w:p>
        </w:tc>
        <w:tc>
          <w:tcPr>
            <w:tcW w:w="1842" w:type="dxa"/>
            <w:vAlign w:val="center"/>
          </w:tcPr>
          <w:p w14:paraId="7AF53AC4"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30 (16.2)</w:t>
            </w:r>
          </w:p>
        </w:tc>
        <w:tc>
          <w:tcPr>
            <w:tcW w:w="851" w:type="dxa"/>
            <w:vAlign w:val="center"/>
          </w:tcPr>
          <w:p w14:paraId="2CDC7155"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w:t>
            </w:r>
          </w:p>
        </w:tc>
      </w:tr>
      <w:tr w:rsidR="00736C9F" w:rsidRPr="001F40A6" w14:paraId="50F7C670" w14:textId="77777777" w:rsidTr="006A5CB3">
        <w:trPr>
          <w:trHeight w:val="288"/>
        </w:trPr>
        <w:tc>
          <w:tcPr>
            <w:tcW w:w="2553" w:type="dxa"/>
            <w:shd w:val="clear" w:color="auto" w:fill="F2F2F2" w:themeFill="background1" w:themeFillShade="F2"/>
            <w:noWrap/>
            <w:vAlign w:val="bottom"/>
            <w:hideMark/>
          </w:tcPr>
          <w:p w14:paraId="04FAB562" w14:textId="77777777" w:rsidR="00736C9F" w:rsidRPr="001F40A6" w:rsidRDefault="00736C9F" w:rsidP="006A5CB3">
            <w:pPr>
              <w:ind w:right="283"/>
              <w:rPr>
                <w:b/>
                <w:bCs/>
                <w:color w:val="000000"/>
                <w:sz w:val="18"/>
                <w:szCs w:val="18"/>
                <w:lang w:val="en-US"/>
              </w:rPr>
            </w:pPr>
            <w:r w:rsidRPr="001F40A6">
              <w:rPr>
                <w:b/>
                <w:bCs/>
                <w:color w:val="000000"/>
                <w:sz w:val="18"/>
                <w:szCs w:val="18"/>
                <w:lang w:val="en-US"/>
              </w:rPr>
              <w:t xml:space="preserve">Variables at ICU admission </w:t>
            </w:r>
          </w:p>
        </w:tc>
        <w:tc>
          <w:tcPr>
            <w:tcW w:w="1842" w:type="dxa"/>
            <w:shd w:val="clear" w:color="auto" w:fill="F2F2F2" w:themeFill="background1" w:themeFillShade="F2"/>
            <w:noWrap/>
            <w:vAlign w:val="center"/>
          </w:tcPr>
          <w:p w14:paraId="210D3636" w14:textId="77777777" w:rsidR="00736C9F" w:rsidRPr="001F40A6" w:rsidRDefault="00736C9F" w:rsidP="006A5CB3">
            <w:pPr>
              <w:ind w:right="283"/>
              <w:jc w:val="center"/>
              <w:rPr>
                <w:b/>
                <w:bCs/>
                <w:color w:val="000000"/>
                <w:sz w:val="18"/>
                <w:szCs w:val="18"/>
                <w:lang w:val="en-US"/>
              </w:rPr>
            </w:pPr>
          </w:p>
        </w:tc>
        <w:tc>
          <w:tcPr>
            <w:tcW w:w="1983" w:type="dxa"/>
            <w:shd w:val="clear" w:color="auto" w:fill="F2F2F2" w:themeFill="background1" w:themeFillShade="F2"/>
            <w:noWrap/>
            <w:vAlign w:val="center"/>
          </w:tcPr>
          <w:p w14:paraId="12E585A5" w14:textId="77777777" w:rsidR="00736C9F" w:rsidRPr="001F40A6" w:rsidRDefault="00736C9F" w:rsidP="006A5CB3">
            <w:pPr>
              <w:ind w:right="283"/>
              <w:jc w:val="center"/>
              <w:rPr>
                <w:color w:val="000000"/>
                <w:sz w:val="18"/>
                <w:szCs w:val="18"/>
                <w:lang w:val="en-US"/>
              </w:rPr>
            </w:pPr>
          </w:p>
        </w:tc>
        <w:tc>
          <w:tcPr>
            <w:tcW w:w="1701" w:type="dxa"/>
            <w:shd w:val="clear" w:color="auto" w:fill="F2F2F2" w:themeFill="background1" w:themeFillShade="F2"/>
            <w:noWrap/>
            <w:vAlign w:val="center"/>
          </w:tcPr>
          <w:p w14:paraId="0A44BE1F" w14:textId="77777777" w:rsidR="00736C9F" w:rsidRPr="001F40A6" w:rsidRDefault="00736C9F" w:rsidP="006A5CB3">
            <w:pPr>
              <w:ind w:right="283"/>
              <w:jc w:val="center"/>
              <w:rPr>
                <w:color w:val="000000"/>
                <w:sz w:val="18"/>
                <w:szCs w:val="18"/>
                <w:lang w:val="en-US"/>
              </w:rPr>
            </w:pPr>
          </w:p>
        </w:tc>
        <w:tc>
          <w:tcPr>
            <w:tcW w:w="1845" w:type="dxa"/>
            <w:shd w:val="clear" w:color="auto" w:fill="F2F2F2" w:themeFill="background1" w:themeFillShade="F2"/>
            <w:vAlign w:val="center"/>
          </w:tcPr>
          <w:p w14:paraId="0A3E6110" w14:textId="77777777" w:rsidR="00736C9F" w:rsidRPr="001F40A6" w:rsidRDefault="00736C9F" w:rsidP="006A5CB3">
            <w:pPr>
              <w:ind w:right="283"/>
              <w:jc w:val="center"/>
              <w:rPr>
                <w:color w:val="000000"/>
                <w:sz w:val="18"/>
                <w:szCs w:val="18"/>
                <w:lang w:val="en-US"/>
              </w:rPr>
            </w:pPr>
          </w:p>
        </w:tc>
        <w:tc>
          <w:tcPr>
            <w:tcW w:w="1701" w:type="dxa"/>
            <w:shd w:val="clear" w:color="auto" w:fill="F2F2F2" w:themeFill="background1" w:themeFillShade="F2"/>
            <w:vAlign w:val="center"/>
          </w:tcPr>
          <w:p w14:paraId="161E6653" w14:textId="77777777" w:rsidR="00736C9F" w:rsidRPr="001F40A6" w:rsidRDefault="00736C9F" w:rsidP="006A5CB3">
            <w:pPr>
              <w:ind w:right="283"/>
              <w:jc w:val="center"/>
              <w:rPr>
                <w:color w:val="000000"/>
                <w:sz w:val="18"/>
                <w:szCs w:val="18"/>
                <w:lang w:val="en-US"/>
              </w:rPr>
            </w:pPr>
          </w:p>
        </w:tc>
        <w:tc>
          <w:tcPr>
            <w:tcW w:w="1842" w:type="dxa"/>
            <w:shd w:val="clear" w:color="auto" w:fill="F2F2F2" w:themeFill="background1" w:themeFillShade="F2"/>
            <w:vAlign w:val="center"/>
          </w:tcPr>
          <w:p w14:paraId="27484AE1" w14:textId="77777777" w:rsidR="00736C9F" w:rsidRPr="001F40A6" w:rsidRDefault="00736C9F" w:rsidP="006A5CB3">
            <w:pPr>
              <w:ind w:right="283"/>
              <w:jc w:val="center"/>
              <w:rPr>
                <w:color w:val="000000"/>
                <w:sz w:val="18"/>
                <w:szCs w:val="18"/>
                <w:lang w:val="en-US"/>
              </w:rPr>
            </w:pPr>
          </w:p>
        </w:tc>
        <w:tc>
          <w:tcPr>
            <w:tcW w:w="851" w:type="dxa"/>
            <w:shd w:val="clear" w:color="auto" w:fill="F2F2F2" w:themeFill="background1" w:themeFillShade="F2"/>
            <w:vAlign w:val="center"/>
          </w:tcPr>
          <w:p w14:paraId="1B6D7394" w14:textId="77777777" w:rsidR="00736C9F" w:rsidRPr="001F40A6" w:rsidRDefault="00736C9F" w:rsidP="006A5CB3">
            <w:pPr>
              <w:ind w:right="283"/>
              <w:jc w:val="center"/>
              <w:rPr>
                <w:color w:val="000000"/>
                <w:sz w:val="18"/>
                <w:szCs w:val="18"/>
                <w:lang w:val="en-US"/>
              </w:rPr>
            </w:pPr>
          </w:p>
        </w:tc>
      </w:tr>
      <w:tr w:rsidR="00736C9F" w:rsidRPr="001F40A6" w14:paraId="6D1D2E8A" w14:textId="77777777" w:rsidTr="006A5CB3">
        <w:trPr>
          <w:trHeight w:val="288"/>
        </w:trPr>
        <w:tc>
          <w:tcPr>
            <w:tcW w:w="2553" w:type="dxa"/>
            <w:shd w:val="clear" w:color="auto" w:fill="auto"/>
            <w:noWrap/>
            <w:vAlign w:val="bottom"/>
          </w:tcPr>
          <w:p w14:paraId="4C849014" w14:textId="77777777" w:rsidR="00736C9F" w:rsidRPr="001F40A6" w:rsidRDefault="00736C9F" w:rsidP="006A5CB3">
            <w:pPr>
              <w:ind w:right="283"/>
              <w:rPr>
                <w:color w:val="000000"/>
                <w:sz w:val="18"/>
                <w:szCs w:val="18"/>
                <w:lang w:val="en-US"/>
              </w:rPr>
            </w:pPr>
            <w:r w:rsidRPr="001F40A6">
              <w:rPr>
                <w:color w:val="000000"/>
                <w:sz w:val="18"/>
                <w:szCs w:val="18"/>
                <w:lang w:val="en-US"/>
              </w:rPr>
              <w:t>Glasgow Coma Scale</w:t>
            </w:r>
          </w:p>
        </w:tc>
        <w:tc>
          <w:tcPr>
            <w:tcW w:w="1842" w:type="dxa"/>
            <w:shd w:val="clear" w:color="auto" w:fill="auto"/>
            <w:noWrap/>
            <w:vAlign w:val="center"/>
          </w:tcPr>
          <w:p w14:paraId="14981D7E"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15 [14-15]</w:t>
            </w:r>
          </w:p>
        </w:tc>
        <w:tc>
          <w:tcPr>
            <w:tcW w:w="1983" w:type="dxa"/>
            <w:shd w:val="clear" w:color="auto" w:fill="auto"/>
            <w:noWrap/>
            <w:vAlign w:val="center"/>
          </w:tcPr>
          <w:p w14:paraId="2AB0368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15 [13-15]</w:t>
            </w:r>
          </w:p>
        </w:tc>
        <w:tc>
          <w:tcPr>
            <w:tcW w:w="1701" w:type="dxa"/>
            <w:shd w:val="clear" w:color="auto" w:fill="auto"/>
            <w:noWrap/>
            <w:vAlign w:val="center"/>
          </w:tcPr>
          <w:p w14:paraId="4528A505"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15 [14-15]**</w:t>
            </w:r>
          </w:p>
        </w:tc>
        <w:tc>
          <w:tcPr>
            <w:tcW w:w="1845" w:type="dxa"/>
            <w:vAlign w:val="center"/>
          </w:tcPr>
          <w:p w14:paraId="434F91B3"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14 [10-15]</w:t>
            </w:r>
          </w:p>
        </w:tc>
        <w:tc>
          <w:tcPr>
            <w:tcW w:w="1701" w:type="dxa"/>
            <w:vAlign w:val="center"/>
          </w:tcPr>
          <w:p w14:paraId="5E95548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15 [13-15]</w:t>
            </w:r>
          </w:p>
        </w:tc>
        <w:tc>
          <w:tcPr>
            <w:tcW w:w="1842" w:type="dxa"/>
            <w:vAlign w:val="center"/>
          </w:tcPr>
          <w:p w14:paraId="21D95481"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15 [14-15]</w:t>
            </w:r>
          </w:p>
        </w:tc>
        <w:tc>
          <w:tcPr>
            <w:tcW w:w="851" w:type="dxa"/>
            <w:vAlign w:val="center"/>
          </w:tcPr>
          <w:p w14:paraId="298BA3F1" w14:textId="77777777" w:rsidR="00736C9F" w:rsidRPr="001F40A6" w:rsidRDefault="00736C9F" w:rsidP="006A5CB3">
            <w:pPr>
              <w:ind w:right="283"/>
              <w:jc w:val="center"/>
              <w:rPr>
                <w:color w:val="000000"/>
                <w:sz w:val="18"/>
                <w:szCs w:val="18"/>
                <w:lang w:val="en-US"/>
              </w:rPr>
            </w:pPr>
          </w:p>
        </w:tc>
      </w:tr>
      <w:tr w:rsidR="00736C9F" w:rsidRPr="001F40A6" w14:paraId="2EB97A45" w14:textId="77777777" w:rsidTr="006A5CB3">
        <w:trPr>
          <w:trHeight w:val="288"/>
        </w:trPr>
        <w:tc>
          <w:tcPr>
            <w:tcW w:w="2553" w:type="dxa"/>
            <w:shd w:val="clear" w:color="auto" w:fill="auto"/>
            <w:noWrap/>
            <w:vAlign w:val="bottom"/>
          </w:tcPr>
          <w:p w14:paraId="138F43BF" w14:textId="77777777" w:rsidR="00736C9F" w:rsidRPr="001F40A6" w:rsidRDefault="00736C9F" w:rsidP="006A5CB3">
            <w:pPr>
              <w:ind w:right="283"/>
              <w:rPr>
                <w:color w:val="000000"/>
                <w:sz w:val="18"/>
                <w:szCs w:val="18"/>
                <w:lang w:val="en-US"/>
              </w:rPr>
            </w:pPr>
            <w:r w:rsidRPr="001F40A6">
              <w:rPr>
                <w:color w:val="000000"/>
                <w:sz w:val="18"/>
                <w:szCs w:val="18"/>
                <w:lang w:val="en-US"/>
              </w:rPr>
              <w:t>Temperature (°C)</w:t>
            </w:r>
          </w:p>
        </w:tc>
        <w:tc>
          <w:tcPr>
            <w:tcW w:w="1842" w:type="dxa"/>
            <w:shd w:val="clear" w:color="auto" w:fill="auto"/>
            <w:noWrap/>
            <w:vAlign w:val="center"/>
          </w:tcPr>
          <w:p w14:paraId="7A26A12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37.1 [36.5-37.6]</w:t>
            </w:r>
          </w:p>
        </w:tc>
        <w:tc>
          <w:tcPr>
            <w:tcW w:w="1983" w:type="dxa"/>
            <w:shd w:val="clear" w:color="auto" w:fill="auto"/>
            <w:noWrap/>
            <w:vAlign w:val="center"/>
          </w:tcPr>
          <w:p w14:paraId="3701E3F6"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37.2 [36.6-37.8]*</w:t>
            </w:r>
          </w:p>
        </w:tc>
        <w:tc>
          <w:tcPr>
            <w:tcW w:w="1701" w:type="dxa"/>
            <w:shd w:val="clear" w:color="auto" w:fill="auto"/>
            <w:noWrap/>
            <w:vAlign w:val="center"/>
          </w:tcPr>
          <w:p w14:paraId="5E93193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37.4 [36.9-38.0]</w:t>
            </w:r>
          </w:p>
        </w:tc>
        <w:tc>
          <w:tcPr>
            <w:tcW w:w="1845" w:type="dxa"/>
            <w:vAlign w:val="center"/>
          </w:tcPr>
          <w:p w14:paraId="4C3B9D23"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37.2 [36.5-37.7]</w:t>
            </w:r>
          </w:p>
        </w:tc>
        <w:tc>
          <w:tcPr>
            <w:tcW w:w="1701" w:type="dxa"/>
            <w:vAlign w:val="center"/>
          </w:tcPr>
          <w:p w14:paraId="2608241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37.1 [36.5-37.9]</w:t>
            </w:r>
          </w:p>
        </w:tc>
        <w:tc>
          <w:tcPr>
            <w:tcW w:w="1842" w:type="dxa"/>
            <w:vAlign w:val="center"/>
          </w:tcPr>
          <w:p w14:paraId="215DD1D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36.8 [36.3-37.3]</w:t>
            </w:r>
          </w:p>
        </w:tc>
        <w:tc>
          <w:tcPr>
            <w:tcW w:w="851" w:type="dxa"/>
            <w:vAlign w:val="center"/>
          </w:tcPr>
          <w:p w14:paraId="2748CBA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w:t>
            </w:r>
          </w:p>
        </w:tc>
      </w:tr>
      <w:tr w:rsidR="00736C9F" w:rsidRPr="001F40A6" w14:paraId="16626DD1" w14:textId="77777777" w:rsidTr="006A5CB3">
        <w:trPr>
          <w:trHeight w:val="288"/>
        </w:trPr>
        <w:tc>
          <w:tcPr>
            <w:tcW w:w="2553" w:type="dxa"/>
            <w:shd w:val="clear" w:color="auto" w:fill="auto"/>
            <w:noWrap/>
            <w:vAlign w:val="bottom"/>
          </w:tcPr>
          <w:p w14:paraId="1C94702D" w14:textId="77777777" w:rsidR="00736C9F" w:rsidRPr="001F40A6" w:rsidRDefault="00736C9F" w:rsidP="006A5CB3">
            <w:pPr>
              <w:ind w:right="283"/>
              <w:rPr>
                <w:color w:val="000000"/>
                <w:sz w:val="18"/>
                <w:szCs w:val="18"/>
                <w:lang w:val="en-US"/>
              </w:rPr>
            </w:pPr>
            <w:r w:rsidRPr="001F40A6">
              <w:rPr>
                <w:color w:val="000000"/>
                <w:sz w:val="18"/>
                <w:szCs w:val="18"/>
                <w:lang w:val="en-US"/>
              </w:rPr>
              <w:t>Mean arterial pressure (mmHg)</w:t>
            </w:r>
          </w:p>
        </w:tc>
        <w:tc>
          <w:tcPr>
            <w:tcW w:w="1842" w:type="dxa"/>
            <w:shd w:val="clear" w:color="auto" w:fill="auto"/>
            <w:noWrap/>
            <w:vAlign w:val="center"/>
          </w:tcPr>
          <w:p w14:paraId="05A0304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84 [72-95]</w:t>
            </w:r>
          </w:p>
        </w:tc>
        <w:tc>
          <w:tcPr>
            <w:tcW w:w="1983" w:type="dxa"/>
            <w:shd w:val="clear" w:color="auto" w:fill="auto"/>
            <w:noWrap/>
            <w:vAlign w:val="center"/>
          </w:tcPr>
          <w:p w14:paraId="6D69345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83 [71-94]</w:t>
            </w:r>
          </w:p>
        </w:tc>
        <w:tc>
          <w:tcPr>
            <w:tcW w:w="1701" w:type="dxa"/>
            <w:shd w:val="clear" w:color="auto" w:fill="auto"/>
            <w:noWrap/>
            <w:vAlign w:val="center"/>
          </w:tcPr>
          <w:p w14:paraId="780AB77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86 [71-96]</w:t>
            </w:r>
          </w:p>
        </w:tc>
        <w:tc>
          <w:tcPr>
            <w:tcW w:w="1845" w:type="dxa"/>
            <w:vAlign w:val="center"/>
          </w:tcPr>
          <w:p w14:paraId="4E2C3401"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82 [70-94]</w:t>
            </w:r>
          </w:p>
        </w:tc>
        <w:tc>
          <w:tcPr>
            <w:tcW w:w="1701" w:type="dxa"/>
            <w:vAlign w:val="center"/>
          </w:tcPr>
          <w:p w14:paraId="10D3EEF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80 [70-93]</w:t>
            </w:r>
          </w:p>
        </w:tc>
        <w:tc>
          <w:tcPr>
            <w:tcW w:w="1842" w:type="dxa"/>
            <w:vAlign w:val="center"/>
          </w:tcPr>
          <w:p w14:paraId="2D845DF1"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87 [76-98]</w:t>
            </w:r>
          </w:p>
        </w:tc>
        <w:tc>
          <w:tcPr>
            <w:tcW w:w="851" w:type="dxa"/>
            <w:vAlign w:val="center"/>
          </w:tcPr>
          <w:p w14:paraId="4A14ADF5"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w:t>
            </w:r>
          </w:p>
        </w:tc>
      </w:tr>
      <w:tr w:rsidR="00736C9F" w:rsidRPr="001F40A6" w14:paraId="7DCD9856" w14:textId="77777777" w:rsidTr="006A5CB3">
        <w:trPr>
          <w:trHeight w:val="288"/>
        </w:trPr>
        <w:tc>
          <w:tcPr>
            <w:tcW w:w="2553" w:type="dxa"/>
            <w:shd w:val="clear" w:color="auto" w:fill="auto"/>
            <w:noWrap/>
            <w:vAlign w:val="bottom"/>
          </w:tcPr>
          <w:p w14:paraId="591BAE49" w14:textId="77777777" w:rsidR="00736C9F" w:rsidRPr="001F40A6" w:rsidRDefault="00736C9F" w:rsidP="006A5CB3">
            <w:pPr>
              <w:ind w:right="283"/>
              <w:rPr>
                <w:color w:val="000000"/>
                <w:sz w:val="18"/>
                <w:szCs w:val="18"/>
                <w:lang w:val="en-US"/>
              </w:rPr>
            </w:pPr>
            <w:r w:rsidRPr="001F40A6">
              <w:rPr>
                <w:color w:val="000000"/>
                <w:sz w:val="18"/>
                <w:szCs w:val="18"/>
                <w:lang w:val="en-US"/>
              </w:rPr>
              <w:t>Heart rate (/min)</w:t>
            </w:r>
          </w:p>
        </w:tc>
        <w:tc>
          <w:tcPr>
            <w:tcW w:w="1842" w:type="dxa"/>
            <w:shd w:val="clear" w:color="auto" w:fill="auto"/>
            <w:noWrap/>
            <w:vAlign w:val="center"/>
          </w:tcPr>
          <w:p w14:paraId="15FA0BA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100 [87-115]</w:t>
            </w:r>
          </w:p>
        </w:tc>
        <w:tc>
          <w:tcPr>
            <w:tcW w:w="1983" w:type="dxa"/>
            <w:shd w:val="clear" w:color="auto" w:fill="auto"/>
            <w:noWrap/>
            <w:vAlign w:val="center"/>
          </w:tcPr>
          <w:p w14:paraId="349EA791"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100 [88-116]</w:t>
            </w:r>
          </w:p>
        </w:tc>
        <w:tc>
          <w:tcPr>
            <w:tcW w:w="1701" w:type="dxa"/>
            <w:shd w:val="clear" w:color="auto" w:fill="auto"/>
            <w:noWrap/>
            <w:vAlign w:val="center"/>
          </w:tcPr>
          <w:p w14:paraId="458F369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105 [89-123]</w:t>
            </w:r>
          </w:p>
        </w:tc>
        <w:tc>
          <w:tcPr>
            <w:tcW w:w="1845" w:type="dxa"/>
            <w:vAlign w:val="center"/>
          </w:tcPr>
          <w:p w14:paraId="222E6C04"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100 [88-118]</w:t>
            </w:r>
          </w:p>
        </w:tc>
        <w:tc>
          <w:tcPr>
            <w:tcW w:w="1701" w:type="dxa"/>
            <w:vAlign w:val="center"/>
          </w:tcPr>
          <w:p w14:paraId="69F2A686"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103 [94-114]</w:t>
            </w:r>
          </w:p>
        </w:tc>
        <w:tc>
          <w:tcPr>
            <w:tcW w:w="1842" w:type="dxa"/>
            <w:vAlign w:val="center"/>
          </w:tcPr>
          <w:p w14:paraId="1CEB510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100 [85-112]</w:t>
            </w:r>
          </w:p>
        </w:tc>
        <w:tc>
          <w:tcPr>
            <w:tcW w:w="851" w:type="dxa"/>
            <w:vAlign w:val="center"/>
          </w:tcPr>
          <w:p w14:paraId="0A91288E"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w:t>
            </w:r>
          </w:p>
        </w:tc>
      </w:tr>
      <w:tr w:rsidR="00736C9F" w:rsidRPr="001F40A6" w14:paraId="7CEF0459" w14:textId="77777777" w:rsidTr="006A5CB3">
        <w:trPr>
          <w:trHeight w:val="288"/>
        </w:trPr>
        <w:tc>
          <w:tcPr>
            <w:tcW w:w="2553" w:type="dxa"/>
            <w:shd w:val="clear" w:color="auto" w:fill="auto"/>
            <w:noWrap/>
            <w:vAlign w:val="bottom"/>
          </w:tcPr>
          <w:p w14:paraId="535A29C1" w14:textId="77777777" w:rsidR="00736C9F" w:rsidRPr="001F40A6" w:rsidRDefault="00736C9F" w:rsidP="006A5CB3">
            <w:pPr>
              <w:ind w:right="283"/>
              <w:rPr>
                <w:color w:val="000000"/>
                <w:sz w:val="18"/>
                <w:szCs w:val="18"/>
                <w:lang w:val="en-US"/>
              </w:rPr>
            </w:pPr>
            <w:r w:rsidRPr="001F40A6">
              <w:rPr>
                <w:color w:val="000000"/>
                <w:sz w:val="18"/>
                <w:szCs w:val="18"/>
                <w:lang w:val="en-US"/>
              </w:rPr>
              <w:lastRenderedPageBreak/>
              <w:t>Respiratory rate (cycle/min)</w:t>
            </w:r>
          </w:p>
        </w:tc>
        <w:tc>
          <w:tcPr>
            <w:tcW w:w="1842" w:type="dxa"/>
            <w:shd w:val="clear" w:color="auto" w:fill="auto"/>
            <w:noWrap/>
            <w:vAlign w:val="center"/>
          </w:tcPr>
          <w:p w14:paraId="4500BD8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25 [21-29]</w:t>
            </w:r>
          </w:p>
        </w:tc>
        <w:tc>
          <w:tcPr>
            <w:tcW w:w="1983" w:type="dxa"/>
            <w:shd w:val="clear" w:color="auto" w:fill="auto"/>
            <w:noWrap/>
            <w:vAlign w:val="center"/>
          </w:tcPr>
          <w:p w14:paraId="4874043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25 [21-30]</w:t>
            </w:r>
          </w:p>
        </w:tc>
        <w:tc>
          <w:tcPr>
            <w:tcW w:w="1701" w:type="dxa"/>
            <w:shd w:val="clear" w:color="auto" w:fill="auto"/>
            <w:noWrap/>
            <w:vAlign w:val="center"/>
          </w:tcPr>
          <w:p w14:paraId="25D37F5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25 [21-30]</w:t>
            </w:r>
          </w:p>
        </w:tc>
        <w:tc>
          <w:tcPr>
            <w:tcW w:w="1845" w:type="dxa"/>
            <w:vAlign w:val="center"/>
          </w:tcPr>
          <w:p w14:paraId="3DC8E4A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25 [20-28]</w:t>
            </w:r>
          </w:p>
        </w:tc>
        <w:tc>
          <w:tcPr>
            <w:tcW w:w="1701" w:type="dxa"/>
            <w:vAlign w:val="center"/>
          </w:tcPr>
          <w:p w14:paraId="5EF8AF6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24 [21-31]</w:t>
            </w:r>
          </w:p>
        </w:tc>
        <w:tc>
          <w:tcPr>
            <w:tcW w:w="1842" w:type="dxa"/>
            <w:vAlign w:val="center"/>
          </w:tcPr>
          <w:p w14:paraId="056E39B2"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24 [20-28]</w:t>
            </w:r>
          </w:p>
        </w:tc>
        <w:tc>
          <w:tcPr>
            <w:tcW w:w="851" w:type="dxa"/>
            <w:vAlign w:val="center"/>
          </w:tcPr>
          <w:p w14:paraId="70A8206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4</w:t>
            </w:r>
          </w:p>
        </w:tc>
      </w:tr>
      <w:tr w:rsidR="00736C9F" w:rsidRPr="001F40A6" w14:paraId="16D270B2" w14:textId="77777777" w:rsidTr="006A5CB3">
        <w:trPr>
          <w:trHeight w:val="288"/>
        </w:trPr>
        <w:tc>
          <w:tcPr>
            <w:tcW w:w="2553" w:type="dxa"/>
            <w:shd w:val="clear" w:color="auto" w:fill="auto"/>
            <w:noWrap/>
            <w:vAlign w:val="bottom"/>
          </w:tcPr>
          <w:p w14:paraId="7886C5BC" w14:textId="77777777" w:rsidR="00736C9F" w:rsidRPr="001F40A6" w:rsidRDefault="00736C9F" w:rsidP="006A5CB3">
            <w:pPr>
              <w:ind w:right="283"/>
              <w:rPr>
                <w:b/>
                <w:bCs/>
                <w:color w:val="000000"/>
                <w:sz w:val="18"/>
                <w:szCs w:val="18"/>
                <w:lang w:val="en-US"/>
              </w:rPr>
            </w:pPr>
            <w:r w:rsidRPr="001F40A6">
              <w:rPr>
                <w:color w:val="000000"/>
                <w:sz w:val="18"/>
                <w:szCs w:val="18"/>
                <w:lang w:val="en-US"/>
              </w:rPr>
              <w:t>pH</w:t>
            </w:r>
          </w:p>
        </w:tc>
        <w:tc>
          <w:tcPr>
            <w:tcW w:w="1842" w:type="dxa"/>
            <w:shd w:val="clear" w:color="auto" w:fill="auto"/>
            <w:noWrap/>
            <w:vAlign w:val="center"/>
          </w:tcPr>
          <w:p w14:paraId="655CC3C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7.31 [7.24-7.36]</w:t>
            </w:r>
          </w:p>
        </w:tc>
        <w:tc>
          <w:tcPr>
            <w:tcW w:w="1983" w:type="dxa"/>
            <w:shd w:val="clear" w:color="auto" w:fill="auto"/>
            <w:noWrap/>
            <w:vAlign w:val="center"/>
          </w:tcPr>
          <w:p w14:paraId="32D01E62"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7.31 [7.24-7.36]</w:t>
            </w:r>
          </w:p>
        </w:tc>
        <w:tc>
          <w:tcPr>
            <w:tcW w:w="1701" w:type="dxa"/>
            <w:shd w:val="clear" w:color="auto" w:fill="auto"/>
            <w:noWrap/>
            <w:vAlign w:val="center"/>
          </w:tcPr>
          <w:p w14:paraId="752A750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7.31 [7.27-7.36]</w:t>
            </w:r>
          </w:p>
        </w:tc>
        <w:tc>
          <w:tcPr>
            <w:tcW w:w="1845" w:type="dxa"/>
            <w:vAlign w:val="center"/>
          </w:tcPr>
          <w:p w14:paraId="78D9AA05"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7.31 [7.21-7.37]</w:t>
            </w:r>
          </w:p>
        </w:tc>
        <w:tc>
          <w:tcPr>
            <w:tcW w:w="1701" w:type="dxa"/>
            <w:vAlign w:val="center"/>
          </w:tcPr>
          <w:p w14:paraId="515C7F78"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7.31 [7.22-7.36]</w:t>
            </w:r>
          </w:p>
        </w:tc>
        <w:tc>
          <w:tcPr>
            <w:tcW w:w="1842" w:type="dxa"/>
            <w:vAlign w:val="center"/>
          </w:tcPr>
          <w:p w14:paraId="64930FF5"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7.31 [7.25-7.36]</w:t>
            </w:r>
          </w:p>
        </w:tc>
        <w:tc>
          <w:tcPr>
            <w:tcW w:w="851" w:type="dxa"/>
            <w:vAlign w:val="center"/>
          </w:tcPr>
          <w:p w14:paraId="78D82362"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w:t>
            </w:r>
          </w:p>
        </w:tc>
      </w:tr>
      <w:tr w:rsidR="00736C9F" w:rsidRPr="001F40A6" w14:paraId="38F12BD1" w14:textId="77777777" w:rsidTr="006A5CB3">
        <w:trPr>
          <w:trHeight w:val="288"/>
        </w:trPr>
        <w:tc>
          <w:tcPr>
            <w:tcW w:w="2553" w:type="dxa"/>
            <w:shd w:val="clear" w:color="auto" w:fill="auto"/>
            <w:noWrap/>
            <w:vAlign w:val="bottom"/>
          </w:tcPr>
          <w:p w14:paraId="223A2D84" w14:textId="77777777" w:rsidR="00736C9F" w:rsidRPr="001F40A6" w:rsidRDefault="00736C9F" w:rsidP="006A5CB3">
            <w:pPr>
              <w:ind w:right="283"/>
              <w:rPr>
                <w:b/>
                <w:bCs/>
                <w:color w:val="000000"/>
                <w:sz w:val="18"/>
                <w:szCs w:val="18"/>
                <w:lang w:val="en-US"/>
              </w:rPr>
            </w:pPr>
            <w:r w:rsidRPr="001F40A6">
              <w:rPr>
                <w:color w:val="000000"/>
                <w:sz w:val="18"/>
                <w:szCs w:val="18"/>
                <w:lang w:val="en-US"/>
              </w:rPr>
              <w:t>PaO</w:t>
            </w:r>
            <w:r w:rsidRPr="001F40A6">
              <w:rPr>
                <w:color w:val="000000"/>
                <w:sz w:val="18"/>
                <w:szCs w:val="18"/>
                <w:vertAlign w:val="subscript"/>
                <w:lang w:val="en-US"/>
              </w:rPr>
              <w:t>2</w:t>
            </w:r>
            <w:r w:rsidRPr="001F40A6">
              <w:rPr>
                <w:color w:val="000000"/>
                <w:sz w:val="18"/>
                <w:szCs w:val="18"/>
                <w:lang w:val="en-US"/>
              </w:rPr>
              <w:t xml:space="preserve"> (mmHg) /FiO</w:t>
            </w:r>
            <w:r w:rsidRPr="001F40A6">
              <w:rPr>
                <w:color w:val="000000"/>
                <w:sz w:val="18"/>
                <w:szCs w:val="18"/>
                <w:vertAlign w:val="subscript"/>
                <w:lang w:val="en-US"/>
              </w:rPr>
              <w:t>2</w:t>
            </w:r>
          </w:p>
        </w:tc>
        <w:tc>
          <w:tcPr>
            <w:tcW w:w="1842" w:type="dxa"/>
            <w:shd w:val="clear" w:color="auto" w:fill="auto"/>
            <w:noWrap/>
            <w:vAlign w:val="center"/>
          </w:tcPr>
          <w:p w14:paraId="2CF0D40E"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254 [193-312]</w:t>
            </w:r>
          </w:p>
        </w:tc>
        <w:tc>
          <w:tcPr>
            <w:tcW w:w="1983" w:type="dxa"/>
            <w:shd w:val="clear" w:color="auto" w:fill="auto"/>
            <w:noWrap/>
            <w:vAlign w:val="center"/>
          </w:tcPr>
          <w:p w14:paraId="2E03F248"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249 [183-299]</w:t>
            </w:r>
          </w:p>
        </w:tc>
        <w:tc>
          <w:tcPr>
            <w:tcW w:w="1701" w:type="dxa"/>
            <w:shd w:val="clear" w:color="auto" w:fill="auto"/>
            <w:noWrap/>
            <w:vAlign w:val="center"/>
          </w:tcPr>
          <w:p w14:paraId="68727BC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259 [211-300]</w:t>
            </w:r>
          </w:p>
        </w:tc>
        <w:tc>
          <w:tcPr>
            <w:tcW w:w="1845" w:type="dxa"/>
            <w:shd w:val="clear" w:color="auto" w:fill="auto"/>
            <w:vAlign w:val="center"/>
          </w:tcPr>
          <w:p w14:paraId="0B03C0B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241 [174-292]</w:t>
            </w:r>
          </w:p>
        </w:tc>
        <w:tc>
          <w:tcPr>
            <w:tcW w:w="1701" w:type="dxa"/>
            <w:shd w:val="clear" w:color="auto" w:fill="auto"/>
            <w:vAlign w:val="center"/>
          </w:tcPr>
          <w:p w14:paraId="2A05C9A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226 [168-258]</w:t>
            </w:r>
          </w:p>
        </w:tc>
        <w:tc>
          <w:tcPr>
            <w:tcW w:w="1842" w:type="dxa"/>
            <w:shd w:val="clear" w:color="auto" w:fill="auto"/>
            <w:vAlign w:val="center"/>
          </w:tcPr>
          <w:p w14:paraId="3B16184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270 [209-333]</w:t>
            </w:r>
          </w:p>
        </w:tc>
        <w:tc>
          <w:tcPr>
            <w:tcW w:w="851" w:type="dxa"/>
            <w:shd w:val="clear" w:color="auto" w:fill="auto"/>
            <w:vAlign w:val="center"/>
          </w:tcPr>
          <w:p w14:paraId="59AF663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4</w:t>
            </w:r>
          </w:p>
        </w:tc>
      </w:tr>
      <w:tr w:rsidR="00736C9F" w:rsidRPr="001F40A6" w14:paraId="1E886253" w14:textId="77777777" w:rsidTr="006A5CB3">
        <w:trPr>
          <w:trHeight w:val="288"/>
        </w:trPr>
        <w:tc>
          <w:tcPr>
            <w:tcW w:w="2553" w:type="dxa"/>
            <w:shd w:val="clear" w:color="auto" w:fill="auto"/>
            <w:noWrap/>
            <w:vAlign w:val="bottom"/>
          </w:tcPr>
          <w:p w14:paraId="172AB09E" w14:textId="77777777" w:rsidR="00736C9F" w:rsidRPr="001F40A6" w:rsidRDefault="00736C9F" w:rsidP="006A5CB3">
            <w:pPr>
              <w:ind w:right="283"/>
              <w:rPr>
                <w:b/>
                <w:bCs/>
                <w:color w:val="000000"/>
                <w:sz w:val="18"/>
                <w:szCs w:val="18"/>
                <w:lang w:val="en-US"/>
              </w:rPr>
            </w:pPr>
            <w:r w:rsidRPr="001F40A6">
              <w:rPr>
                <w:color w:val="000000"/>
                <w:sz w:val="18"/>
                <w:szCs w:val="18"/>
                <w:lang w:val="en-US"/>
              </w:rPr>
              <w:t>PaCO</w:t>
            </w:r>
            <w:r w:rsidRPr="001F40A6">
              <w:rPr>
                <w:color w:val="000000"/>
                <w:sz w:val="18"/>
                <w:szCs w:val="18"/>
                <w:vertAlign w:val="subscript"/>
                <w:lang w:val="en-US"/>
              </w:rPr>
              <w:t>2</w:t>
            </w:r>
            <w:r w:rsidRPr="001F40A6">
              <w:rPr>
                <w:color w:val="000000"/>
                <w:sz w:val="18"/>
                <w:szCs w:val="18"/>
                <w:lang w:val="en-US"/>
              </w:rPr>
              <w:t xml:space="preserve"> (mmHg)</w:t>
            </w:r>
          </w:p>
        </w:tc>
        <w:tc>
          <w:tcPr>
            <w:tcW w:w="1842" w:type="dxa"/>
            <w:shd w:val="clear" w:color="auto" w:fill="auto"/>
            <w:noWrap/>
            <w:vAlign w:val="center"/>
          </w:tcPr>
          <w:p w14:paraId="5BC66002"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60 [49-74]</w:t>
            </w:r>
          </w:p>
        </w:tc>
        <w:tc>
          <w:tcPr>
            <w:tcW w:w="1983" w:type="dxa"/>
            <w:shd w:val="clear" w:color="auto" w:fill="auto"/>
            <w:noWrap/>
            <w:vAlign w:val="center"/>
          </w:tcPr>
          <w:p w14:paraId="645E18EC"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59 [48-74]</w:t>
            </w:r>
          </w:p>
        </w:tc>
        <w:tc>
          <w:tcPr>
            <w:tcW w:w="1701" w:type="dxa"/>
            <w:shd w:val="clear" w:color="auto" w:fill="auto"/>
            <w:noWrap/>
            <w:vAlign w:val="center"/>
          </w:tcPr>
          <w:p w14:paraId="08EEFAA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57 [49-68]</w:t>
            </w:r>
          </w:p>
        </w:tc>
        <w:tc>
          <w:tcPr>
            <w:tcW w:w="1845" w:type="dxa"/>
            <w:vAlign w:val="center"/>
          </w:tcPr>
          <w:p w14:paraId="531318E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63 [50-74]</w:t>
            </w:r>
          </w:p>
        </w:tc>
        <w:tc>
          <w:tcPr>
            <w:tcW w:w="1701" w:type="dxa"/>
            <w:vAlign w:val="center"/>
          </w:tcPr>
          <w:p w14:paraId="1EB0661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56 [43-75]</w:t>
            </w:r>
          </w:p>
        </w:tc>
        <w:tc>
          <w:tcPr>
            <w:tcW w:w="1842" w:type="dxa"/>
            <w:vAlign w:val="center"/>
          </w:tcPr>
          <w:p w14:paraId="704A1F7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61 [50-75]</w:t>
            </w:r>
          </w:p>
        </w:tc>
        <w:tc>
          <w:tcPr>
            <w:tcW w:w="851" w:type="dxa"/>
            <w:vAlign w:val="center"/>
          </w:tcPr>
          <w:p w14:paraId="66A68D52"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w:t>
            </w:r>
          </w:p>
        </w:tc>
      </w:tr>
      <w:tr w:rsidR="00736C9F" w:rsidRPr="001F40A6" w14:paraId="4319DE7B" w14:textId="77777777" w:rsidTr="006A5CB3">
        <w:trPr>
          <w:trHeight w:val="288"/>
        </w:trPr>
        <w:tc>
          <w:tcPr>
            <w:tcW w:w="2553" w:type="dxa"/>
            <w:shd w:val="clear" w:color="auto" w:fill="auto"/>
            <w:noWrap/>
            <w:vAlign w:val="bottom"/>
          </w:tcPr>
          <w:p w14:paraId="7130D454" w14:textId="77777777" w:rsidR="00736C9F" w:rsidRPr="001F40A6" w:rsidRDefault="00736C9F" w:rsidP="006A5CB3">
            <w:pPr>
              <w:ind w:right="283"/>
              <w:rPr>
                <w:b/>
                <w:bCs/>
                <w:color w:val="000000"/>
                <w:sz w:val="18"/>
                <w:szCs w:val="18"/>
                <w:lang w:val="en-US"/>
              </w:rPr>
            </w:pPr>
            <w:r w:rsidRPr="001F40A6">
              <w:rPr>
                <w:color w:val="000000"/>
                <w:sz w:val="18"/>
                <w:szCs w:val="18"/>
                <w:lang w:val="en-US"/>
              </w:rPr>
              <w:t>Total CO</w:t>
            </w:r>
            <w:r w:rsidRPr="001F40A6">
              <w:rPr>
                <w:color w:val="000000"/>
                <w:sz w:val="18"/>
                <w:szCs w:val="18"/>
                <w:vertAlign w:val="subscript"/>
                <w:lang w:val="en-US"/>
              </w:rPr>
              <w:t>2</w:t>
            </w:r>
            <w:r w:rsidRPr="001F40A6">
              <w:rPr>
                <w:color w:val="000000"/>
                <w:sz w:val="18"/>
                <w:szCs w:val="18"/>
                <w:lang w:val="en-US"/>
              </w:rPr>
              <w:t xml:space="preserve"> (mmol/L)</w:t>
            </w:r>
          </w:p>
        </w:tc>
        <w:tc>
          <w:tcPr>
            <w:tcW w:w="1842" w:type="dxa"/>
            <w:shd w:val="clear" w:color="auto" w:fill="auto"/>
            <w:noWrap/>
            <w:vAlign w:val="center"/>
          </w:tcPr>
          <w:p w14:paraId="794E93F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30 [26-35]</w:t>
            </w:r>
          </w:p>
        </w:tc>
        <w:tc>
          <w:tcPr>
            <w:tcW w:w="1983" w:type="dxa"/>
            <w:shd w:val="clear" w:color="auto" w:fill="auto"/>
            <w:noWrap/>
            <w:vAlign w:val="center"/>
          </w:tcPr>
          <w:p w14:paraId="568FA23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30 [26-34]</w:t>
            </w:r>
          </w:p>
        </w:tc>
        <w:tc>
          <w:tcPr>
            <w:tcW w:w="1701" w:type="dxa"/>
            <w:shd w:val="clear" w:color="auto" w:fill="auto"/>
            <w:noWrap/>
            <w:vAlign w:val="center"/>
          </w:tcPr>
          <w:p w14:paraId="5F4F852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29 [26-33]</w:t>
            </w:r>
          </w:p>
        </w:tc>
        <w:tc>
          <w:tcPr>
            <w:tcW w:w="1845" w:type="dxa"/>
            <w:vAlign w:val="center"/>
          </w:tcPr>
          <w:p w14:paraId="08B318B6"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30 [27-36]</w:t>
            </w:r>
          </w:p>
        </w:tc>
        <w:tc>
          <w:tcPr>
            <w:tcW w:w="1701" w:type="dxa"/>
            <w:vAlign w:val="center"/>
          </w:tcPr>
          <w:p w14:paraId="59C7A9C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29 [24-32]</w:t>
            </w:r>
          </w:p>
        </w:tc>
        <w:tc>
          <w:tcPr>
            <w:tcW w:w="1842" w:type="dxa"/>
            <w:vAlign w:val="center"/>
          </w:tcPr>
          <w:p w14:paraId="5BC9F35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31 [27-35]</w:t>
            </w:r>
          </w:p>
        </w:tc>
        <w:tc>
          <w:tcPr>
            <w:tcW w:w="851" w:type="dxa"/>
            <w:vAlign w:val="center"/>
          </w:tcPr>
          <w:p w14:paraId="6D893096"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4</w:t>
            </w:r>
          </w:p>
        </w:tc>
      </w:tr>
      <w:tr w:rsidR="00736C9F" w:rsidRPr="001F40A6" w14:paraId="409EBC4D" w14:textId="77777777" w:rsidTr="006A5CB3">
        <w:trPr>
          <w:trHeight w:val="288"/>
        </w:trPr>
        <w:tc>
          <w:tcPr>
            <w:tcW w:w="2553" w:type="dxa"/>
            <w:shd w:val="clear" w:color="auto" w:fill="auto"/>
            <w:noWrap/>
            <w:vAlign w:val="bottom"/>
          </w:tcPr>
          <w:p w14:paraId="5278F56A" w14:textId="77777777" w:rsidR="00736C9F" w:rsidRPr="001F40A6" w:rsidRDefault="00736C9F" w:rsidP="006A5CB3">
            <w:pPr>
              <w:ind w:right="283"/>
              <w:rPr>
                <w:b/>
                <w:bCs/>
                <w:color w:val="000000"/>
                <w:sz w:val="18"/>
                <w:szCs w:val="18"/>
                <w:lang w:val="en-US"/>
              </w:rPr>
            </w:pPr>
            <w:r w:rsidRPr="001F40A6">
              <w:rPr>
                <w:color w:val="000000"/>
                <w:sz w:val="18"/>
                <w:szCs w:val="18"/>
                <w:lang w:val="en-US"/>
              </w:rPr>
              <w:t>SaO</w:t>
            </w:r>
            <w:r w:rsidRPr="001F40A6">
              <w:rPr>
                <w:color w:val="000000"/>
                <w:sz w:val="18"/>
                <w:szCs w:val="18"/>
                <w:vertAlign w:val="subscript"/>
                <w:lang w:val="en-US"/>
              </w:rPr>
              <w:t>2</w:t>
            </w:r>
            <w:r w:rsidRPr="001F40A6">
              <w:rPr>
                <w:color w:val="000000"/>
                <w:sz w:val="18"/>
                <w:szCs w:val="18"/>
                <w:lang w:val="en-US"/>
              </w:rPr>
              <w:t xml:space="preserve"> (%)</w:t>
            </w:r>
          </w:p>
        </w:tc>
        <w:tc>
          <w:tcPr>
            <w:tcW w:w="1842" w:type="dxa"/>
            <w:shd w:val="clear" w:color="auto" w:fill="auto"/>
            <w:noWrap/>
            <w:vAlign w:val="center"/>
          </w:tcPr>
          <w:p w14:paraId="056BD075"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95 [91-97]</w:t>
            </w:r>
          </w:p>
        </w:tc>
        <w:tc>
          <w:tcPr>
            <w:tcW w:w="1983" w:type="dxa"/>
            <w:shd w:val="clear" w:color="auto" w:fill="auto"/>
            <w:noWrap/>
            <w:vAlign w:val="center"/>
          </w:tcPr>
          <w:p w14:paraId="1428D00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94 [91-97]</w:t>
            </w:r>
          </w:p>
        </w:tc>
        <w:tc>
          <w:tcPr>
            <w:tcW w:w="1701" w:type="dxa"/>
            <w:shd w:val="clear" w:color="auto" w:fill="auto"/>
            <w:noWrap/>
            <w:vAlign w:val="center"/>
          </w:tcPr>
          <w:p w14:paraId="7CC166DE"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95 [91-97]</w:t>
            </w:r>
          </w:p>
        </w:tc>
        <w:tc>
          <w:tcPr>
            <w:tcW w:w="1845" w:type="dxa"/>
            <w:vAlign w:val="center"/>
          </w:tcPr>
          <w:p w14:paraId="22945A0C"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94 [92-96]</w:t>
            </w:r>
          </w:p>
        </w:tc>
        <w:tc>
          <w:tcPr>
            <w:tcW w:w="1701" w:type="dxa"/>
            <w:vAlign w:val="center"/>
          </w:tcPr>
          <w:p w14:paraId="304F3A8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95 [94-98]</w:t>
            </w:r>
          </w:p>
        </w:tc>
        <w:tc>
          <w:tcPr>
            <w:tcW w:w="1842" w:type="dxa"/>
            <w:vAlign w:val="center"/>
          </w:tcPr>
          <w:p w14:paraId="6A85216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95 [91-98]</w:t>
            </w:r>
          </w:p>
        </w:tc>
        <w:tc>
          <w:tcPr>
            <w:tcW w:w="851" w:type="dxa"/>
            <w:vAlign w:val="center"/>
          </w:tcPr>
          <w:p w14:paraId="105FA738"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w:t>
            </w:r>
          </w:p>
        </w:tc>
      </w:tr>
      <w:tr w:rsidR="00736C9F" w:rsidRPr="001F40A6" w14:paraId="116FF80F" w14:textId="77777777" w:rsidTr="006A5CB3">
        <w:trPr>
          <w:trHeight w:val="288"/>
        </w:trPr>
        <w:tc>
          <w:tcPr>
            <w:tcW w:w="2553" w:type="dxa"/>
            <w:shd w:val="clear" w:color="auto" w:fill="auto"/>
            <w:noWrap/>
            <w:vAlign w:val="bottom"/>
          </w:tcPr>
          <w:p w14:paraId="24AAAF37" w14:textId="77777777" w:rsidR="00736C9F" w:rsidRPr="001F40A6" w:rsidRDefault="00736C9F" w:rsidP="006A5CB3">
            <w:pPr>
              <w:ind w:right="283"/>
              <w:rPr>
                <w:b/>
                <w:bCs/>
                <w:color w:val="000000"/>
                <w:sz w:val="18"/>
                <w:szCs w:val="18"/>
                <w:lang w:val="en-US"/>
              </w:rPr>
            </w:pPr>
            <w:r w:rsidRPr="001F40A6">
              <w:rPr>
                <w:color w:val="000000"/>
                <w:sz w:val="18"/>
                <w:szCs w:val="18"/>
                <w:lang w:val="en-US"/>
              </w:rPr>
              <w:t>Lactate (mmol/L)</w:t>
            </w:r>
          </w:p>
        </w:tc>
        <w:tc>
          <w:tcPr>
            <w:tcW w:w="1842" w:type="dxa"/>
            <w:shd w:val="clear" w:color="auto" w:fill="auto"/>
            <w:noWrap/>
            <w:vAlign w:val="center"/>
          </w:tcPr>
          <w:p w14:paraId="43109145"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1.4 [1.0-1.9]</w:t>
            </w:r>
          </w:p>
        </w:tc>
        <w:tc>
          <w:tcPr>
            <w:tcW w:w="1983" w:type="dxa"/>
            <w:shd w:val="clear" w:color="auto" w:fill="auto"/>
            <w:noWrap/>
            <w:vAlign w:val="center"/>
          </w:tcPr>
          <w:p w14:paraId="6DA1D80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1.4 [1.0-2.0]</w:t>
            </w:r>
          </w:p>
        </w:tc>
        <w:tc>
          <w:tcPr>
            <w:tcW w:w="1701" w:type="dxa"/>
            <w:shd w:val="clear" w:color="auto" w:fill="auto"/>
            <w:noWrap/>
            <w:vAlign w:val="center"/>
          </w:tcPr>
          <w:p w14:paraId="74EAA90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1.4 [1.0-1.9]</w:t>
            </w:r>
          </w:p>
        </w:tc>
        <w:tc>
          <w:tcPr>
            <w:tcW w:w="1845" w:type="dxa"/>
            <w:vAlign w:val="center"/>
          </w:tcPr>
          <w:p w14:paraId="6963CC8E"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1.4 [1.1-2.0]</w:t>
            </w:r>
          </w:p>
        </w:tc>
        <w:tc>
          <w:tcPr>
            <w:tcW w:w="1701" w:type="dxa"/>
            <w:vAlign w:val="center"/>
          </w:tcPr>
          <w:p w14:paraId="34AB6164"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1.6 [1.3-2.1]</w:t>
            </w:r>
          </w:p>
        </w:tc>
        <w:tc>
          <w:tcPr>
            <w:tcW w:w="1842" w:type="dxa"/>
            <w:vAlign w:val="center"/>
          </w:tcPr>
          <w:p w14:paraId="2DC41232"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1.3 [0.9-1.8]</w:t>
            </w:r>
          </w:p>
        </w:tc>
        <w:tc>
          <w:tcPr>
            <w:tcW w:w="851" w:type="dxa"/>
            <w:vAlign w:val="center"/>
          </w:tcPr>
          <w:p w14:paraId="55FACBF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25</w:t>
            </w:r>
          </w:p>
        </w:tc>
      </w:tr>
      <w:tr w:rsidR="00736C9F" w:rsidRPr="001F40A6" w14:paraId="2AFD08A5" w14:textId="77777777" w:rsidTr="006A5CB3">
        <w:trPr>
          <w:trHeight w:val="288"/>
        </w:trPr>
        <w:tc>
          <w:tcPr>
            <w:tcW w:w="2553" w:type="dxa"/>
            <w:shd w:val="clear" w:color="auto" w:fill="auto"/>
            <w:noWrap/>
            <w:vAlign w:val="bottom"/>
          </w:tcPr>
          <w:p w14:paraId="0F8C20CF" w14:textId="77777777" w:rsidR="00736C9F" w:rsidRPr="001F40A6" w:rsidRDefault="00736C9F" w:rsidP="006A5CB3">
            <w:pPr>
              <w:ind w:right="283"/>
              <w:rPr>
                <w:color w:val="000000"/>
                <w:sz w:val="18"/>
                <w:szCs w:val="18"/>
                <w:lang w:val="en-US"/>
              </w:rPr>
            </w:pPr>
            <w:r w:rsidRPr="001F40A6">
              <w:rPr>
                <w:color w:val="000000"/>
                <w:sz w:val="18"/>
                <w:szCs w:val="18"/>
                <w:lang w:val="en-US"/>
              </w:rPr>
              <w:t>SAPS II</w:t>
            </w:r>
          </w:p>
        </w:tc>
        <w:tc>
          <w:tcPr>
            <w:tcW w:w="1842" w:type="dxa"/>
            <w:shd w:val="clear" w:color="auto" w:fill="auto"/>
            <w:noWrap/>
            <w:vAlign w:val="bottom"/>
          </w:tcPr>
          <w:p w14:paraId="0DD35202"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39 [31-49]</w:t>
            </w:r>
          </w:p>
        </w:tc>
        <w:tc>
          <w:tcPr>
            <w:tcW w:w="1983" w:type="dxa"/>
            <w:shd w:val="clear" w:color="auto" w:fill="auto"/>
            <w:noWrap/>
            <w:vAlign w:val="bottom"/>
          </w:tcPr>
          <w:p w14:paraId="7EFDE20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41 [34-54]*</w:t>
            </w:r>
          </w:p>
        </w:tc>
        <w:tc>
          <w:tcPr>
            <w:tcW w:w="1701" w:type="dxa"/>
            <w:shd w:val="clear" w:color="auto" w:fill="auto"/>
            <w:noWrap/>
            <w:vAlign w:val="center"/>
          </w:tcPr>
          <w:p w14:paraId="6CD5156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40 [33-49]</w:t>
            </w:r>
          </w:p>
        </w:tc>
        <w:tc>
          <w:tcPr>
            <w:tcW w:w="1845" w:type="dxa"/>
            <w:shd w:val="clear" w:color="auto" w:fill="auto"/>
            <w:vAlign w:val="center"/>
          </w:tcPr>
          <w:p w14:paraId="45A43CE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44 [36-58]</w:t>
            </w:r>
          </w:p>
        </w:tc>
        <w:tc>
          <w:tcPr>
            <w:tcW w:w="1701" w:type="dxa"/>
            <w:shd w:val="clear" w:color="auto" w:fill="auto"/>
            <w:vAlign w:val="center"/>
          </w:tcPr>
          <w:p w14:paraId="48C26F2C"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46 [38-62]</w:t>
            </w:r>
          </w:p>
        </w:tc>
        <w:tc>
          <w:tcPr>
            <w:tcW w:w="1842" w:type="dxa"/>
            <w:shd w:val="clear" w:color="auto" w:fill="auto"/>
            <w:vAlign w:val="bottom"/>
          </w:tcPr>
          <w:p w14:paraId="662FB65C"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35 [29-43]</w:t>
            </w:r>
          </w:p>
        </w:tc>
        <w:tc>
          <w:tcPr>
            <w:tcW w:w="851" w:type="dxa"/>
            <w:shd w:val="clear" w:color="auto" w:fill="auto"/>
            <w:vAlign w:val="center"/>
          </w:tcPr>
          <w:p w14:paraId="4F73DD4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w:t>
            </w:r>
          </w:p>
        </w:tc>
      </w:tr>
      <w:tr w:rsidR="00736C9F" w:rsidRPr="001F40A6" w14:paraId="3D5C309D" w14:textId="77777777" w:rsidTr="006A5CB3">
        <w:trPr>
          <w:trHeight w:val="288"/>
        </w:trPr>
        <w:tc>
          <w:tcPr>
            <w:tcW w:w="2553" w:type="dxa"/>
            <w:shd w:val="clear" w:color="auto" w:fill="auto"/>
            <w:noWrap/>
            <w:vAlign w:val="bottom"/>
          </w:tcPr>
          <w:p w14:paraId="48417496" w14:textId="77777777" w:rsidR="00736C9F" w:rsidRPr="001F40A6" w:rsidRDefault="00736C9F" w:rsidP="006A5CB3">
            <w:pPr>
              <w:ind w:right="283"/>
              <w:rPr>
                <w:b/>
                <w:bCs/>
                <w:color w:val="000000"/>
                <w:sz w:val="18"/>
                <w:szCs w:val="18"/>
                <w:lang w:val="en-US"/>
              </w:rPr>
            </w:pPr>
            <w:r w:rsidRPr="001F40A6">
              <w:rPr>
                <w:bCs/>
                <w:color w:val="000000"/>
                <w:sz w:val="18"/>
                <w:szCs w:val="18"/>
                <w:lang w:val="en-US"/>
              </w:rPr>
              <w:t>Total white blood cells (G/L)</w:t>
            </w:r>
          </w:p>
        </w:tc>
        <w:tc>
          <w:tcPr>
            <w:tcW w:w="1842" w:type="dxa"/>
            <w:shd w:val="clear" w:color="auto" w:fill="auto"/>
            <w:noWrap/>
            <w:vAlign w:val="center"/>
          </w:tcPr>
          <w:p w14:paraId="122285BF" w14:textId="77777777" w:rsidR="00736C9F" w:rsidRPr="001F40A6" w:rsidRDefault="00736C9F" w:rsidP="006A5CB3">
            <w:pPr>
              <w:ind w:right="283"/>
              <w:jc w:val="center"/>
              <w:rPr>
                <w:bCs/>
                <w:color w:val="000000"/>
                <w:sz w:val="18"/>
                <w:szCs w:val="18"/>
                <w:lang w:val="en-US"/>
              </w:rPr>
            </w:pPr>
            <w:r w:rsidRPr="001F40A6">
              <w:rPr>
                <w:bCs/>
                <w:color w:val="000000"/>
                <w:sz w:val="18"/>
                <w:szCs w:val="18"/>
                <w:lang w:val="en-US"/>
              </w:rPr>
              <w:t>11.5 [8.5-15.4]</w:t>
            </w:r>
          </w:p>
        </w:tc>
        <w:tc>
          <w:tcPr>
            <w:tcW w:w="1983" w:type="dxa"/>
            <w:shd w:val="clear" w:color="auto" w:fill="auto"/>
            <w:noWrap/>
            <w:vAlign w:val="center"/>
          </w:tcPr>
          <w:p w14:paraId="5171AF6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12.1 [8.8-16.1]*</w:t>
            </w:r>
          </w:p>
        </w:tc>
        <w:tc>
          <w:tcPr>
            <w:tcW w:w="1701" w:type="dxa"/>
            <w:shd w:val="clear" w:color="auto" w:fill="auto"/>
            <w:noWrap/>
            <w:vAlign w:val="center"/>
          </w:tcPr>
          <w:p w14:paraId="1162D30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11.0 [8.0-15.2]**</w:t>
            </w:r>
          </w:p>
        </w:tc>
        <w:tc>
          <w:tcPr>
            <w:tcW w:w="1845" w:type="dxa"/>
            <w:vAlign w:val="center"/>
          </w:tcPr>
          <w:p w14:paraId="1747118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13.0 [9.5-17.6]</w:t>
            </w:r>
          </w:p>
        </w:tc>
        <w:tc>
          <w:tcPr>
            <w:tcW w:w="1701" w:type="dxa"/>
            <w:vAlign w:val="center"/>
          </w:tcPr>
          <w:p w14:paraId="1C795625"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11.4 [9.6-15.7]</w:t>
            </w:r>
          </w:p>
        </w:tc>
        <w:tc>
          <w:tcPr>
            <w:tcW w:w="1842" w:type="dxa"/>
            <w:vAlign w:val="center"/>
          </w:tcPr>
          <w:p w14:paraId="75EA8FF2"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10.7 [8-13.4]</w:t>
            </w:r>
          </w:p>
        </w:tc>
        <w:tc>
          <w:tcPr>
            <w:tcW w:w="851" w:type="dxa"/>
            <w:vAlign w:val="center"/>
          </w:tcPr>
          <w:p w14:paraId="42A13432"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w:t>
            </w:r>
          </w:p>
        </w:tc>
      </w:tr>
      <w:tr w:rsidR="00736C9F" w:rsidRPr="001F40A6" w14:paraId="5FF3BB24" w14:textId="77777777" w:rsidTr="006A5CB3">
        <w:trPr>
          <w:trHeight w:val="288"/>
        </w:trPr>
        <w:tc>
          <w:tcPr>
            <w:tcW w:w="2553" w:type="dxa"/>
            <w:shd w:val="clear" w:color="auto" w:fill="auto"/>
            <w:noWrap/>
            <w:vAlign w:val="bottom"/>
          </w:tcPr>
          <w:p w14:paraId="14C1D7B2" w14:textId="77777777" w:rsidR="00736C9F" w:rsidRPr="001F40A6" w:rsidRDefault="00736C9F" w:rsidP="006A5CB3">
            <w:pPr>
              <w:ind w:right="283"/>
              <w:rPr>
                <w:color w:val="000000"/>
                <w:sz w:val="18"/>
                <w:szCs w:val="18"/>
                <w:lang w:val="en-US"/>
              </w:rPr>
            </w:pPr>
            <w:r w:rsidRPr="001F40A6">
              <w:rPr>
                <w:color w:val="000000"/>
                <w:sz w:val="18"/>
                <w:szCs w:val="18"/>
                <w:lang w:val="en-US"/>
              </w:rPr>
              <w:t>Neutrophilic polynuclear cells (G/L)</w:t>
            </w:r>
          </w:p>
        </w:tc>
        <w:tc>
          <w:tcPr>
            <w:tcW w:w="1842" w:type="dxa"/>
            <w:shd w:val="clear" w:color="auto" w:fill="auto"/>
            <w:noWrap/>
            <w:vAlign w:val="center"/>
          </w:tcPr>
          <w:p w14:paraId="6B7C874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9.3 [6.2-12.9]</w:t>
            </w:r>
          </w:p>
        </w:tc>
        <w:tc>
          <w:tcPr>
            <w:tcW w:w="1983" w:type="dxa"/>
            <w:shd w:val="clear" w:color="auto" w:fill="auto"/>
            <w:noWrap/>
            <w:vAlign w:val="center"/>
          </w:tcPr>
          <w:p w14:paraId="235E90C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10.0 [7.0-14.0]*</w:t>
            </w:r>
          </w:p>
        </w:tc>
        <w:tc>
          <w:tcPr>
            <w:tcW w:w="1701" w:type="dxa"/>
            <w:shd w:val="clear" w:color="auto" w:fill="auto"/>
            <w:noWrap/>
            <w:vAlign w:val="center"/>
          </w:tcPr>
          <w:p w14:paraId="7DE5D26C" w14:textId="77777777" w:rsidR="00736C9F" w:rsidRPr="001F40A6" w:rsidRDefault="00736C9F" w:rsidP="006A5CB3">
            <w:pPr>
              <w:ind w:right="205"/>
              <w:jc w:val="center"/>
              <w:rPr>
                <w:color w:val="000000"/>
                <w:sz w:val="18"/>
                <w:szCs w:val="18"/>
                <w:lang w:val="en-US"/>
              </w:rPr>
            </w:pPr>
            <w:r w:rsidRPr="001F40A6">
              <w:rPr>
                <w:color w:val="000000"/>
                <w:sz w:val="18"/>
                <w:szCs w:val="18"/>
                <w:lang w:val="en-US"/>
              </w:rPr>
              <w:t>8.8 [5.9-12.9]**</w:t>
            </w:r>
          </w:p>
        </w:tc>
        <w:tc>
          <w:tcPr>
            <w:tcW w:w="1845" w:type="dxa"/>
            <w:vAlign w:val="center"/>
          </w:tcPr>
          <w:p w14:paraId="74C68426"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10.5 [7.7-15.3]</w:t>
            </w:r>
          </w:p>
        </w:tc>
        <w:tc>
          <w:tcPr>
            <w:tcW w:w="1701" w:type="dxa"/>
            <w:vAlign w:val="center"/>
          </w:tcPr>
          <w:p w14:paraId="7EC89D03"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9.4 [7.7-12.8]</w:t>
            </w:r>
          </w:p>
        </w:tc>
        <w:tc>
          <w:tcPr>
            <w:tcW w:w="1842" w:type="dxa"/>
            <w:vAlign w:val="center"/>
          </w:tcPr>
          <w:p w14:paraId="713C7BF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8.0 [5.5-11.6]</w:t>
            </w:r>
          </w:p>
        </w:tc>
        <w:tc>
          <w:tcPr>
            <w:tcW w:w="851" w:type="dxa"/>
            <w:vAlign w:val="center"/>
          </w:tcPr>
          <w:p w14:paraId="386D9B83"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w:t>
            </w:r>
          </w:p>
        </w:tc>
      </w:tr>
      <w:tr w:rsidR="00736C9F" w:rsidRPr="001F40A6" w14:paraId="386C8B7B" w14:textId="77777777" w:rsidTr="006A5CB3">
        <w:trPr>
          <w:trHeight w:val="288"/>
        </w:trPr>
        <w:tc>
          <w:tcPr>
            <w:tcW w:w="2553" w:type="dxa"/>
            <w:shd w:val="clear" w:color="auto" w:fill="auto"/>
            <w:noWrap/>
            <w:vAlign w:val="bottom"/>
          </w:tcPr>
          <w:p w14:paraId="245F4A04" w14:textId="77777777" w:rsidR="00736C9F" w:rsidRPr="001F40A6" w:rsidRDefault="00736C9F" w:rsidP="006A5CB3">
            <w:pPr>
              <w:ind w:right="283"/>
              <w:rPr>
                <w:color w:val="000000"/>
                <w:sz w:val="18"/>
                <w:szCs w:val="18"/>
                <w:lang w:val="en-US"/>
              </w:rPr>
            </w:pPr>
            <w:r w:rsidRPr="001F40A6">
              <w:rPr>
                <w:color w:val="000000"/>
                <w:sz w:val="18"/>
                <w:szCs w:val="18"/>
                <w:lang w:val="en-US"/>
              </w:rPr>
              <w:t>Eosinophilic polynuclear cells (G/L)</w:t>
            </w:r>
          </w:p>
        </w:tc>
        <w:tc>
          <w:tcPr>
            <w:tcW w:w="1842" w:type="dxa"/>
            <w:shd w:val="clear" w:color="auto" w:fill="auto"/>
            <w:noWrap/>
            <w:vAlign w:val="center"/>
          </w:tcPr>
          <w:p w14:paraId="76A7518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0.05 [0.01-0.20]</w:t>
            </w:r>
          </w:p>
        </w:tc>
        <w:tc>
          <w:tcPr>
            <w:tcW w:w="1983" w:type="dxa"/>
            <w:shd w:val="clear" w:color="auto" w:fill="auto"/>
            <w:noWrap/>
            <w:vAlign w:val="center"/>
          </w:tcPr>
          <w:p w14:paraId="0BF03663"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0.03 [0.01-0.10]*</w:t>
            </w:r>
          </w:p>
        </w:tc>
        <w:tc>
          <w:tcPr>
            <w:tcW w:w="1701" w:type="dxa"/>
            <w:shd w:val="clear" w:color="auto" w:fill="auto"/>
            <w:noWrap/>
            <w:vAlign w:val="center"/>
          </w:tcPr>
          <w:p w14:paraId="1963353B" w14:textId="77777777" w:rsidR="00736C9F" w:rsidRPr="001F40A6" w:rsidRDefault="00736C9F" w:rsidP="006A5CB3">
            <w:pPr>
              <w:ind w:right="205"/>
              <w:jc w:val="center"/>
              <w:rPr>
                <w:color w:val="000000"/>
                <w:sz w:val="18"/>
                <w:szCs w:val="18"/>
                <w:lang w:val="en-US"/>
              </w:rPr>
            </w:pPr>
            <w:r w:rsidRPr="001F40A6">
              <w:rPr>
                <w:color w:val="000000"/>
                <w:sz w:val="18"/>
                <w:szCs w:val="18"/>
                <w:lang w:val="en-US"/>
              </w:rPr>
              <w:t>0.04 [0.01-0.09]</w:t>
            </w:r>
          </w:p>
        </w:tc>
        <w:tc>
          <w:tcPr>
            <w:tcW w:w="1845" w:type="dxa"/>
            <w:vAlign w:val="center"/>
          </w:tcPr>
          <w:p w14:paraId="0DFDD3EE"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0.03 [0.01-0.13]</w:t>
            </w:r>
          </w:p>
        </w:tc>
        <w:tc>
          <w:tcPr>
            <w:tcW w:w="1701" w:type="dxa"/>
            <w:vAlign w:val="center"/>
          </w:tcPr>
          <w:p w14:paraId="5DB80D7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0.01 [0.00-0.06]</w:t>
            </w:r>
          </w:p>
        </w:tc>
        <w:tc>
          <w:tcPr>
            <w:tcW w:w="1842" w:type="dxa"/>
            <w:vAlign w:val="center"/>
          </w:tcPr>
          <w:p w14:paraId="78E9EE1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0.10 [0.03-0.25]</w:t>
            </w:r>
          </w:p>
        </w:tc>
        <w:tc>
          <w:tcPr>
            <w:tcW w:w="851" w:type="dxa"/>
            <w:vAlign w:val="center"/>
          </w:tcPr>
          <w:p w14:paraId="4160C4D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w:t>
            </w:r>
          </w:p>
        </w:tc>
      </w:tr>
      <w:tr w:rsidR="00736C9F" w:rsidRPr="001F40A6" w14:paraId="60D047E4" w14:textId="77777777" w:rsidTr="006A5CB3">
        <w:trPr>
          <w:trHeight w:val="288"/>
        </w:trPr>
        <w:tc>
          <w:tcPr>
            <w:tcW w:w="2553" w:type="dxa"/>
            <w:shd w:val="clear" w:color="auto" w:fill="auto"/>
            <w:noWrap/>
            <w:vAlign w:val="bottom"/>
            <w:hideMark/>
          </w:tcPr>
          <w:p w14:paraId="372FAE93" w14:textId="77777777" w:rsidR="00736C9F" w:rsidRPr="001F40A6" w:rsidRDefault="00736C9F" w:rsidP="006A5CB3">
            <w:pPr>
              <w:ind w:right="283"/>
              <w:rPr>
                <w:color w:val="000000"/>
                <w:sz w:val="18"/>
                <w:szCs w:val="18"/>
                <w:lang w:val="en-US"/>
              </w:rPr>
            </w:pPr>
            <w:r w:rsidRPr="001F40A6">
              <w:rPr>
                <w:color w:val="000000"/>
                <w:sz w:val="18"/>
                <w:szCs w:val="18"/>
                <w:lang w:val="en-US"/>
              </w:rPr>
              <w:t>Lymphocytes (G/L)</w:t>
            </w:r>
          </w:p>
        </w:tc>
        <w:tc>
          <w:tcPr>
            <w:tcW w:w="1842" w:type="dxa"/>
            <w:shd w:val="clear" w:color="auto" w:fill="auto"/>
            <w:noWrap/>
            <w:vAlign w:val="center"/>
          </w:tcPr>
          <w:p w14:paraId="3B48FC6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0.96 [0.66-1.44]</w:t>
            </w:r>
          </w:p>
        </w:tc>
        <w:tc>
          <w:tcPr>
            <w:tcW w:w="1983" w:type="dxa"/>
            <w:shd w:val="clear" w:color="auto" w:fill="auto"/>
            <w:noWrap/>
            <w:vAlign w:val="center"/>
          </w:tcPr>
          <w:p w14:paraId="7A08657E"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0.87 [0.60-1.28]*</w:t>
            </w:r>
          </w:p>
        </w:tc>
        <w:tc>
          <w:tcPr>
            <w:tcW w:w="1701" w:type="dxa"/>
            <w:shd w:val="clear" w:color="auto" w:fill="auto"/>
            <w:noWrap/>
            <w:vAlign w:val="center"/>
          </w:tcPr>
          <w:p w14:paraId="2F2A7DB3" w14:textId="77777777" w:rsidR="00736C9F" w:rsidRPr="001F40A6" w:rsidRDefault="00736C9F" w:rsidP="006A5CB3">
            <w:pPr>
              <w:ind w:right="205"/>
              <w:jc w:val="center"/>
              <w:rPr>
                <w:color w:val="000000"/>
                <w:sz w:val="18"/>
                <w:szCs w:val="18"/>
                <w:lang w:val="en-US"/>
              </w:rPr>
            </w:pPr>
            <w:r w:rsidRPr="001F40A6">
              <w:rPr>
                <w:color w:val="000000"/>
                <w:sz w:val="18"/>
                <w:szCs w:val="18"/>
                <w:lang w:val="en-US"/>
              </w:rPr>
              <w:t>0.89 [0.68-1.32]</w:t>
            </w:r>
          </w:p>
        </w:tc>
        <w:tc>
          <w:tcPr>
            <w:tcW w:w="1845" w:type="dxa"/>
            <w:vAlign w:val="center"/>
          </w:tcPr>
          <w:p w14:paraId="0C24F74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0.95 [0.54-1.49]</w:t>
            </w:r>
          </w:p>
        </w:tc>
        <w:tc>
          <w:tcPr>
            <w:tcW w:w="1701" w:type="dxa"/>
            <w:vAlign w:val="center"/>
          </w:tcPr>
          <w:p w14:paraId="012FEC1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0.86 [0.59-1.18]</w:t>
            </w:r>
          </w:p>
        </w:tc>
        <w:tc>
          <w:tcPr>
            <w:tcW w:w="1842" w:type="dxa"/>
            <w:vAlign w:val="center"/>
          </w:tcPr>
          <w:p w14:paraId="2680DAC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1.06 [0.79-1.60]</w:t>
            </w:r>
          </w:p>
        </w:tc>
        <w:tc>
          <w:tcPr>
            <w:tcW w:w="851" w:type="dxa"/>
            <w:vAlign w:val="center"/>
          </w:tcPr>
          <w:p w14:paraId="38564636"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w:t>
            </w:r>
          </w:p>
        </w:tc>
      </w:tr>
      <w:tr w:rsidR="00736C9F" w:rsidRPr="001F40A6" w14:paraId="29F92830" w14:textId="77777777" w:rsidTr="006A5CB3">
        <w:trPr>
          <w:trHeight w:val="288"/>
        </w:trPr>
        <w:tc>
          <w:tcPr>
            <w:tcW w:w="2553" w:type="dxa"/>
            <w:shd w:val="clear" w:color="auto" w:fill="auto"/>
            <w:noWrap/>
            <w:vAlign w:val="bottom"/>
            <w:hideMark/>
          </w:tcPr>
          <w:p w14:paraId="3162D5E3" w14:textId="77777777" w:rsidR="00736C9F" w:rsidRPr="001F40A6" w:rsidRDefault="00736C9F" w:rsidP="006A5CB3">
            <w:pPr>
              <w:ind w:right="283"/>
              <w:rPr>
                <w:color w:val="000000"/>
                <w:sz w:val="18"/>
                <w:szCs w:val="18"/>
                <w:lang w:val="en-US"/>
              </w:rPr>
            </w:pPr>
            <w:r w:rsidRPr="001F40A6">
              <w:rPr>
                <w:color w:val="000000"/>
                <w:sz w:val="18"/>
                <w:szCs w:val="18"/>
                <w:lang w:val="en-US"/>
              </w:rPr>
              <w:t>C-reactive protein (mg/L)</w:t>
            </w:r>
          </w:p>
        </w:tc>
        <w:tc>
          <w:tcPr>
            <w:tcW w:w="1842" w:type="dxa"/>
            <w:shd w:val="clear" w:color="auto" w:fill="auto"/>
            <w:noWrap/>
            <w:vAlign w:val="center"/>
          </w:tcPr>
          <w:p w14:paraId="37B43A0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35 [9-104]</w:t>
            </w:r>
          </w:p>
        </w:tc>
        <w:tc>
          <w:tcPr>
            <w:tcW w:w="1983" w:type="dxa"/>
            <w:shd w:val="clear" w:color="auto" w:fill="auto"/>
            <w:noWrap/>
            <w:vAlign w:val="center"/>
          </w:tcPr>
          <w:p w14:paraId="18242E1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60 [14-152]*</w:t>
            </w:r>
          </w:p>
        </w:tc>
        <w:tc>
          <w:tcPr>
            <w:tcW w:w="1701" w:type="dxa"/>
            <w:shd w:val="clear" w:color="auto" w:fill="auto"/>
            <w:noWrap/>
            <w:vAlign w:val="center"/>
          </w:tcPr>
          <w:p w14:paraId="3F07E2C5"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49 [16-140]</w:t>
            </w:r>
          </w:p>
        </w:tc>
        <w:tc>
          <w:tcPr>
            <w:tcW w:w="1845" w:type="dxa"/>
            <w:vAlign w:val="center"/>
          </w:tcPr>
          <w:p w14:paraId="2C9379EE"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77 [25-213]</w:t>
            </w:r>
          </w:p>
        </w:tc>
        <w:tc>
          <w:tcPr>
            <w:tcW w:w="1701" w:type="dxa"/>
            <w:vAlign w:val="center"/>
          </w:tcPr>
          <w:p w14:paraId="30B97B8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91 [40-203]</w:t>
            </w:r>
          </w:p>
        </w:tc>
        <w:tc>
          <w:tcPr>
            <w:tcW w:w="1842" w:type="dxa"/>
            <w:vAlign w:val="center"/>
          </w:tcPr>
          <w:p w14:paraId="56C58CC3"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12 [5-46]</w:t>
            </w:r>
          </w:p>
        </w:tc>
        <w:tc>
          <w:tcPr>
            <w:tcW w:w="851" w:type="dxa"/>
            <w:vAlign w:val="center"/>
          </w:tcPr>
          <w:p w14:paraId="73B60C0C"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116</w:t>
            </w:r>
          </w:p>
        </w:tc>
      </w:tr>
      <w:tr w:rsidR="00736C9F" w:rsidRPr="001F40A6" w14:paraId="310843FD" w14:textId="77777777" w:rsidTr="006A5CB3">
        <w:trPr>
          <w:trHeight w:val="288"/>
        </w:trPr>
        <w:tc>
          <w:tcPr>
            <w:tcW w:w="2553" w:type="dxa"/>
            <w:shd w:val="clear" w:color="auto" w:fill="auto"/>
            <w:noWrap/>
            <w:vAlign w:val="bottom"/>
            <w:hideMark/>
          </w:tcPr>
          <w:p w14:paraId="56878EC8" w14:textId="77777777" w:rsidR="00736C9F" w:rsidRPr="001F40A6" w:rsidRDefault="00736C9F" w:rsidP="006A5CB3">
            <w:pPr>
              <w:ind w:right="283"/>
              <w:rPr>
                <w:color w:val="000000"/>
                <w:sz w:val="18"/>
                <w:szCs w:val="18"/>
                <w:lang w:val="en-US"/>
              </w:rPr>
            </w:pPr>
            <w:r w:rsidRPr="001F40A6">
              <w:rPr>
                <w:color w:val="000000"/>
                <w:sz w:val="18"/>
                <w:szCs w:val="18"/>
                <w:lang w:val="en-US"/>
              </w:rPr>
              <w:t>Procalcitonin (ng/mL)</w:t>
            </w:r>
          </w:p>
        </w:tc>
        <w:tc>
          <w:tcPr>
            <w:tcW w:w="1842" w:type="dxa"/>
            <w:shd w:val="clear" w:color="auto" w:fill="auto"/>
            <w:noWrap/>
            <w:vAlign w:val="center"/>
          </w:tcPr>
          <w:p w14:paraId="297D643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0.12 [0.06-0.38]</w:t>
            </w:r>
          </w:p>
        </w:tc>
        <w:tc>
          <w:tcPr>
            <w:tcW w:w="1983" w:type="dxa"/>
            <w:shd w:val="clear" w:color="auto" w:fill="auto"/>
            <w:noWrap/>
            <w:vAlign w:val="center"/>
          </w:tcPr>
          <w:p w14:paraId="4A7AC92E"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0.19 [0.09-0.62]*</w:t>
            </w:r>
          </w:p>
        </w:tc>
        <w:tc>
          <w:tcPr>
            <w:tcW w:w="1701" w:type="dxa"/>
            <w:shd w:val="clear" w:color="auto" w:fill="auto"/>
            <w:noWrap/>
            <w:vAlign w:val="center"/>
          </w:tcPr>
          <w:p w14:paraId="6384C7D2"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0.17 [0.07-0.39]**</w:t>
            </w:r>
          </w:p>
        </w:tc>
        <w:tc>
          <w:tcPr>
            <w:tcW w:w="1845" w:type="dxa"/>
            <w:vAlign w:val="center"/>
          </w:tcPr>
          <w:p w14:paraId="77F2A285"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0.27 [0.11-1.29]</w:t>
            </w:r>
          </w:p>
        </w:tc>
        <w:tc>
          <w:tcPr>
            <w:tcW w:w="1701" w:type="dxa"/>
            <w:vAlign w:val="center"/>
          </w:tcPr>
          <w:p w14:paraId="3251C35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0.27 [0.13-1.59]</w:t>
            </w:r>
          </w:p>
        </w:tc>
        <w:tc>
          <w:tcPr>
            <w:tcW w:w="1842" w:type="dxa"/>
            <w:vAlign w:val="center"/>
          </w:tcPr>
          <w:p w14:paraId="05C01111"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0.07 [0.05-0.11]</w:t>
            </w:r>
          </w:p>
        </w:tc>
        <w:tc>
          <w:tcPr>
            <w:tcW w:w="851" w:type="dxa"/>
            <w:vAlign w:val="center"/>
          </w:tcPr>
          <w:p w14:paraId="345B6396"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82</w:t>
            </w:r>
          </w:p>
        </w:tc>
      </w:tr>
      <w:tr w:rsidR="00736C9F" w:rsidRPr="001F40A6" w14:paraId="399C2AF8" w14:textId="77777777" w:rsidTr="006A5CB3">
        <w:trPr>
          <w:trHeight w:val="288"/>
        </w:trPr>
        <w:tc>
          <w:tcPr>
            <w:tcW w:w="2553" w:type="dxa"/>
            <w:shd w:val="clear" w:color="auto" w:fill="auto"/>
            <w:noWrap/>
            <w:vAlign w:val="bottom"/>
            <w:hideMark/>
          </w:tcPr>
          <w:p w14:paraId="25251A3A" w14:textId="77777777" w:rsidR="00736C9F" w:rsidRPr="001F40A6" w:rsidRDefault="00736C9F" w:rsidP="006A5CB3">
            <w:pPr>
              <w:ind w:right="283"/>
              <w:rPr>
                <w:color w:val="000000"/>
                <w:sz w:val="18"/>
                <w:szCs w:val="18"/>
                <w:lang w:val="en-US"/>
              </w:rPr>
            </w:pPr>
            <w:r w:rsidRPr="001F40A6">
              <w:rPr>
                <w:color w:val="000000"/>
                <w:sz w:val="18"/>
                <w:szCs w:val="18"/>
                <w:lang w:val="en-US"/>
              </w:rPr>
              <w:t>Creatinine (µmol/L)</w:t>
            </w:r>
          </w:p>
        </w:tc>
        <w:tc>
          <w:tcPr>
            <w:tcW w:w="1842" w:type="dxa"/>
            <w:shd w:val="clear" w:color="auto" w:fill="auto"/>
            <w:noWrap/>
            <w:vAlign w:val="center"/>
          </w:tcPr>
          <w:p w14:paraId="1B6BEA54"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74 [55-98]</w:t>
            </w:r>
          </w:p>
        </w:tc>
        <w:tc>
          <w:tcPr>
            <w:tcW w:w="1983" w:type="dxa"/>
            <w:shd w:val="clear" w:color="auto" w:fill="auto"/>
            <w:noWrap/>
            <w:vAlign w:val="center"/>
          </w:tcPr>
          <w:p w14:paraId="16096864"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76 [60-103]*</w:t>
            </w:r>
          </w:p>
        </w:tc>
        <w:tc>
          <w:tcPr>
            <w:tcW w:w="1701" w:type="dxa"/>
            <w:shd w:val="clear" w:color="auto" w:fill="auto"/>
            <w:noWrap/>
            <w:vAlign w:val="center"/>
          </w:tcPr>
          <w:p w14:paraId="01F68FE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76 [57-99]</w:t>
            </w:r>
          </w:p>
        </w:tc>
        <w:tc>
          <w:tcPr>
            <w:tcW w:w="1845" w:type="dxa"/>
            <w:vAlign w:val="center"/>
          </w:tcPr>
          <w:p w14:paraId="6AFC81D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81 [61-109]</w:t>
            </w:r>
          </w:p>
        </w:tc>
        <w:tc>
          <w:tcPr>
            <w:tcW w:w="1701" w:type="dxa"/>
            <w:vAlign w:val="center"/>
          </w:tcPr>
          <w:p w14:paraId="740EE46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79 [62-104]</w:t>
            </w:r>
          </w:p>
        </w:tc>
        <w:tc>
          <w:tcPr>
            <w:tcW w:w="1842" w:type="dxa"/>
            <w:vAlign w:val="center"/>
          </w:tcPr>
          <w:p w14:paraId="7A5D7AE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65 [51-89]</w:t>
            </w:r>
          </w:p>
        </w:tc>
        <w:tc>
          <w:tcPr>
            <w:tcW w:w="851" w:type="dxa"/>
            <w:vAlign w:val="center"/>
          </w:tcPr>
          <w:p w14:paraId="6F415D1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w:t>
            </w:r>
          </w:p>
        </w:tc>
      </w:tr>
      <w:tr w:rsidR="00736C9F" w:rsidRPr="001F40A6" w14:paraId="3F776DC1" w14:textId="77777777" w:rsidTr="006A5CB3">
        <w:trPr>
          <w:trHeight w:val="288"/>
        </w:trPr>
        <w:tc>
          <w:tcPr>
            <w:tcW w:w="2553" w:type="dxa"/>
            <w:shd w:val="clear" w:color="auto" w:fill="auto"/>
            <w:noWrap/>
            <w:vAlign w:val="bottom"/>
            <w:hideMark/>
          </w:tcPr>
          <w:p w14:paraId="3729452F" w14:textId="77777777" w:rsidR="00736C9F" w:rsidRPr="001F40A6" w:rsidRDefault="00736C9F" w:rsidP="006A5CB3">
            <w:pPr>
              <w:ind w:right="283"/>
              <w:rPr>
                <w:color w:val="000000"/>
                <w:sz w:val="18"/>
                <w:szCs w:val="18"/>
                <w:lang w:val="en-US"/>
              </w:rPr>
            </w:pPr>
            <w:r w:rsidRPr="001F40A6">
              <w:rPr>
                <w:color w:val="000000"/>
                <w:sz w:val="18"/>
                <w:szCs w:val="18"/>
                <w:lang w:val="en-US"/>
              </w:rPr>
              <w:t>NT-proBNP (pg/mL)</w:t>
            </w:r>
          </w:p>
        </w:tc>
        <w:tc>
          <w:tcPr>
            <w:tcW w:w="1842" w:type="dxa"/>
            <w:shd w:val="clear" w:color="auto" w:fill="auto"/>
            <w:noWrap/>
            <w:vAlign w:val="center"/>
          </w:tcPr>
          <w:p w14:paraId="454FF4C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703 [209-2854]</w:t>
            </w:r>
          </w:p>
        </w:tc>
        <w:tc>
          <w:tcPr>
            <w:tcW w:w="1983" w:type="dxa"/>
            <w:shd w:val="clear" w:color="auto" w:fill="auto"/>
            <w:noWrap/>
            <w:vAlign w:val="center"/>
          </w:tcPr>
          <w:p w14:paraId="276EC59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778 [247-3937]*</w:t>
            </w:r>
          </w:p>
        </w:tc>
        <w:tc>
          <w:tcPr>
            <w:tcW w:w="1701" w:type="dxa"/>
            <w:shd w:val="clear" w:color="auto" w:fill="auto"/>
            <w:noWrap/>
            <w:vAlign w:val="center"/>
          </w:tcPr>
          <w:p w14:paraId="5FA02F3D" w14:textId="77777777" w:rsidR="00736C9F" w:rsidRPr="001F40A6" w:rsidRDefault="00736C9F" w:rsidP="006A5CB3">
            <w:pPr>
              <w:ind w:right="63"/>
              <w:jc w:val="center"/>
              <w:rPr>
                <w:color w:val="000000"/>
                <w:sz w:val="18"/>
                <w:szCs w:val="18"/>
                <w:lang w:val="en-US"/>
              </w:rPr>
            </w:pPr>
            <w:r w:rsidRPr="001F40A6">
              <w:rPr>
                <w:color w:val="000000"/>
                <w:sz w:val="18"/>
                <w:szCs w:val="18"/>
                <w:lang w:val="en-US"/>
              </w:rPr>
              <w:t>744 [210-4234]</w:t>
            </w:r>
          </w:p>
        </w:tc>
        <w:tc>
          <w:tcPr>
            <w:tcW w:w="1845" w:type="dxa"/>
            <w:vAlign w:val="center"/>
          </w:tcPr>
          <w:p w14:paraId="1F412622"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760 [324-2910]</w:t>
            </w:r>
          </w:p>
        </w:tc>
        <w:tc>
          <w:tcPr>
            <w:tcW w:w="1701" w:type="dxa"/>
            <w:vAlign w:val="center"/>
          </w:tcPr>
          <w:p w14:paraId="21609A34"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2287 [571-7221]</w:t>
            </w:r>
          </w:p>
        </w:tc>
        <w:tc>
          <w:tcPr>
            <w:tcW w:w="1842" w:type="dxa"/>
            <w:vAlign w:val="center"/>
          </w:tcPr>
          <w:p w14:paraId="12088B0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584 [141-1693]</w:t>
            </w:r>
          </w:p>
        </w:tc>
        <w:tc>
          <w:tcPr>
            <w:tcW w:w="851" w:type="dxa"/>
            <w:vAlign w:val="center"/>
          </w:tcPr>
          <w:p w14:paraId="6CCAE9C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97</w:t>
            </w:r>
          </w:p>
        </w:tc>
      </w:tr>
      <w:tr w:rsidR="00736C9F" w:rsidRPr="001F40A6" w14:paraId="40F28801" w14:textId="77777777" w:rsidTr="006A5CB3">
        <w:trPr>
          <w:trHeight w:val="288"/>
        </w:trPr>
        <w:tc>
          <w:tcPr>
            <w:tcW w:w="2553" w:type="dxa"/>
            <w:shd w:val="clear" w:color="auto" w:fill="auto"/>
            <w:noWrap/>
            <w:vAlign w:val="bottom"/>
          </w:tcPr>
          <w:p w14:paraId="63BA65B2" w14:textId="77777777" w:rsidR="00736C9F" w:rsidRPr="001F40A6" w:rsidRDefault="00736C9F" w:rsidP="006A5CB3">
            <w:pPr>
              <w:ind w:right="283"/>
              <w:rPr>
                <w:color w:val="000000"/>
                <w:sz w:val="18"/>
                <w:szCs w:val="18"/>
                <w:lang w:val="en-US"/>
              </w:rPr>
            </w:pPr>
            <w:r w:rsidRPr="001F40A6">
              <w:rPr>
                <w:color w:val="000000"/>
                <w:sz w:val="18"/>
                <w:szCs w:val="18"/>
                <w:lang w:val="en-US"/>
              </w:rPr>
              <w:t>Serum albumin (g/L)</w:t>
            </w:r>
          </w:p>
        </w:tc>
        <w:tc>
          <w:tcPr>
            <w:tcW w:w="1842" w:type="dxa"/>
            <w:shd w:val="clear" w:color="auto" w:fill="auto"/>
            <w:noWrap/>
            <w:vAlign w:val="center"/>
          </w:tcPr>
          <w:p w14:paraId="00DC3CA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31 [27-35]</w:t>
            </w:r>
          </w:p>
        </w:tc>
        <w:tc>
          <w:tcPr>
            <w:tcW w:w="1983" w:type="dxa"/>
            <w:shd w:val="clear" w:color="auto" w:fill="auto"/>
            <w:noWrap/>
            <w:vAlign w:val="center"/>
          </w:tcPr>
          <w:p w14:paraId="1C10789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31 [25-34]*</w:t>
            </w:r>
          </w:p>
        </w:tc>
        <w:tc>
          <w:tcPr>
            <w:tcW w:w="1701" w:type="dxa"/>
            <w:shd w:val="clear" w:color="auto" w:fill="auto"/>
            <w:noWrap/>
            <w:vAlign w:val="center"/>
          </w:tcPr>
          <w:p w14:paraId="3EEFE89E" w14:textId="77777777" w:rsidR="00736C9F" w:rsidRPr="001F40A6" w:rsidRDefault="00736C9F" w:rsidP="006A5CB3">
            <w:pPr>
              <w:ind w:right="63"/>
              <w:jc w:val="center"/>
              <w:rPr>
                <w:color w:val="000000"/>
                <w:sz w:val="18"/>
                <w:szCs w:val="18"/>
                <w:lang w:val="en-US"/>
              </w:rPr>
            </w:pPr>
            <w:r w:rsidRPr="001F40A6">
              <w:rPr>
                <w:color w:val="000000"/>
                <w:sz w:val="18"/>
                <w:szCs w:val="18"/>
                <w:lang w:val="en-US"/>
              </w:rPr>
              <w:t>32 [27-35]**</w:t>
            </w:r>
          </w:p>
        </w:tc>
        <w:tc>
          <w:tcPr>
            <w:tcW w:w="1845" w:type="dxa"/>
            <w:vAlign w:val="center"/>
          </w:tcPr>
          <w:p w14:paraId="14BBC29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30 [25-34]</w:t>
            </w:r>
          </w:p>
        </w:tc>
        <w:tc>
          <w:tcPr>
            <w:tcW w:w="1701" w:type="dxa"/>
            <w:vAlign w:val="center"/>
          </w:tcPr>
          <w:p w14:paraId="0225CEA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27 [24-32]</w:t>
            </w:r>
          </w:p>
        </w:tc>
        <w:tc>
          <w:tcPr>
            <w:tcW w:w="1842" w:type="dxa"/>
            <w:vAlign w:val="center"/>
          </w:tcPr>
          <w:p w14:paraId="7F760A2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33 [30-37]</w:t>
            </w:r>
          </w:p>
        </w:tc>
        <w:tc>
          <w:tcPr>
            <w:tcW w:w="851" w:type="dxa"/>
            <w:vAlign w:val="center"/>
          </w:tcPr>
          <w:p w14:paraId="6E6F5A92"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121</w:t>
            </w:r>
          </w:p>
        </w:tc>
      </w:tr>
      <w:tr w:rsidR="00736C9F" w:rsidRPr="001F40A6" w14:paraId="11BA2070" w14:textId="77777777" w:rsidTr="006A5CB3">
        <w:trPr>
          <w:trHeight w:val="288"/>
        </w:trPr>
        <w:tc>
          <w:tcPr>
            <w:tcW w:w="2553" w:type="dxa"/>
            <w:shd w:val="clear" w:color="auto" w:fill="auto"/>
            <w:noWrap/>
            <w:vAlign w:val="bottom"/>
          </w:tcPr>
          <w:p w14:paraId="335856AC"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Pneumonia</w:t>
            </w:r>
          </w:p>
        </w:tc>
        <w:tc>
          <w:tcPr>
            <w:tcW w:w="1842" w:type="dxa"/>
            <w:shd w:val="clear" w:color="auto" w:fill="auto"/>
            <w:noWrap/>
            <w:vAlign w:val="center"/>
          </w:tcPr>
          <w:p w14:paraId="5F01C2D3"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182 (38.5)</w:t>
            </w:r>
          </w:p>
        </w:tc>
        <w:tc>
          <w:tcPr>
            <w:tcW w:w="1983" w:type="dxa"/>
            <w:shd w:val="clear" w:color="auto" w:fill="auto"/>
            <w:noWrap/>
            <w:vAlign w:val="center"/>
          </w:tcPr>
          <w:p w14:paraId="619BF74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182 (63.2)</w:t>
            </w:r>
          </w:p>
        </w:tc>
        <w:tc>
          <w:tcPr>
            <w:tcW w:w="1701" w:type="dxa"/>
            <w:shd w:val="clear" w:color="auto" w:fill="auto"/>
            <w:noWrap/>
            <w:vAlign w:val="center"/>
          </w:tcPr>
          <w:p w14:paraId="376A952B" w14:textId="77777777" w:rsidR="00736C9F" w:rsidRPr="001F40A6" w:rsidRDefault="00736C9F" w:rsidP="006A5CB3">
            <w:pPr>
              <w:ind w:right="63"/>
              <w:jc w:val="center"/>
              <w:rPr>
                <w:color w:val="000000"/>
                <w:sz w:val="18"/>
                <w:szCs w:val="18"/>
                <w:lang w:val="en-US"/>
              </w:rPr>
            </w:pPr>
            <w:r w:rsidRPr="001F40A6">
              <w:rPr>
                <w:color w:val="000000"/>
                <w:sz w:val="18"/>
                <w:szCs w:val="18"/>
                <w:lang w:val="en-US"/>
              </w:rPr>
              <w:t>54 (61)</w:t>
            </w:r>
          </w:p>
        </w:tc>
        <w:tc>
          <w:tcPr>
            <w:tcW w:w="1845" w:type="dxa"/>
            <w:vAlign w:val="center"/>
          </w:tcPr>
          <w:p w14:paraId="0EE970C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57 (70)</w:t>
            </w:r>
          </w:p>
        </w:tc>
        <w:tc>
          <w:tcPr>
            <w:tcW w:w="1701" w:type="dxa"/>
            <w:vAlign w:val="center"/>
          </w:tcPr>
          <w:p w14:paraId="2C99750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26 (76)</w:t>
            </w:r>
          </w:p>
        </w:tc>
        <w:tc>
          <w:tcPr>
            <w:tcW w:w="1842" w:type="dxa"/>
            <w:vAlign w:val="center"/>
          </w:tcPr>
          <w:p w14:paraId="162BD12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w:t>
            </w:r>
          </w:p>
        </w:tc>
        <w:tc>
          <w:tcPr>
            <w:tcW w:w="851" w:type="dxa"/>
            <w:vAlign w:val="center"/>
          </w:tcPr>
          <w:p w14:paraId="2A04B5AB" w14:textId="77777777" w:rsidR="00736C9F" w:rsidRPr="001F40A6" w:rsidRDefault="00736C9F" w:rsidP="006A5CB3">
            <w:pPr>
              <w:ind w:right="283"/>
              <w:jc w:val="center"/>
              <w:rPr>
                <w:color w:val="000000"/>
                <w:sz w:val="18"/>
                <w:szCs w:val="18"/>
                <w:lang w:val="en-US"/>
              </w:rPr>
            </w:pPr>
          </w:p>
        </w:tc>
      </w:tr>
      <w:tr w:rsidR="00736C9F" w:rsidRPr="001F40A6" w14:paraId="4876D863" w14:textId="77777777" w:rsidTr="006A5CB3">
        <w:trPr>
          <w:trHeight w:val="288"/>
        </w:trPr>
        <w:tc>
          <w:tcPr>
            <w:tcW w:w="2553" w:type="dxa"/>
            <w:tcBorders>
              <w:bottom w:val="single" w:sz="12" w:space="0" w:color="auto"/>
            </w:tcBorders>
            <w:shd w:val="clear" w:color="auto" w:fill="auto"/>
            <w:noWrap/>
            <w:vAlign w:val="bottom"/>
          </w:tcPr>
          <w:p w14:paraId="2C7B2ED2"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Bronchitis</w:t>
            </w:r>
          </w:p>
        </w:tc>
        <w:tc>
          <w:tcPr>
            <w:tcW w:w="1842" w:type="dxa"/>
            <w:tcBorders>
              <w:bottom w:val="single" w:sz="12" w:space="0" w:color="auto"/>
            </w:tcBorders>
            <w:shd w:val="clear" w:color="auto" w:fill="auto"/>
            <w:noWrap/>
            <w:vAlign w:val="center"/>
          </w:tcPr>
          <w:p w14:paraId="0CC008B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106 (22.4)</w:t>
            </w:r>
          </w:p>
        </w:tc>
        <w:tc>
          <w:tcPr>
            <w:tcW w:w="1983" w:type="dxa"/>
            <w:tcBorders>
              <w:bottom w:val="single" w:sz="12" w:space="0" w:color="auto"/>
            </w:tcBorders>
            <w:shd w:val="clear" w:color="auto" w:fill="auto"/>
            <w:noWrap/>
            <w:vAlign w:val="center"/>
          </w:tcPr>
          <w:p w14:paraId="3E1BAAA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106 (36.8)</w:t>
            </w:r>
          </w:p>
        </w:tc>
        <w:tc>
          <w:tcPr>
            <w:tcW w:w="1701" w:type="dxa"/>
            <w:tcBorders>
              <w:bottom w:val="single" w:sz="12" w:space="0" w:color="auto"/>
            </w:tcBorders>
            <w:shd w:val="clear" w:color="auto" w:fill="auto"/>
            <w:noWrap/>
            <w:vAlign w:val="center"/>
          </w:tcPr>
          <w:p w14:paraId="466D9AE9" w14:textId="77777777" w:rsidR="00736C9F" w:rsidRPr="001F40A6" w:rsidRDefault="00736C9F" w:rsidP="006A5CB3">
            <w:pPr>
              <w:jc w:val="center"/>
              <w:rPr>
                <w:color w:val="000000"/>
                <w:sz w:val="18"/>
                <w:szCs w:val="18"/>
                <w:lang w:val="en-US"/>
              </w:rPr>
            </w:pPr>
            <w:r w:rsidRPr="001F40A6">
              <w:rPr>
                <w:color w:val="000000"/>
                <w:sz w:val="18"/>
                <w:szCs w:val="18"/>
                <w:lang w:val="en-US"/>
              </w:rPr>
              <w:t>35 (39)</w:t>
            </w:r>
          </w:p>
        </w:tc>
        <w:tc>
          <w:tcPr>
            <w:tcW w:w="1845" w:type="dxa"/>
            <w:tcBorders>
              <w:bottom w:val="single" w:sz="12" w:space="0" w:color="auto"/>
            </w:tcBorders>
            <w:vAlign w:val="center"/>
          </w:tcPr>
          <w:p w14:paraId="75DCADD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24 (30)</w:t>
            </w:r>
          </w:p>
        </w:tc>
        <w:tc>
          <w:tcPr>
            <w:tcW w:w="1701" w:type="dxa"/>
            <w:tcBorders>
              <w:bottom w:val="single" w:sz="12" w:space="0" w:color="auto"/>
            </w:tcBorders>
            <w:vAlign w:val="center"/>
          </w:tcPr>
          <w:p w14:paraId="2E06F398"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8 (24)</w:t>
            </w:r>
          </w:p>
        </w:tc>
        <w:tc>
          <w:tcPr>
            <w:tcW w:w="1842" w:type="dxa"/>
            <w:tcBorders>
              <w:bottom w:val="single" w:sz="12" w:space="0" w:color="auto"/>
            </w:tcBorders>
            <w:vAlign w:val="center"/>
          </w:tcPr>
          <w:p w14:paraId="5BBBCEE1"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w:t>
            </w:r>
          </w:p>
        </w:tc>
        <w:tc>
          <w:tcPr>
            <w:tcW w:w="851" w:type="dxa"/>
            <w:tcBorders>
              <w:bottom w:val="single" w:sz="12" w:space="0" w:color="auto"/>
            </w:tcBorders>
            <w:vAlign w:val="center"/>
          </w:tcPr>
          <w:p w14:paraId="4EFC8493" w14:textId="77777777" w:rsidR="00736C9F" w:rsidRPr="001F40A6" w:rsidRDefault="00736C9F" w:rsidP="006A5CB3">
            <w:pPr>
              <w:ind w:right="283"/>
              <w:jc w:val="center"/>
              <w:rPr>
                <w:color w:val="000000"/>
                <w:sz w:val="18"/>
                <w:szCs w:val="18"/>
                <w:lang w:val="en-US"/>
              </w:rPr>
            </w:pPr>
          </w:p>
        </w:tc>
      </w:tr>
    </w:tbl>
    <w:p w14:paraId="1DD398A2" w14:textId="77777777" w:rsidR="00736C9F" w:rsidRPr="001F40A6" w:rsidRDefault="00736C9F" w:rsidP="00736C9F">
      <w:pPr>
        <w:ind w:right="283"/>
        <w:rPr>
          <w:color w:val="000000"/>
          <w:sz w:val="18"/>
          <w:szCs w:val="18"/>
          <w:lang w:val="en-US"/>
        </w:rPr>
      </w:pPr>
    </w:p>
    <w:p w14:paraId="599330D4" w14:textId="77777777" w:rsidR="00736C9F" w:rsidRPr="001F40A6" w:rsidRDefault="00736C9F" w:rsidP="00736C9F">
      <w:pPr>
        <w:ind w:right="283"/>
        <w:rPr>
          <w:color w:val="000000"/>
          <w:sz w:val="18"/>
          <w:vertAlign w:val="superscript"/>
          <w:lang w:val="en-US"/>
        </w:rPr>
      </w:pPr>
      <w:r w:rsidRPr="001F40A6">
        <w:rPr>
          <w:color w:val="000000"/>
          <w:sz w:val="18"/>
          <w:szCs w:val="18"/>
          <w:lang w:val="en-US"/>
        </w:rPr>
        <w:t>Data are presented as N (%) or Median [interquartile range]</w:t>
      </w:r>
    </w:p>
    <w:p w14:paraId="7EC514C5" w14:textId="77777777" w:rsidR="00736C9F" w:rsidRPr="001F40A6" w:rsidRDefault="00736C9F" w:rsidP="00736C9F">
      <w:pPr>
        <w:ind w:right="283"/>
        <w:rPr>
          <w:color w:val="000000"/>
          <w:sz w:val="18"/>
          <w:lang w:val="en-US"/>
        </w:rPr>
      </w:pPr>
      <w:r w:rsidRPr="001F40A6">
        <w:rPr>
          <w:color w:val="000000"/>
          <w:sz w:val="18"/>
          <w:vertAlign w:val="superscript"/>
          <w:lang w:val="en-US"/>
        </w:rPr>
        <w:t xml:space="preserve">† </w:t>
      </w:r>
      <w:r w:rsidRPr="001F40A6">
        <w:rPr>
          <w:color w:val="000000"/>
          <w:sz w:val="18"/>
          <w:lang w:val="en-US"/>
        </w:rPr>
        <w:t>Number of missing observations, unless Ø</w:t>
      </w:r>
    </w:p>
    <w:p w14:paraId="69BACF03" w14:textId="77777777" w:rsidR="00736C9F" w:rsidRPr="001F40A6" w:rsidRDefault="00736C9F" w:rsidP="00736C9F">
      <w:pPr>
        <w:ind w:right="283"/>
        <w:rPr>
          <w:color w:val="000000"/>
          <w:sz w:val="18"/>
          <w:lang w:val="en-US"/>
        </w:rPr>
      </w:pPr>
      <w:r w:rsidRPr="001F40A6">
        <w:rPr>
          <w:color w:val="000000"/>
          <w:sz w:val="18"/>
          <w:lang w:val="en-US"/>
        </w:rPr>
        <w:t>*p&lt;0.05 between respiratory tract infection and no respiratory tract infection</w:t>
      </w:r>
    </w:p>
    <w:p w14:paraId="3EA49343" w14:textId="77777777" w:rsidR="00736C9F" w:rsidRPr="001F40A6" w:rsidRDefault="00736C9F" w:rsidP="00736C9F">
      <w:pPr>
        <w:ind w:right="283"/>
        <w:rPr>
          <w:color w:val="000000"/>
          <w:sz w:val="18"/>
          <w:lang w:val="en-US"/>
        </w:rPr>
      </w:pPr>
      <w:r w:rsidRPr="001F40A6">
        <w:rPr>
          <w:color w:val="000000"/>
          <w:sz w:val="18"/>
          <w:lang w:val="en-US"/>
        </w:rPr>
        <w:t xml:space="preserve">** p&lt;0.05 between viral, bacterial and [viral + bacterial] respiratory tract infection </w:t>
      </w:r>
    </w:p>
    <w:p w14:paraId="4AB23DC4" w14:textId="77777777" w:rsidR="00736C9F" w:rsidRPr="001F40A6" w:rsidRDefault="00736C9F" w:rsidP="00736C9F">
      <w:pPr>
        <w:ind w:right="283"/>
        <w:rPr>
          <w:color w:val="000000"/>
          <w:sz w:val="18"/>
          <w:lang w:val="en-US"/>
        </w:rPr>
      </w:pPr>
      <w:r w:rsidRPr="001F40A6">
        <w:rPr>
          <w:color w:val="000000"/>
          <w:sz w:val="18"/>
          <w:vertAlign w:val="superscript"/>
          <w:lang w:val="en-US"/>
        </w:rPr>
        <w:t>a</w:t>
      </w:r>
      <w:r w:rsidRPr="001F40A6">
        <w:rPr>
          <w:color w:val="000000"/>
          <w:sz w:val="18"/>
          <w:lang w:val="en-US"/>
        </w:rPr>
        <w:t xml:space="preserve"> 24/288 patients had a suspected respiratory tract infection without microbial identification or oropharyngeal flora</w:t>
      </w:r>
    </w:p>
    <w:p w14:paraId="32F86C89" w14:textId="77777777" w:rsidR="00736C9F" w:rsidRPr="001F40A6" w:rsidRDefault="00736C9F" w:rsidP="00736C9F">
      <w:pPr>
        <w:ind w:right="283"/>
        <w:rPr>
          <w:color w:val="000000"/>
          <w:sz w:val="18"/>
          <w:szCs w:val="18"/>
          <w:lang w:val="en-US"/>
        </w:rPr>
      </w:pPr>
      <w:r w:rsidRPr="001F40A6">
        <w:rPr>
          <w:color w:val="000000"/>
          <w:sz w:val="18"/>
          <w:lang w:val="en-US"/>
        </w:rPr>
        <w:t xml:space="preserve">ICU: intensive care unit; COPD: chronic obstructive pulmonary disease; GOLD: Global initiative for obstructive lung disease; NIV: non-invasive ventilation; NT-proBNP: NT-pro B-type natriuretic peptide; SAPS II: </w:t>
      </w:r>
      <w:r w:rsidRPr="001F40A6">
        <w:rPr>
          <w:color w:val="000000"/>
          <w:sz w:val="18"/>
          <w:szCs w:val="18"/>
          <w:lang w:val="en-US"/>
        </w:rPr>
        <w:t>Simplified Acute Physiology Score II</w:t>
      </w:r>
    </w:p>
    <w:p w14:paraId="2C876122" w14:textId="54357533" w:rsidR="00AC682B" w:rsidRPr="001F40A6" w:rsidRDefault="00AC682B" w:rsidP="00FF0863">
      <w:pPr>
        <w:spacing w:line="480" w:lineRule="auto"/>
        <w:ind w:right="283"/>
        <w:jc w:val="both"/>
        <w:rPr>
          <w:rFonts w:asciiTheme="majorBidi" w:hAnsiTheme="majorBidi" w:cstheme="majorBidi"/>
          <w:b/>
          <w:color w:val="000000"/>
          <w:lang w:val="en-US"/>
        </w:rPr>
      </w:pPr>
    </w:p>
    <w:p w14:paraId="329B11F7" w14:textId="2F61DA3E" w:rsidR="00050DEF" w:rsidRPr="001F40A6" w:rsidRDefault="00050DEF" w:rsidP="00FF0863">
      <w:pPr>
        <w:spacing w:line="480" w:lineRule="auto"/>
        <w:ind w:right="283"/>
        <w:jc w:val="both"/>
        <w:rPr>
          <w:rFonts w:asciiTheme="majorBidi" w:hAnsiTheme="majorBidi" w:cstheme="majorBidi"/>
          <w:b/>
          <w:color w:val="000000"/>
          <w:lang w:val="en-US"/>
        </w:rPr>
      </w:pPr>
    </w:p>
    <w:p w14:paraId="2B4349EE" w14:textId="6CB05450" w:rsidR="00FF0863" w:rsidRPr="001F40A6" w:rsidRDefault="00FF0863" w:rsidP="00FF0863">
      <w:pPr>
        <w:spacing w:line="480" w:lineRule="auto"/>
        <w:ind w:right="283"/>
        <w:jc w:val="both"/>
        <w:rPr>
          <w:rFonts w:asciiTheme="majorBidi" w:hAnsiTheme="majorBidi" w:cstheme="majorBidi"/>
          <w:bCs/>
          <w:color w:val="000000"/>
          <w:lang w:val="en-US"/>
        </w:rPr>
      </w:pPr>
      <w:r w:rsidRPr="001F40A6">
        <w:rPr>
          <w:rFonts w:asciiTheme="majorBidi" w:hAnsiTheme="majorBidi" w:cstheme="majorBidi"/>
          <w:b/>
          <w:color w:val="000000"/>
          <w:lang w:val="en-US"/>
        </w:rPr>
        <w:lastRenderedPageBreak/>
        <w:t>Table</w:t>
      </w:r>
      <w:r w:rsidR="009A51C8" w:rsidRPr="001F40A6">
        <w:rPr>
          <w:rFonts w:asciiTheme="majorBidi" w:hAnsiTheme="majorBidi" w:cstheme="majorBidi"/>
          <w:b/>
          <w:color w:val="000000"/>
          <w:lang w:val="en-US"/>
        </w:rPr>
        <w:t>-</w:t>
      </w:r>
      <w:r w:rsidR="00043729" w:rsidRPr="001F40A6">
        <w:rPr>
          <w:rFonts w:asciiTheme="majorBidi" w:hAnsiTheme="majorBidi" w:cstheme="majorBidi"/>
          <w:b/>
          <w:color w:val="000000"/>
          <w:lang w:val="en-US"/>
        </w:rPr>
        <w:t>S</w:t>
      </w:r>
      <w:r w:rsidR="00AC682B" w:rsidRPr="001F40A6">
        <w:rPr>
          <w:rFonts w:asciiTheme="majorBidi" w:hAnsiTheme="majorBidi" w:cstheme="majorBidi"/>
          <w:b/>
          <w:color w:val="000000"/>
          <w:lang w:val="en-US"/>
        </w:rPr>
        <w:t>2</w:t>
      </w:r>
      <w:r w:rsidRPr="001F40A6">
        <w:rPr>
          <w:rFonts w:asciiTheme="majorBidi" w:hAnsiTheme="majorBidi" w:cstheme="majorBidi"/>
          <w:b/>
          <w:color w:val="000000"/>
          <w:lang w:val="en-US"/>
        </w:rPr>
        <w:t xml:space="preserve">. </w:t>
      </w:r>
      <w:r w:rsidRPr="001F40A6">
        <w:rPr>
          <w:rFonts w:asciiTheme="majorBidi" w:hAnsiTheme="majorBidi" w:cstheme="majorBidi"/>
          <w:bCs/>
          <w:color w:val="000000"/>
          <w:lang w:val="en-US"/>
        </w:rPr>
        <w:t>Logistic regression analysis of predictive factors associated with respiratory tract infection as triggering factor of chronic obstructive pulmonary disease (COPD) exacerbation.</w:t>
      </w:r>
    </w:p>
    <w:tbl>
      <w:tblPr>
        <w:tblW w:w="10069" w:type="dxa"/>
        <w:tblLayout w:type="fixed"/>
        <w:tblCellMar>
          <w:left w:w="70" w:type="dxa"/>
          <w:right w:w="70" w:type="dxa"/>
        </w:tblCellMar>
        <w:tblLook w:val="04A0" w:firstRow="1" w:lastRow="0" w:firstColumn="1" w:lastColumn="0" w:noHBand="0" w:noVBand="1"/>
      </w:tblPr>
      <w:tblGrid>
        <w:gridCol w:w="161"/>
        <w:gridCol w:w="3950"/>
        <w:gridCol w:w="2132"/>
        <w:gridCol w:w="1135"/>
        <w:gridCol w:w="1694"/>
        <w:gridCol w:w="997"/>
      </w:tblGrid>
      <w:tr w:rsidR="00736C9F" w:rsidRPr="001F40A6" w14:paraId="37CC4A36" w14:textId="77777777" w:rsidTr="006A5CB3">
        <w:trPr>
          <w:trHeight w:val="297"/>
        </w:trPr>
        <w:tc>
          <w:tcPr>
            <w:tcW w:w="4111" w:type="dxa"/>
            <w:gridSpan w:val="2"/>
            <w:tcBorders>
              <w:top w:val="single" w:sz="12" w:space="0" w:color="auto"/>
              <w:bottom w:val="single" w:sz="12" w:space="0" w:color="auto"/>
            </w:tcBorders>
            <w:shd w:val="clear" w:color="auto" w:fill="auto"/>
            <w:noWrap/>
            <w:vAlign w:val="bottom"/>
            <w:hideMark/>
          </w:tcPr>
          <w:bookmarkEnd w:id="4"/>
          <w:p w14:paraId="3AF4A18D" w14:textId="77777777" w:rsidR="00736C9F" w:rsidRPr="001F40A6" w:rsidRDefault="00736C9F" w:rsidP="006A5CB3">
            <w:pPr>
              <w:ind w:right="283"/>
              <w:rPr>
                <w:b/>
                <w:bCs/>
                <w:color w:val="000000"/>
                <w:sz w:val="18"/>
                <w:szCs w:val="18"/>
                <w:lang w:val="en-US"/>
              </w:rPr>
            </w:pPr>
            <w:r w:rsidRPr="001F40A6">
              <w:rPr>
                <w:b/>
                <w:bCs/>
                <w:color w:val="000000"/>
                <w:sz w:val="18"/>
                <w:szCs w:val="18"/>
                <w:lang w:val="en-US"/>
              </w:rPr>
              <w:t>Variables </w:t>
            </w:r>
          </w:p>
          <w:p w14:paraId="55E663C1" w14:textId="77777777" w:rsidR="00736C9F" w:rsidRPr="001F40A6" w:rsidRDefault="00736C9F" w:rsidP="006A5CB3">
            <w:pPr>
              <w:ind w:right="283"/>
              <w:rPr>
                <w:b/>
                <w:bCs/>
                <w:color w:val="000000"/>
                <w:sz w:val="18"/>
                <w:szCs w:val="18"/>
                <w:lang w:val="en-US"/>
              </w:rPr>
            </w:pPr>
          </w:p>
        </w:tc>
        <w:tc>
          <w:tcPr>
            <w:tcW w:w="2132" w:type="dxa"/>
            <w:tcBorders>
              <w:top w:val="single" w:sz="12" w:space="0" w:color="auto"/>
              <w:bottom w:val="single" w:sz="12" w:space="0" w:color="auto"/>
            </w:tcBorders>
            <w:shd w:val="clear" w:color="auto" w:fill="auto"/>
            <w:noWrap/>
            <w:vAlign w:val="bottom"/>
            <w:hideMark/>
          </w:tcPr>
          <w:p w14:paraId="028DD289"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Univariable</w:t>
            </w:r>
          </w:p>
          <w:p w14:paraId="15D28912"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OR (95%CI)</w:t>
            </w:r>
          </w:p>
        </w:tc>
        <w:tc>
          <w:tcPr>
            <w:tcW w:w="1135" w:type="dxa"/>
            <w:tcBorders>
              <w:top w:val="single" w:sz="12" w:space="0" w:color="auto"/>
              <w:bottom w:val="single" w:sz="12" w:space="0" w:color="auto"/>
            </w:tcBorders>
            <w:shd w:val="clear" w:color="auto" w:fill="auto"/>
            <w:noWrap/>
            <w:vAlign w:val="bottom"/>
            <w:hideMark/>
          </w:tcPr>
          <w:p w14:paraId="48E12CF7" w14:textId="77777777" w:rsidR="00736C9F" w:rsidRPr="001F40A6" w:rsidRDefault="00736C9F" w:rsidP="006A5CB3">
            <w:pPr>
              <w:ind w:right="283"/>
              <w:jc w:val="center"/>
              <w:rPr>
                <w:color w:val="000000"/>
                <w:sz w:val="18"/>
                <w:szCs w:val="18"/>
                <w:lang w:val="en-US"/>
              </w:rPr>
            </w:pPr>
            <w:r w:rsidRPr="001F40A6">
              <w:rPr>
                <w:i/>
                <w:iCs/>
                <w:color w:val="000000"/>
                <w:sz w:val="18"/>
                <w:szCs w:val="18"/>
                <w:lang w:val="en-US"/>
              </w:rPr>
              <w:t xml:space="preserve">P </w:t>
            </w:r>
            <w:r w:rsidRPr="001F40A6">
              <w:rPr>
                <w:color w:val="000000"/>
                <w:sz w:val="18"/>
                <w:szCs w:val="18"/>
                <w:lang w:val="en-US"/>
              </w:rPr>
              <w:t>value</w:t>
            </w:r>
          </w:p>
          <w:p w14:paraId="0186DDC5" w14:textId="77777777" w:rsidR="00736C9F" w:rsidRPr="001F40A6" w:rsidRDefault="00736C9F" w:rsidP="006A5CB3">
            <w:pPr>
              <w:ind w:right="283"/>
              <w:jc w:val="center"/>
              <w:rPr>
                <w:color w:val="000000"/>
                <w:sz w:val="18"/>
                <w:szCs w:val="18"/>
                <w:lang w:val="en-US"/>
              </w:rPr>
            </w:pPr>
          </w:p>
        </w:tc>
        <w:tc>
          <w:tcPr>
            <w:tcW w:w="1694" w:type="dxa"/>
            <w:tcBorders>
              <w:top w:val="single" w:sz="12" w:space="0" w:color="auto"/>
              <w:bottom w:val="single" w:sz="12" w:space="0" w:color="auto"/>
            </w:tcBorders>
            <w:shd w:val="clear" w:color="auto" w:fill="auto"/>
            <w:noWrap/>
            <w:vAlign w:val="bottom"/>
            <w:hideMark/>
          </w:tcPr>
          <w:p w14:paraId="2DF68078"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Multivariable</w:t>
            </w:r>
          </w:p>
          <w:p w14:paraId="64AB5462"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OR (95%CI)</w:t>
            </w:r>
          </w:p>
        </w:tc>
        <w:tc>
          <w:tcPr>
            <w:tcW w:w="997" w:type="dxa"/>
            <w:tcBorders>
              <w:top w:val="single" w:sz="12" w:space="0" w:color="auto"/>
              <w:bottom w:val="single" w:sz="12" w:space="0" w:color="auto"/>
            </w:tcBorders>
            <w:shd w:val="clear" w:color="auto" w:fill="auto"/>
            <w:noWrap/>
            <w:vAlign w:val="bottom"/>
            <w:hideMark/>
          </w:tcPr>
          <w:p w14:paraId="1BD12250" w14:textId="77777777" w:rsidR="00736C9F" w:rsidRPr="001F40A6" w:rsidRDefault="00736C9F" w:rsidP="006A5CB3">
            <w:pPr>
              <w:ind w:right="283"/>
              <w:jc w:val="center"/>
              <w:rPr>
                <w:color w:val="000000"/>
                <w:sz w:val="18"/>
                <w:szCs w:val="18"/>
                <w:lang w:val="en-US"/>
              </w:rPr>
            </w:pPr>
            <w:r w:rsidRPr="001F40A6">
              <w:rPr>
                <w:i/>
                <w:iCs/>
                <w:color w:val="000000"/>
                <w:sz w:val="18"/>
                <w:szCs w:val="18"/>
                <w:lang w:val="en-US"/>
              </w:rPr>
              <w:t xml:space="preserve">P </w:t>
            </w:r>
            <w:r w:rsidRPr="001F40A6">
              <w:rPr>
                <w:color w:val="000000"/>
                <w:sz w:val="18"/>
                <w:szCs w:val="18"/>
                <w:lang w:val="en-US"/>
              </w:rPr>
              <w:t>value</w:t>
            </w:r>
          </w:p>
          <w:p w14:paraId="411E05AB" w14:textId="77777777" w:rsidR="00736C9F" w:rsidRPr="001F40A6" w:rsidRDefault="00736C9F" w:rsidP="006A5CB3">
            <w:pPr>
              <w:ind w:right="283"/>
              <w:jc w:val="center"/>
              <w:rPr>
                <w:color w:val="000000"/>
                <w:sz w:val="18"/>
                <w:szCs w:val="18"/>
                <w:lang w:val="en-US"/>
              </w:rPr>
            </w:pPr>
          </w:p>
        </w:tc>
      </w:tr>
      <w:tr w:rsidR="00736C9F" w:rsidRPr="001F40A6" w14:paraId="46ACB8B9" w14:textId="77777777" w:rsidTr="006A5CB3">
        <w:trPr>
          <w:trHeight w:val="285"/>
        </w:trPr>
        <w:tc>
          <w:tcPr>
            <w:tcW w:w="4111" w:type="dxa"/>
            <w:gridSpan w:val="2"/>
            <w:shd w:val="clear" w:color="auto" w:fill="F2F2F2" w:themeFill="background1" w:themeFillShade="F2"/>
            <w:noWrap/>
            <w:vAlign w:val="bottom"/>
            <w:hideMark/>
          </w:tcPr>
          <w:p w14:paraId="3347D255" w14:textId="77777777" w:rsidR="00736C9F" w:rsidRPr="001F40A6" w:rsidRDefault="00736C9F" w:rsidP="006A5CB3">
            <w:pPr>
              <w:ind w:right="283"/>
              <w:rPr>
                <w:b/>
                <w:color w:val="000000"/>
                <w:sz w:val="18"/>
                <w:szCs w:val="18"/>
                <w:lang w:val="en-US"/>
              </w:rPr>
            </w:pPr>
            <w:r w:rsidRPr="001F40A6">
              <w:rPr>
                <w:b/>
                <w:color w:val="000000"/>
                <w:sz w:val="18"/>
                <w:szCs w:val="18"/>
                <w:lang w:val="en-US"/>
              </w:rPr>
              <w:t xml:space="preserve">Clinical characteristics   </w:t>
            </w:r>
          </w:p>
        </w:tc>
        <w:tc>
          <w:tcPr>
            <w:tcW w:w="2132" w:type="dxa"/>
            <w:shd w:val="clear" w:color="auto" w:fill="F2F2F2" w:themeFill="background1" w:themeFillShade="F2"/>
            <w:noWrap/>
            <w:vAlign w:val="bottom"/>
          </w:tcPr>
          <w:p w14:paraId="655CE31D" w14:textId="77777777" w:rsidR="00736C9F" w:rsidRPr="001F40A6" w:rsidRDefault="00736C9F" w:rsidP="006A5CB3">
            <w:pPr>
              <w:ind w:right="283"/>
              <w:jc w:val="center"/>
              <w:rPr>
                <w:color w:val="000000"/>
                <w:sz w:val="18"/>
                <w:szCs w:val="18"/>
                <w:lang w:val="en-US"/>
              </w:rPr>
            </w:pPr>
          </w:p>
        </w:tc>
        <w:tc>
          <w:tcPr>
            <w:tcW w:w="1135" w:type="dxa"/>
            <w:shd w:val="clear" w:color="auto" w:fill="F2F2F2" w:themeFill="background1" w:themeFillShade="F2"/>
            <w:noWrap/>
            <w:vAlign w:val="bottom"/>
          </w:tcPr>
          <w:p w14:paraId="3781C061" w14:textId="77777777" w:rsidR="00736C9F" w:rsidRPr="001F40A6" w:rsidRDefault="00736C9F" w:rsidP="006A5CB3">
            <w:pPr>
              <w:ind w:right="283"/>
              <w:jc w:val="center"/>
              <w:rPr>
                <w:color w:val="000000"/>
                <w:sz w:val="18"/>
                <w:szCs w:val="18"/>
                <w:lang w:val="en-US"/>
              </w:rPr>
            </w:pPr>
          </w:p>
        </w:tc>
        <w:tc>
          <w:tcPr>
            <w:tcW w:w="1694" w:type="dxa"/>
            <w:shd w:val="clear" w:color="auto" w:fill="F2F2F2" w:themeFill="background1" w:themeFillShade="F2"/>
            <w:noWrap/>
            <w:vAlign w:val="bottom"/>
          </w:tcPr>
          <w:p w14:paraId="07BE11D9" w14:textId="77777777" w:rsidR="00736C9F" w:rsidRPr="001F40A6" w:rsidRDefault="00736C9F" w:rsidP="006A5CB3">
            <w:pPr>
              <w:ind w:right="283"/>
              <w:jc w:val="center"/>
              <w:rPr>
                <w:color w:val="000000"/>
                <w:sz w:val="18"/>
                <w:szCs w:val="18"/>
                <w:lang w:val="en-US"/>
              </w:rPr>
            </w:pPr>
          </w:p>
        </w:tc>
        <w:tc>
          <w:tcPr>
            <w:tcW w:w="997" w:type="dxa"/>
            <w:shd w:val="clear" w:color="auto" w:fill="F2F2F2" w:themeFill="background1" w:themeFillShade="F2"/>
            <w:noWrap/>
            <w:vAlign w:val="bottom"/>
          </w:tcPr>
          <w:p w14:paraId="21BF65AF" w14:textId="77777777" w:rsidR="00736C9F" w:rsidRPr="001F40A6" w:rsidRDefault="00736C9F" w:rsidP="006A5CB3">
            <w:pPr>
              <w:ind w:right="283"/>
              <w:jc w:val="center"/>
              <w:rPr>
                <w:color w:val="000000"/>
                <w:sz w:val="18"/>
                <w:szCs w:val="18"/>
                <w:lang w:val="en-US"/>
              </w:rPr>
            </w:pPr>
          </w:p>
        </w:tc>
      </w:tr>
      <w:tr w:rsidR="00736C9F" w:rsidRPr="001F40A6" w14:paraId="78018EC7" w14:textId="77777777" w:rsidTr="006A5CB3">
        <w:trPr>
          <w:trHeight w:val="285"/>
        </w:trPr>
        <w:tc>
          <w:tcPr>
            <w:tcW w:w="4111" w:type="dxa"/>
            <w:gridSpan w:val="2"/>
            <w:shd w:val="clear" w:color="auto" w:fill="auto"/>
            <w:noWrap/>
            <w:vAlign w:val="bottom"/>
          </w:tcPr>
          <w:p w14:paraId="6B377C5A"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Age, years (+ 1 year)</w:t>
            </w:r>
          </w:p>
        </w:tc>
        <w:tc>
          <w:tcPr>
            <w:tcW w:w="2132" w:type="dxa"/>
            <w:shd w:val="clear" w:color="auto" w:fill="auto"/>
            <w:noWrap/>
            <w:vAlign w:val="bottom"/>
          </w:tcPr>
          <w:p w14:paraId="4AAA7F28"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1.01 (0.99-1.03)</w:t>
            </w:r>
          </w:p>
        </w:tc>
        <w:tc>
          <w:tcPr>
            <w:tcW w:w="1135" w:type="dxa"/>
            <w:shd w:val="clear" w:color="auto" w:fill="auto"/>
            <w:noWrap/>
            <w:vAlign w:val="bottom"/>
          </w:tcPr>
          <w:p w14:paraId="09DD021E"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0.16</w:t>
            </w:r>
          </w:p>
        </w:tc>
        <w:tc>
          <w:tcPr>
            <w:tcW w:w="1694" w:type="dxa"/>
            <w:shd w:val="clear" w:color="auto" w:fill="auto"/>
            <w:noWrap/>
            <w:vAlign w:val="bottom"/>
          </w:tcPr>
          <w:p w14:paraId="7EA6F18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1.01 (0.99-1.04)</w:t>
            </w:r>
          </w:p>
        </w:tc>
        <w:tc>
          <w:tcPr>
            <w:tcW w:w="997" w:type="dxa"/>
            <w:shd w:val="clear" w:color="auto" w:fill="auto"/>
            <w:noWrap/>
            <w:vAlign w:val="bottom"/>
          </w:tcPr>
          <w:p w14:paraId="658D479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0.09</w:t>
            </w:r>
          </w:p>
        </w:tc>
      </w:tr>
      <w:tr w:rsidR="00736C9F" w:rsidRPr="001F40A6" w14:paraId="56831BF2" w14:textId="77777777" w:rsidTr="006A5CB3">
        <w:trPr>
          <w:trHeight w:val="285"/>
        </w:trPr>
        <w:tc>
          <w:tcPr>
            <w:tcW w:w="4111" w:type="dxa"/>
            <w:gridSpan w:val="2"/>
            <w:shd w:val="clear" w:color="auto" w:fill="auto"/>
            <w:noWrap/>
            <w:vAlign w:val="bottom"/>
          </w:tcPr>
          <w:p w14:paraId="6ECF5756"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Male sex</w:t>
            </w:r>
          </w:p>
        </w:tc>
        <w:tc>
          <w:tcPr>
            <w:tcW w:w="2132" w:type="dxa"/>
            <w:shd w:val="clear" w:color="auto" w:fill="auto"/>
            <w:noWrap/>
            <w:vAlign w:val="bottom"/>
          </w:tcPr>
          <w:p w14:paraId="23565F93"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1.16 (0.79-1.70)</w:t>
            </w:r>
          </w:p>
        </w:tc>
        <w:tc>
          <w:tcPr>
            <w:tcW w:w="1135" w:type="dxa"/>
            <w:shd w:val="clear" w:color="auto" w:fill="auto"/>
            <w:noWrap/>
            <w:vAlign w:val="bottom"/>
          </w:tcPr>
          <w:p w14:paraId="439D6271"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0.44</w:t>
            </w:r>
          </w:p>
        </w:tc>
        <w:tc>
          <w:tcPr>
            <w:tcW w:w="1694" w:type="dxa"/>
            <w:shd w:val="clear" w:color="auto" w:fill="auto"/>
            <w:noWrap/>
            <w:vAlign w:val="bottom"/>
          </w:tcPr>
          <w:p w14:paraId="07D6734E" w14:textId="77777777" w:rsidR="00736C9F" w:rsidRPr="001F40A6" w:rsidRDefault="00736C9F" w:rsidP="006A5CB3">
            <w:pPr>
              <w:ind w:right="283"/>
              <w:jc w:val="center"/>
              <w:rPr>
                <w:color w:val="000000"/>
                <w:sz w:val="18"/>
                <w:szCs w:val="18"/>
                <w:lang w:val="en-US"/>
              </w:rPr>
            </w:pPr>
          </w:p>
        </w:tc>
        <w:tc>
          <w:tcPr>
            <w:tcW w:w="997" w:type="dxa"/>
            <w:shd w:val="clear" w:color="auto" w:fill="auto"/>
            <w:noWrap/>
            <w:vAlign w:val="bottom"/>
          </w:tcPr>
          <w:p w14:paraId="49121A2D" w14:textId="77777777" w:rsidR="00736C9F" w:rsidRPr="001F40A6" w:rsidRDefault="00736C9F" w:rsidP="006A5CB3">
            <w:pPr>
              <w:ind w:right="283"/>
              <w:jc w:val="center"/>
              <w:rPr>
                <w:color w:val="000000"/>
                <w:sz w:val="18"/>
                <w:szCs w:val="18"/>
                <w:lang w:val="en-US"/>
              </w:rPr>
            </w:pPr>
          </w:p>
        </w:tc>
      </w:tr>
      <w:tr w:rsidR="00736C9F" w:rsidRPr="001F40A6" w14:paraId="1AA48C06" w14:textId="77777777" w:rsidTr="006A5CB3">
        <w:trPr>
          <w:trHeight w:val="285"/>
        </w:trPr>
        <w:tc>
          <w:tcPr>
            <w:tcW w:w="4111" w:type="dxa"/>
            <w:gridSpan w:val="2"/>
            <w:shd w:val="clear" w:color="auto" w:fill="auto"/>
            <w:noWrap/>
            <w:vAlign w:val="bottom"/>
          </w:tcPr>
          <w:p w14:paraId="7ED3E675"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Immunodeficiency</w:t>
            </w:r>
          </w:p>
        </w:tc>
        <w:tc>
          <w:tcPr>
            <w:tcW w:w="2132" w:type="dxa"/>
            <w:shd w:val="clear" w:color="auto" w:fill="auto"/>
            <w:noWrap/>
            <w:vAlign w:val="bottom"/>
          </w:tcPr>
          <w:p w14:paraId="223D04A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1.22 (0.78-1.92)</w:t>
            </w:r>
          </w:p>
        </w:tc>
        <w:tc>
          <w:tcPr>
            <w:tcW w:w="1135" w:type="dxa"/>
            <w:shd w:val="clear" w:color="auto" w:fill="auto"/>
            <w:noWrap/>
            <w:vAlign w:val="bottom"/>
          </w:tcPr>
          <w:p w14:paraId="19E82EB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0.39</w:t>
            </w:r>
          </w:p>
        </w:tc>
        <w:tc>
          <w:tcPr>
            <w:tcW w:w="1694" w:type="dxa"/>
            <w:shd w:val="clear" w:color="auto" w:fill="auto"/>
            <w:noWrap/>
            <w:vAlign w:val="bottom"/>
          </w:tcPr>
          <w:p w14:paraId="7B561213" w14:textId="77777777" w:rsidR="00736C9F" w:rsidRPr="001F40A6" w:rsidRDefault="00736C9F" w:rsidP="006A5CB3">
            <w:pPr>
              <w:ind w:right="283"/>
              <w:jc w:val="center"/>
              <w:rPr>
                <w:color w:val="000000"/>
                <w:sz w:val="18"/>
                <w:szCs w:val="18"/>
                <w:lang w:val="en-US"/>
              </w:rPr>
            </w:pPr>
          </w:p>
        </w:tc>
        <w:tc>
          <w:tcPr>
            <w:tcW w:w="997" w:type="dxa"/>
            <w:shd w:val="clear" w:color="auto" w:fill="auto"/>
            <w:noWrap/>
            <w:vAlign w:val="bottom"/>
          </w:tcPr>
          <w:p w14:paraId="3000680D" w14:textId="77777777" w:rsidR="00736C9F" w:rsidRPr="001F40A6" w:rsidRDefault="00736C9F" w:rsidP="006A5CB3">
            <w:pPr>
              <w:ind w:right="283"/>
              <w:jc w:val="center"/>
              <w:rPr>
                <w:color w:val="000000"/>
                <w:sz w:val="18"/>
                <w:szCs w:val="18"/>
                <w:lang w:val="en-US"/>
              </w:rPr>
            </w:pPr>
          </w:p>
        </w:tc>
      </w:tr>
      <w:tr w:rsidR="00736C9F" w:rsidRPr="001F40A6" w14:paraId="1E2CF8B4" w14:textId="77777777" w:rsidTr="006A5CB3">
        <w:trPr>
          <w:trHeight w:val="285"/>
        </w:trPr>
        <w:tc>
          <w:tcPr>
            <w:tcW w:w="4111" w:type="dxa"/>
            <w:gridSpan w:val="2"/>
            <w:shd w:val="clear" w:color="auto" w:fill="auto"/>
            <w:noWrap/>
            <w:vAlign w:val="bottom"/>
          </w:tcPr>
          <w:p w14:paraId="359C78BA" w14:textId="77777777" w:rsidR="00736C9F" w:rsidRPr="001F40A6" w:rsidRDefault="00736C9F" w:rsidP="006A5CB3">
            <w:pPr>
              <w:ind w:right="283"/>
              <w:rPr>
                <w:b/>
                <w:color w:val="000000"/>
                <w:sz w:val="18"/>
                <w:szCs w:val="18"/>
                <w:lang w:val="en-US"/>
              </w:rPr>
            </w:pPr>
            <w:r w:rsidRPr="001F40A6">
              <w:rPr>
                <w:color w:val="000000"/>
                <w:sz w:val="18"/>
                <w:szCs w:val="18"/>
                <w:lang w:val="en-US"/>
              </w:rPr>
              <w:t xml:space="preserve">   </w:t>
            </w:r>
            <w:r w:rsidRPr="001F40A6">
              <w:rPr>
                <w:b/>
                <w:color w:val="000000"/>
                <w:sz w:val="18"/>
                <w:szCs w:val="18"/>
                <w:lang w:val="en-US"/>
              </w:rPr>
              <w:t>Performans status (-1 point)</w:t>
            </w:r>
          </w:p>
        </w:tc>
        <w:tc>
          <w:tcPr>
            <w:tcW w:w="2132" w:type="dxa"/>
            <w:shd w:val="clear" w:color="auto" w:fill="auto"/>
            <w:noWrap/>
            <w:vAlign w:val="bottom"/>
          </w:tcPr>
          <w:p w14:paraId="4ED05A66"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0.80 (0.64-0.98)</w:t>
            </w:r>
          </w:p>
        </w:tc>
        <w:tc>
          <w:tcPr>
            <w:tcW w:w="1135" w:type="dxa"/>
            <w:shd w:val="clear" w:color="auto" w:fill="auto"/>
            <w:noWrap/>
            <w:vAlign w:val="bottom"/>
          </w:tcPr>
          <w:p w14:paraId="2A28EB4D"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0.04</w:t>
            </w:r>
          </w:p>
        </w:tc>
        <w:tc>
          <w:tcPr>
            <w:tcW w:w="1694" w:type="dxa"/>
            <w:shd w:val="clear" w:color="auto" w:fill="auto"/>
            <w:noWrap/>
            <w:vAlign w:val="bottom"/>
          </w:tcPr>
          <w:p w14:paraId="7ED7A031"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0.73 (0.58-0.93)</w:t>
            </w:r>
          </w:p>
        </w:tc>
        <w:tc>
          <w:tcPr>
            <w:tcW w:w="997" w:type="dxa"/>
            <w:shd w:val="clear" w:color="auto" w:fill="auto"/>
            <w:noWrap/>
            <w:vAlign w:val="bottom"/>
          </w:tcPr>
          <w:p w14:paraId="312972FC"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0.01</w:t>
            </w:r>
          </w:p>
        </w:tc>
      </w:tr>
      <w:tr w:rsidR="00736C9F" w:rsidRPr="001F40A6" w14:paraId="32C512A4" w14:textId="77777777" w:rsidTr="006A5CB3">
        <w:trPr>
          <w:trHeight w:val="285"/>
        </w:trPr>
        <w:tc>
          <w:tcPr>
            <w:tcW w:w="4111" w:type="dxa"/>
            <w:gridSpan w:val="2"/>
            <w:shd w:val="clear" w:color="auto" w:fill="auto"/>
            <w:noWrap/>
            <w:vAlign w:val="bottom"/>
          </w:tcPr>
          <w:p w14:paraId="3E4DCBFC" w14:textId="77777777" w:rsidR="00736C9F" w:rsidRPr="001F40A6" w:rsidRDefault="00736C9F" w:rsidP="006A5CB3">
            <w:pPr>
              <w:ind w:right="283"/>
              <w:rPr>
                <w:b/>
                <w:color w:val="000000"/>
                <w:sz w:val="18"/>
                <w:szCs w:val="18"/>
                <w:lang w:val="en-US"/>
              </w:rPr>
            </w:pPr>
            <w:r w:rsidRPr="001F40A6">
              <w:rPr>
                <w:color w:val="000000"/>
                <w:sz w:val="18"/>
                <w:szCs w:val="18"/>
                <w:lang w:val="en-US"/>
              </w:rPr>
              <w:t xml:space="preserve">   </w:t>
            </w:r>
            <w:r w:rsidRPr="001F40A6">
              <w:rPr>
                <w:b/>
                <w:color w:val="000000"/>
                <w:sz w:val="18"/>
                <w:szCs w:val="18"/>
                <w:lang w:val="en-US"/>
              </w:rPr>
              <w:t>COPD stage 3-4 (GOLD classification)</w:t>
            </w:r>
          </w:p>
        </w:tc>
        <w:tc>
          <w:tcPr>
            <w:tcW w:w="2132" w:type="dxa"/>
            <w:shd w:val="clear" w:color="auto" w:fill="auto"/>
            <w:noWrap/>
            <w:vAlign w:val="bottom"/>
          </w:tcPr>
          <w:p w14:paraId="49975E0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0.77 (0.51-1.14)</w:t>
            </w:r>
          </w:p>
        </w:tc>
        <w:tc>
          <w:tcPr>
            <w:tcW w:w="1135" w:type="dxa"/>
            <w:shd w:val="clear" w:color="auto" w:fill="auto"/>
            <w:noWrap/>
            <w:vAlign w:val="bottom"/>
          </w:tcPr>
          <w:p w14:paraId="4EFF50C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0.19</w:t>
            </w:r>
          </w:p>
        </w:tc>
        <w:tc>
          <w:tcPr>
            <w:tcW w:w="1694" w:type="dxa"/>
            <w:shd w:val="clear" w:color="auto" w:fill="auto"/>
            <w:noWrap/>
            <w:vAlign w:val="bottom"/>
          </w:tcPr>
          <w:p w14:paraId="33CB4733"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0.52 (0.34-0.78)</w:t>
            </w:r>
          </w:p>
        </w:tc>
        <w:tc>
          <w:tcPr>
            <w:tcW w:w="997" w:type="dxa"/>
            <w:shd w:val="clear" w:color="auto" w:fill="auto"/>
            <w:noWrap/>
            <w:vAlign w:val="bottom"/>
          </w:tcPr>
          <w:p w14:paraId="187745FF"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0.002</w:t>
            </w:r>
          </w:p>
        </w:tc>
      </w:tr>
      <w:tr w:rsidR="00736C9F" w:rsidRPr="001F40A6" w14:paraId="369BCE94" w14:textId="77777777" w:rsidTr="006A5CB3">
        <w:trPr>
          <w:trHeight w:val="285"/>
        </w:trPr>
        <w:tc>
          <w:tcPr>
            <w:tcW w:w="4111" w:type="dxa"/>
            <w:gridSpan w:val="2"/>
            <w:shd w:val="clear" w:color="auto" w:fill="auto"/>
            <w:noWrap/>
            <w:vAlign w:val="bottom"/>
          </w:tcPr>
          <w:p w14:paraId="4D68F099"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Chronic right heart failure</w:t>
            </w:r>
          </w:p>
        </w:tc>
        <w:tc>
          <w:tcPr>
            <w:tcW w:w="2132" w:type="dxa"/>
            <w:shd w:val="clear" w:color="auto" w:fill="auto"/>
            <w:noWrap/>
            <w:vAlign w:val="bottom"/>
          </w:tcPr>
          <w:p w14:paraId="4DE30150"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0.52 (0.35-0.76)</w:t>
            </w:r>
          </w:p>
        </w:tc>
        <w:tc>
          <w:tcPr>
            <w:tcW w:w="1135" w:type="dxa"/>
            <w:shd w:val="clear" w:color="auto" w:fill="auto"/>
            <w:noWrap/>
            <w:vAlign w:val="bottom"/>
          </w:tcPr>
          <w:p w14:paraId="18B62AD7"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&lt; 0.001</w:t>
            </w:r>
          </w:p>
        </w:tc>
        <w:tc>
          <w:tcPr>
            <w:tcW w:w="1694" w:type="dxa"/>
            <w:shd w:val="clear" w:color="auto" w:fill="auto"/>
            <w:noWrap/>
            <w:vAlign w:val="bottom"/>
          </w:tcPr>
          <w:p w14:paraId="1F96263E" w14:textId="77777777" w:rsidR="00736C9F" w:rsidRPr="001F40A6" w:rsidRDefault="00736C9F" w:rsidP="006A5CB3">
            <w:pPr>
              <w:ind w:right="283"/>
              <w:jc w:val="center"/>
              <w:rPr>
                <w:color w:val="000000"/>
                <w:sz w:val="18"/>
                <w:szCs w:val="18"/>
                <w:lang w:val="en-US"/>
              </w:rPr>
            </w:pPr>
          </w:p>
        </w:tc>
        <w:tc>
          <w:tcPr>
            <w:tcW w:w="997" w:type="dxa"/>
            <w:shd w:val="clear" w:color="auto" w:fill="auto"/>
            <w:noWrap/>
            <w:vAlign w:val="bottom"/>
          </w:tcPr>
          <w:p w14:paraId="5E45CB79" w14:textId="77777777" w:rsidR="00736C9F" w:rsidRPr="001F40A6" w:rsidRDefault="00736C9F" w:rsidP="006A5CB3">
            <w:pPr>
              <w:ind w:right="283"/>
              <w:jc w:val="center"/>
              <w:rPr>
                <w:color w:val="000000"/>
                <w:sz w:val="18"/>
                <w:szCs w:val="18"/>
                <w:lang w:val="en-US"/>
              </w:rPr>
            </w:pPr>
          </w:p>
        </w:tc>
      </w:tr>
      <w:tr w:rsidR="00736C9F" w:rsidRPr="001F40A6" w14:paraId="12330ED1" w14:textId="77777777" w:rsidTr="006A5CB3">
        <w:trPr>
          <w:trHeight w:val="285"/>
        </w:trPr>
        <w:tc>
          <w:tcPr>
            <w:tcW w:w="4111" w:type="dxa"/>
            <w:gridSpan w:val="2"/>
            <w:shd w:val="clear" w:color="auto" w:fill="auto"/>
            <w:noWrap/>
            <w:vAlign w:val="bottom"/>
          </w:tcPr>
          <w:p w14:paraId="1250D3A4"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Long-term oral corticosteroids therapy</w:t>
            </w:r>
          </w:p>
        </w:tc>
        <w:tc>
          <w:tcPr>
            <w:tcW w:w="2132" w:type="dxa"/>
            <w:shd w:val="clear" w:color="auto" w:fill="auto"/>
            <w:noWrap/>
            <w:vAlign w:val="bottom"/>
          </w:tcPr>
          <w:p w14:paraId="41D4062E"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0.98 (0.57-1.72)</w:t>
            </w:r>
          </w:p>
        </w:tc>
        <w:tc>
          <w:tcPr>
            <w:tcW w:w="1135" w:type="dxa"/>
            <w:shd w:val="clear" w:color="auto" w:fill="auto"/>
            <w:noWrap/>
            <w:vAlign w:val="bottom"/>
          </w:tcPr>
          <w:p w14:paraId="7DFDF71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0.95</w:t>
            </w:r>
          </w:p>
        </w:tc>
        <w:tc>
          <w:tcPr>
            <w:tcW w:w="1694" w:type="dxa"/>
            <w:shd w:val="clear" w:color="auto" w:fill="auto"/>
            <w:noWrap/>
            <w:vAlign w:val="bottom"/>
          </w:tcPr>
          <w:p w14:paraId="12FDFCAA" w14:textId="77777777" w:rsidR="00736C9F" w:rsidRPr="001F40A6" w:rsidRDefault="00736C9F" w:rsidP="006A5CB3">
            <w:pPr>
              <w:ind w:right="283"/>
              <w:jc w:val="center"/>
              <w:rPr>
                <w:color w:val="000000"/>
                <w:sz w:val="18"/>
                <w:szCs w:val="18"/>
                <w:lang w:val="en-US"/>
              </w:rPr>
            </w:pPr>
          </w:p>
        </w:tc>
        <w:tc>
          <w:tcPr>
            <w:tcW w:w="997" w:type="dxa"/>
            <w:shd w:val="clear" w:color="auto" w:fill="auto"/>
            <w:noWrap/>
            <w:vAlign w:val="bottom"/>
          </w:tcPr>
          <w:p w14:paraId="34D2B33E" w14:textId="77777777" w:rsidR="00736C9F" w:rsidRPr="001F40A6" w:rsidRDefault="00736C9F" w:rsidP="006A5CB3">
            <w:pPr>
              <w:ind w:right="283"/>
              <w:jc w:val="center"/>
              <w:rPr>
                <w:color w:val="000000"/>
                <w:sz w:val="18"/>
                <w:szCs w:val="18"/>
                <w:lang w:val="en-US"/>
              </w:rPr>
            </w:pPr>
          </w:p>
        </w:tc>
      </w:tr>
      <w:tr w:rsidR="00736C9F" w:rsidRPr="001F40A6" w14:paraId="69C3435E" w14:textId="77777777" w:rsidTr="006A5CB3">
        <w:trPr>
          <w:trHeight w:val="285"/>
        </w:trPr>
        <w:tc>
          <w:tcPr>
            <w:tcW w:w="4111" w:type="dxa"/>
            <w:gridSpan w:val="2"/>
            <w:shd w:val="clear" w:color="auto" w:fill="auto"/>
            <w:noWrap/>
            <w:vAlign w:val="bottom"/>
          </w:tcPr>
          <w:p w14:paraId="4BCC31BB"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Long-term oxygen therapy</w:t>
            </w:r>
          </w:p>
        </w:tc>
        <w:tc>
          <w:tcPr>
            <w:tcW w:w="2132" w:type="dxa"/>
            <w:shd w:val="clear" w:color="auto" w:fill="auto"/>
            <w:noWrap/>
            <w:vAlign w:val="bottom"/>
          </w:tcPr>
          <w:p w14:paraId="739CA98C"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0.68 (0.46-1.01)</w:t>
            </w:r>
          </w:p>
        </w:tc>
        <w:tc>
          <w:tcPr>
            <w:tcW w:w="1135" w:type="dxa"/>
            <w:shd w:val="clear" w:color="auto" w:fill="auto"/>
            <w:noWrap/>
            <w:vAlign w:val="bottom"/>
          </w:tcPr>
          <w:p w14:paraId="5C215F2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0.05</w:t>
            </w:r>
          </w:p>
        </w:tc>
        <w:tc>
          <w:tcPr>
            <w:tcW w:w="1694" w:type="dxa"/>
            <w:shd w:val="clear" w:color="auto" w:fill="auto"/>
            <w:noWrap/>
            <w:vAlign w:val="bottom"/>
          </w:tcPr>
          <w:p w14:paraId="074C991D" w14:textId="77777777" w:rsidR="00736C9F" w:rsidRPr="001F40A6" w:rsidRDefault="00736C9F" w:rsidP="006A5CB3">
            <w:pPr>
              <w:ind w:right="283"/>
              <w:jc w:val="center"/>
              <w:rPr>
                <w:color w:val="000000"/>
                <w:sz w:val="18"/>
                <w:szCs w:val="18"/>
                <w:lang w:val="en-US"/>
              </w:rPr>
            </w:pPr>
          </w:p>
        </w:tc>
        <w:tc>
          <w:tcPr>
            <w:tcW w:w="997" w:type="dxa"/>
            <w:shd w:val="clear" w:color="auto" w:fill="auto"/>
            <w:noWrap/>
            <w:vAlign w:val="bottom"/>
          </w:tcPr>
          <w:p w14:paraId="209AB29F" w14:textId="77777777" w:rsidR="00736C9F" w:rsidRPr="001F40A6" w:rsidRDefault="00736C9F" w:rsidP="006A5CB3">
            <w:pPr>
              <w:ind w:right="283"/>
              <w:jc w:val="center"/>
              <w:rPr>
                <w:color w:val="000000"/>
                <w:sz w:val="18"/>
                <w:szCs w:val="18"/>
                <w:lang w:val="en-US"/>
              </w:rPr>
            </w:pPr>
          </w:p>
        </w:tc>
      </w:tr>
      <w:tr w:rsidR="00736C9F" w:rsidRPr="001F40A6" w14:paraId="60A40903" w14:textId="77777777" w:rsidTr="006A5CB3">
        <w:trPr>
          <w:trHeight w:val="285"/>
        </w:trPr>
        <w:tc>
          <w:tcPr>
            <w:tcW w:w="4111" w:type="dxa"/>
            <w:gridSpan w:val="2"/>
            <w:shd w:val="clear" w:color="auto" w:fill="F2F2F2" w:themeFill="background1" w:themeFillShade="F2"/>
            <w:noWrap/>
            <w:vAlign w:val="bottom"/>
          </w:tcPr>
          <w:p w14:paraId="02FC638A" w14:textId="77777777" w:rsidR="00736C9F" w:rsidRPr="001F40A6" w:rsidRDefault="00736C9F" w:rsidP="006A5CB3">
            <w:pPr>
              <w:ind w:right="283"/>
              <w:rPr>
                <w:b/>
                <w:color w:val="000000"/>
                <w:sz w:val="18"/>
                <w:szCs w:val="18"/>
                <w:lang w:val="en-US"/>
              </w:rPr>
            </w:pPr>
            <w:r w:rsidRPr="001F40A6">
              <w:rPr>
                <w:b/>
                <w:color w:val="000000"/>
                <w:sz w:val="18"/>
                <w:szCs w:val="18"/>
                <w:lang w:val="en-US"/>
              </w:rPr>
              <w:t>Vitals parameters at ICU admission</w:t>
            </w:r>
          </w:p>
        </w:tc>
        <w:tc>
          <w:tcPr>
            <w:tcW w:w="2132" w:type="dxa"/>
            <w:shd w:val="clear" w:color="auto" w:fill="F2F2F2" w:themeFill="background1" w:themeFillShade="F2"/>
            <w:noWrap/>
            <w:vAlign w:val="bottom"/>
          </w:tcPr>
          <w:p w14:paraId="27835850" w14:textId="77777777" w:rsidR="00736C9F" w:rsidRPr="001F40A6" w:rsidRDefault="00736C9F" w:rsidP="006A5CB3">
            <w:pPr>
              <w:ind w:right="283"/>
              <w:jc w:val="center"/>
              <w:rPr>
                <w:color w:val="000000"/>
                <w:sz w:val="18"/>
                <w:szCs w:val="18"/>
                <w:lang w:val="en-US"/>
              </w:rPr>
            </w:pPr>
          </w:p>
        </w:tc>
        <w:tc>
          <w:tcPr>
            <w:tcW w:w="1135" w:type="dxa"/>
            <w:shd w:val="clear" w:color="auto" w:fill="F2F2F2" w:themeFill="background1" w:themeFillShade="F2"/>
            <w:noWrap/>
            <w:vAlign w:val="bottom"/>
          </w:tcPr>
          <w:p w14:paraId="74DFAADC" w14:textId="77777777" w:rsidR="00736C9F" w:rsidRPr="001F40A6" w:rsidRDefault="00736C9F" w:rsidP="006A5CB3">
            <w:pPr>
              <w:ind w:right="283"/>
              <w:jc w:val="center"/>
              <w:rPr>
                <w:color w:val="000000"/>
                <w:sz w:val="18"/>
                <w:szCs w:val="18"/>
                <w:lang w:val="en-US"/>
              </w:rPr>
            </w:pPr>
          </w:p>
        </w:tc>
        <w:tc>
          <w:tcPr>
            <w:tcW w:w="1694" w:type="dxa"/>
            <w:shd w:val="clear" w:color="auto" w:fill="F2F2F2" w:themeFill="background1" w:themeFillShade="F2"/>
            <w:noWrap/>
            <w:vAlign w:val="bottom"/>
          </w:tcPr>
          <w:p w14:paraId="43AABACC" w14:textId="77777777" w:rsidR="00736C9F" w:rsidRPr="001F40A6" w:rsidRDefault="00736C9F" w:rsidP="006A5CB3">
            <w:pPr>
              <w:ind w:right="283"/>
              <w:jc w:val="center"/>
              <w:rPr>
                <w:color w:val="000000"/>
                <w:sz w:val="18"/>
                <w:szCs w:val="18"/>
                <w:lang w:val="en-US"/>
              </w:rPr>
            </w:pPr>
          </w:p>
        </w:tc>
        <w:tc>
          <w:tcPr>
            <w:tcW w:w="997" w:type="dxa"/>
            <w:shd w:val="clear" w:color="auto" w:fill="F2F2F2" w:themeFill="background1" w:themeFillShade="F2"/>
            <w:noWrap/>
            <w:vAlign w:val="bottom"/>
          </w:tcPr>
          <w:p w14:paraId="07CD0E23" w14:textId="77777777" w:rsidR="00736C9F" w:rsidRPr="001F40A6" w:rsidRDefault="00736C9F" w:rsidP="006A5CB3">
            <w:pPr>
              <w:ind w:right="283"/>
              <w:jc w:val="center"/>
              <w:rPr>
                <w:color w:val="000000"/>
                <w:sz w:val="18"/>
                <w:szCs w:val="18"/>
                <w:lang w:val="en-US"/>
              </w:rPr>
            </w:pPr>
          </w:p>
        </w:tc>
      </w:tr>
      <w:tr w:rsidR="00736C9F" w:rsidRPr="001F40A6" w14:paraId="79D8E6BA" w14:textId="77777777" w:rsidTr="006A5CB3">
        <w:trPr>
          <w:trHeight w:val="285"/>
        </w:trPr>
        <w:tc>
          <w:tcPr>
            <w:tcW w:w="4111" w:type="dxa"/>
            <w:gridSpan w:val="2"/>
            <w:shd w:val="clear" w:color="auto" w:fill="auto"/>
            <w:noWrap/>
            <w:vAlign w:val="bottom"/>
            <w:hideMark/>
          </w:tcPr>
          <w:p w14:paraId="0FFAB00E" w14:textId="77777777" w:rsidR="00736C9F" w:rsidRPr="001F40A6" w:rsidRDefault="00736C9F" w:rsidP="006A5CB3">
            <w:pPr>
              <w:ind w:right="283"/>
              <w:rPr>
                <w:b/>
                <w:color w:val="000000"/>
                <w:sz w:val="18"/>
                <w:szCs w:val="18"/>
                <w:lang w:val="en-US"/>
              </w:rPr>
            </w:pPr>
            <w:r w:rsidRPr="001F40A6">
              <w:rPr>
                <w:color w:val="000000"/>
                <w:sz w:val="18"/>
                <w:szCs w:val="18"/>
                <w:lang w:val="en-US"/>
              </w:rPr>
              <w:t xml:space="preserve">   </w:t>
            </w:r>
            <w:r w:rsidRPr="001F40A6">
              <w:rPr>
                <w:b/>
                <w:color w:val="000000"/>
                <w:sz w:val="18"/>
                <w:szCs w:val="18"/>
                <w:lang w:val="en-US"/>
              </w:rPr>
              <w:t>Temperature (+ 1 °C)</w:t>
            </w:r>
          </w:p>
        </w:tc>
        <w:tc>
          <w:tcPr>
            <w:tcW w:w="2132" w:type="dxa"/>
            <w:shd w:val="clear" w:color="auto" w:fill="auto"/>
            <w:noWrap/>
            <w:vAlign w:val="bottom"/>
          </w:tcPr>
          <w:p w14:paraId="1F40B525"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1.44 (1.19-1.77)</w:t>
            </w:r>
          </w:p>
        </w:tc>
        <w:tc>
          <w:tcPr>
            <w:tcW w:w="1135" w:type="dxa"/>
            <w:shd w:val="clear" w:color="auto" w:fill="auto"/>
            <w:noWrap/>
            <w:vAlign w:val="bottom"/>
          </w:tcPr>
          <w:p w14:paraId="10721ECA"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&lt; 0.001</w:t>
            </w:r>
          </w:p>
        </w:tc>
        <w:tc>
          <w:tcPr>
            <w:tcW w:w="1694" w:type="dxa"/>
            <w:shd w:val="clear" w:color="auto" w:fill="auto"/>
            <w:noWrap/>
            <w:vAlign w:val="bottom"/>
          </w:tcPr>
          <w:p w14:paraId="0513F6C4"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1.43 (1.16-1.78)</w:t>
            </w:r>
          </w:p>
        </w:tc>
        <w:tc>
          <w:tcPr>
            <w:tcW w:w="997" w:type="dxa"/>
            <w:shd w:val="clear" w:color="auto" w:fill="auto"/>
            <w:noWrap/>
            <w:vAlign w:val="bottom"/>
          </w:tcPr>
          <w:p w14:paraId="69EE6656"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0.008</w:t>
            </w:r>
          </w:p>
        </w:tc>
      </w:tr>
      <w:tr w:rsidR="00736C9F" w:rsidRPr="001F40A6" w14:paraId="40FF9171" w14:textId="77777777" w:rsidTr="006A5CB3">
        <w:trPr>
          <w:trHeight w:val="285"/>
        </w:trPr>
        <w:tc>
          <w:tcPr>
            <w:tcW w:w="4111" w:type="dxa"/>
            <w:gridSpan w:val="2"/>
            <w:shd w:val="clear" w:color="auto" w:fill="auto"/>
            <w:noWrap/>
            <w:vAlign w:val="bottom"/>
          </w:tcPr>
          <w:p w14:paraId="11186695"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Mean arterial pressure (+ 10 mmHg)</w:t>
            </w:r>
          </w:p>
        </w:tc>
        <w:tc>
          <w:tcPr>
            <w:tcW w:w="2132" w:type="dxa"/>
            <w:shd w:val="clear" w:color="auto" w:fill="auto"/>
            <w:noWrap/>
            <w:vAlign w:val="bottom"/>
          </w:tcPr>
          <w:p w14:paraId="7024231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0.94 (0.85-1.05)</w:t>
            </w:r>
          </w:p>
        </w:tc>
        <w:tc>
          <w:tcPr>
            <w:tcW w:w="1135" w:type="dxa"/>
            <w:shd w:val="clear" w:color="auto" w:fill="auto"/>
            <w:noWrap/>
            <w:vAlign w:val="bottom"/>
          </w:tcPr>
          <w:p w14:paraId="356315B4"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0.27</w:t>
            </w:r>
          </w:p>
        </w:tc>
        <w:tc>
          <w:tcPr>
            <w:tcW w:w="1694" w:type="dxa"/>
            <w:shd w:val="clear" w:color="auto" w:fill="auto"/>
            <w:noWrap/>
            <w:vAlign w:val="bottom"/>
          </w:tcPr>
          <w:p w14:paraId="3544670B" w14:textId="77777777" w:rsidR="00736C9F" w:rsidRPr="001F40A6" w:rsidRDefault="00736C9F" w:rsidP="006A5CB3">
            <w:pPr>
              <w:ind w:right="283"/>
              <w:jc w:val="center"/>
              <w:rPr>
                <w:color w:val="000000"/>
                <w:sz w:val="18"/>
                <w:szCs w:val="18"/>
                <w:lang w:val="en-US"/>
              </w:rPr>
            </w:pPr>
          </w:p>
        </w:tc>
        <w:tc>
          <w:tcPr>
            <w:tcW w:w="997" w:type="dxa"/>
            <w:shd w:val="clear" w:color="auto" w:fill="auto"/>
            <w:noWrap/>
            <w:vAlign w:val="bottom"/>
          </w:tcPr>
          <w:p w14:paraId="1C31E3DF" w14:textId="77777777" w:rsidR="00736C9F" w:rsidRPr="001F40A6" w:rsidRDefault="00736C9F" w:rsidP="006A5CB3">
            <w:pPr>
              <w:ind w:right="283"/>
              <w:jc w:val="center"/>
              <w:rPr>
                <w:color w:val="000000"/>
                <w:sz w:val="18"/>
                <w:szCs w:val="18"/>
                <w:lang w:val="en-US"/>
              </w:rPr>
            </w:pPr>
          </w:p>
        </w:tc>
      </w:tr>
      <w:tr w:rsidR="00736C9F" w:rsidRPr="001F40A6" w14:paraId="7DCEA91C" w14:textId="77777777" w:rsidTr="006A5CB3">
        <w:trPr>
          <w:trHeight w:val="285"/>
        </w:trPr>
        <w:tc>
          <w:tcPr>
            <w:tcW w:w="4111" w:type="dxa"/>
            <w:gridSpan w:val="2"/>
            <w:shd w:val="clear" w:color="auto" w:fill="auto"/>
            <w:noWrap/>
            <w:vAlign w:val="bottom"/>
          </w:tcPr>
          <w:p w14:paraId="277B7511"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Heart rate (+ 10 /min)</w:t>
            </w:r>
          </w:p>
        </w:tc>
        <w:tc>
          <w:tcPr>
            <w:tcW w:w="2132" w:type="dxa"/>
            <w:shd w:val="clear" w:color="auto" w:fill="auto"/>
            <w:noWrap/>
            <w:vAlign w:val="bottom"/>
          </w:tcPr>
          <w:p w14:paraId="4646DEEC"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1.05 (0.97-1.15)</w:t>
            </w:r>
          </w:p>
        </w:tc>
        <w:tc>
          <w:tcPr>
            <w:tcW w:w="1135" w:type="dxa"/>
            <w:shd w:val="clear" w:color="auto" w:fill="auto"/>
            <w:noWrap/>
            <w:vAlign w:val="bottom"/>
          </w:tcPr>
          <w:p w14:paraId="27E2E418"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0.22</w:t>
            </w:r>
          </w:p>
        </w:tc>
        <w:tc>
          <w:tcPr>
            <w:tcW w:w="1694" w:type="dxa"/>
            <w:shd w:val="clear" w:color="auto" w:fill="auto"/>
            <w:noWrap/>
            <w:vAlign w:val="bottom"/>
          </w:tcPr>
          <w:p w14:paraId="465536D3" w14:textId="77777777" w:rsidR="00736C9F" w:rsidRPr="001F40A6" w:rsidRDefault="00736C9F" w:rsidP="006A5CB3">
            <w:pPr>
              <w:ind w:right="283"/>
              <w:jc w:val="center"/>
              <w:rPr>
                <w:color w:val="000000"/>
                <w:sz w:val="18"/>
                <w:szCs w:val="18"/>
                <w:lang w:val="en-US"/>
              </w:rPr>
            </w:pPr>
          </w:p>
        </w:tc>
        <w:tc>
          <w:tcPr>
            <w:tcW w:w="997" w:type="dxa"/>
            <w:shd w:val="clear" w:color="auto" w:fill="auto"/>
            <w:noWrap/>
            <w:vAlign w:val="bottom"/>
          </w:tcPr>
          <w:p w14:paraId="4E2508C7" w14:textId="77777777" w:rsidR="00736C9F" w:rsidRPr="001F40A6" w:rsidRDefault="00736C9F" w:rsidP="006A5CB3">
            <w:pPr>
              <w:ind w:right="283"/>
              <w:jc w:val="center"/>
              <w:rPr>
                <w:color w:val="000000"/>
                <w:sz w:val="18"/>
                <w:szCs w:val="18"/>
                <w:lang w:val="en-US"/>
              </w:rPr>
            </w:pPr>
          </w:p>
        </w:tc>
      </w:tr>
      <w:tr w:rsidR="00736C9F" w:rsidRPr="001F40A6" w14:paraId="788E9383" w14:textId="77777777" w:rsidTr="006A5CB3">
        <w:trPr>
          <w:trHeight w:val="285"/>
        </w:trPr>
        <w:tc>
          <w:tcPr>
            <w:tcW w:w="4111" w:type="dxa"/>
            <w:gridSpan w:val="2"/>
            <w:shd w:val="clear" w:color="auto" w:fill="auto"/>
            <w:noWrap/>
            <w:vAlign w:val="bottom"/>
          </w:tcPr>
          <w:p w14:paraId="7C3A89CF"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Respiratory rate (+ 5 cycles/min)</w:t>
            </w:r>
          </w:p>
        </w:tc>
        <w:tc>
          <w:tcPr>
            <w:tcW w:w="2132" w:type="dxa"/>
            <w:shd w:val="clear" w:color="auto" w:fill="auto"/>
            <w:noWrap/>
            <w:vAlign w:val="bottom"/>
          </w:tcPr>
          <w:p w14:paraId="6CC5C71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1.14 (0.98-1.32)</w:t>
            </w:r>
          </w:p>
        </w:tc>
        <w:tc>
          <w:tcPr>
            <w:tcW w:w="1135" w:type="dxa"/>
            <w:shd w:val="clear" w:color="auto" w:fill="auto"/>
            <w:noWrap/>
            <w:vAlign w:val="bottom"/>
          </w:tcPr>
          <w:p w14:paraId="7A7428D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0.09</w:t>
            </w:r>
          </w:p>
        </w:tc>
        <w:tc>
          <w:tcPr>
            <w:tcW w:w="1694" w:type="dxa"/>
            <w:shd w:val="clear" w:color="auto" w:fill="auto"/>
            <w:noWrap/>
            <w:vAlign w:val="bottom"/>
          </w:tcPr>
          <w:p w14:paraId="55502F80" w14:textId="77777777" w:rsidR="00736C9F" w:rsidRPr="001F40A6" w:rsidRDefault="00736C9F" w:rsidP="006A5CB3">
            <w:pPr>
              <w:ind w:right="283"/>
              <w:jc w:val="center"/>
              <w:rPr>
                <w:color w:val="000000"/>
                <w:sz w:val="18"/>
                <w:szCs w:val="18"/>
                <w:lang w:val="en-US"/>
              </w:rPr>
            </w:pPr>
          </w:p>
        </w:tc>
        <w:tc>
          <w:tcPr>
            <w:tcW w:w="997" w:type="dxa"/>
            <w:shd w:val="clear" w:color="auto" w:fill="auto"/>
            <w:noWrap/>
            <w:vAlign w:val="bottom"/>
          </w:tcPr>
          <w:p w14:paraId="003B2888" w14:textId="77777777" w:rsidR="00736C9F" w:rsidRPr="001F40A6" w:rsidRDefault="00736C9F" w:rsidP="006A5CB3">
            <w:pPr>
              <w:ind w:right="283"/>
              <w:jc w:val="center"/>
              <w:rPr>
                <w:color w:val="000000"/>
                <w:sz w:val="18"/>
                <w:szCs w:val="18"/>
                <w:lang w:val="en-US"/>
              </w:rPr>
            </w:pPr>
          </w:p>
        </w:tc>
      </w:tr>
      <w:tr w:rsidR="00736C9F" w:rsidRPr="001F40A6" w14:paraId="50C28539" w14:textId="77777777" w:rsidTr="006A5CB3">
        <w:trPr>
          <w:trHeight w:val="285"/>
        </w:trPr>
        <w:tc>
          <w:tcPr>
            <w:tcW w:w="4111" w:type="dxa"/>
            <w:gridSpan w:val="2"/>
            <w:shd w:val="clear" w:color="auto" w:fill="F2F2F2" w:themeFill="background1" w:themeFillShade="F2"/>
            <w:noWrap/>
            <w:vAlign w:val="bottom"/>
          </w:tcPr>
          <w:p w14:paraId="10BE0BF2" w14:textId="77777777" w:rsidR="00736C9F" w:rsidRPr="001F40A6" w:rsidRDefault="00736C9F" w:rsidP="006A5CB3">
            <w:pPr>
              <w:ind w:right="283"/>
              <w:rPr>
                <w:b/>
                <w:color w:val="000000"/>
                <w:sz w:val="18"/>
                <w:szCs w:val="18"/>
                <w:lang w:val="en-US"/>
              </w:rPr>
            </w:pPr>
            <w:r w:rsidRPr="001F40A6">
              <w:rPr>
                <w:b/>
                <w:color w:val="000000"/>
                <w:sz w:val="18"/>
                <w:szCs w:val="18"/>
                <w:lang w:val="en-US"/>
              </w:rPr>
              <w:t>Arterial blood gas parameters</w:t>
            </w:r>
          </w:p>
        </w:tc>
        <w:tc>
          <w:tcPr>
            <w:tcW w:w="2132" w:type="dxa"/>
            <w:shd w:val="clear" w:color="auto" w:fill="F2F2F2" w:themeFill="background1" w:themeFillShade="F2"/>
            <w:noWrap/>
            <w:vAlign w:val="bottom"/>
          </w:tcPr>
          <w:p w14:paraId="65DCEE72" w14:textId="77777777" w:rsidR="00736C9F" w:rsidRPr="001F40A6" w:rsidRDefault="00736C9F" w:rsidP="006A5CB3">
            <w:pPr>
              <w:ind w:right="283"/>
              <w:jc w:val="center"/>
              <w:rPr>
                <w:color w:val="000000"/>
                <w:sz w:val="18"/>
                <w:szCs w:val="18"/>
                <w:lang w:val="en-US"/>
              </w:rPr>
            </w:pPr>
          </w:p>
        </w:tc>
        <w:tc>
          <w:tcPr>
            <w:tcW w:w="1135" w:type="dxa"/>
            <w:shd w:val="clear" w:color="auto" w:fill="F2F2F2" w:themeFill="background1" w:themeFillShade="F2"/>
            <w:noWrap/>
            <w:vAlign w:val="bottom"/>
          </w:tcPr>
          <w:p w14:paraId="67B479B5" w14:textId="77777777" w:rsidR="00736C9F" w:rsidRPr="001F40A6" w:rsidRDefault="00736C9F" w:rsidP="006A5CB3">
            <w:pPr>
              <w:ind w:right="283"/>
              <w:jc w:val="center"/>
              <w:rPr>
                <w:color w:val="000000"/>
                <w:sz w:val="18"/>
                <w:szCs w:val="18"/>
                <w:lang w:val="en-US"/>
              </w:rPr>
            </w:pPr>
          </w:p>
        </w:tc>
        <w:tc>
          <w:tcPr>
            <w:tcW w:w="1694" w:type="dxa"/>
            <w:shd w:val="clear" w:color="auto" w:fill="F2F2F2" w:themeFill="background1" w:themeFillShade="F2"/>
            <w:noWrap/>
            <w:vAlign w:val="bottom"/>
          </w:tcPr>
          <w:p w14:paraId="11ADFCFB" w14:textId="77777777" w:rsidR="00736C9F" w:rsidRPr="001F40A6" w:rsidRDefault="00736C9F" w:rsidP="006A5CB3">
            <w:pPr>
              <w:ind w:right="283"/>
              <w:jc w:val="center"/>
              <w:rPr>
                <w:color w:val="000000"/>
                <w:sz w:val="18"/>
                <w:szCs w:val="18"/>
                <w:lang w:val="en-US"/>
              </w:rPr>
            </w:pPr>
          </w:p>
        </w:tc>
        <w:tc>
          <w:tcPr>
            <w:tcW w:w="997" w:type="dxa"/>
            <w:shd w:val="clear" w:color="auto" w:fill="F2F2F2" w:themeFill="background1" w:themeFillShade="F2"/>
            <w:noWrap/>
            <w:vAlign w:val="bottom"/>
          </w:tcPr>
          <w:p w14:paraId="5ACEF60F" w14:textId="77777777" w:rsidR="00736C9F" w:rsidRPr="001F40A6" w:rsidRDefault="00736C9F" w:rsidP="006A5CB3">
            <w:pPr>
              <w:ind w:right="283"/>
              <w:jc w:val="center"/>
              <w:rPr>
                <w:color w:val="000000"/>
                <w:sz w:val="18"/>
                <w:szCs w:val="18"/>
                <w:lang w:val="en-US"/>
              </w:rPr>
            </w:pPr>
          </w:p>
        </w:tc>
      </w:tr>
      <w:tr w:rsidR="00736C9F" w:rsidRPr="001F40A6" w14:paraId="6E426B33" w14:textId="77777777" w:rsidTr="006A5CB3">
        <w:trPr>
          <w:trHeight w:val="285"/>
        </w:trPr>
        <w:tc>
          <w:tcPr>
            <w:tcW w:w="4111" w:type="dxa"/>
            <w:gridSpan w:val="2"/>
            <w:shd w:val="clear" w:color="auto" w:fill="auto"/>
            <w:noWrap/>
            <w:vAlign w:val="bottom"/>
          </w:tcPr>
          <w:p w14:paraId="517DCB80" w14:textId="77777777" w:rsidR="00736C9F" w:rsidRPr="001F40A6" w:rsidRDefault="00736C9F" w:rsidP="006A5CB3">
            <w:pPr>
              <w:ind w:right="283"/>
              <w:rPr>
                <w:b/>
                <w:color w:val="000000"/>
                <w:sz w:val="18"/>
                <w:szCs w:val="18"/>
                <w:lang w:val="en-US"/>
              </w:rPr>
            </w:pPr>
            <w:r w:rsidRPr="001F40A6">
              <w:rPr>
                <w:color w:val="000000"/>
                <w:sz w:val="18"/>
                <w:szCs w:val="18"/>
                <w:lang w:val="en-US"/>
              </w:rPr>
              <w:t xml:space="preserve">   pH (+ 0.1 unit)</w:t>
            </w:r>
          </w:p>
        </w:tc>
        <w:tc>
          <w:tcPr>
            <w:tcW w:w="2132" w:type="dxa"/>
            <w:shd w:val="clear" w:color="auto" w:fill="auto"/>
            <w:noWrap/>
            <w:vAlign w:val="bottom"/>
          </w:tcPr>
          <w:p w14:paraId="61F4C7A3"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0.98 (0.81-1.19)</w:t>
            </w:r>
          </w:p>
        </w:tc>
        <w:tc>
          <w:tcPr>
            <w:tcW w:w="1135" w:type="dxa"/>
            <w:shd w:val="clear" w:color="auto" w:fill="auto"/>
            <w:noWrap/>
            <w:vAlign w:val="bottom"/>
          </w:tcPr>
          <w:p w14:paraId="069BA5C4"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0.85</w:t>
            </w:r>
          </w:p>
        </w:tc>
        <w:tc>
          <w:tcPr>
            <w:tcW w:w="1694" w:type="dxa"/>
            <w:shd w:val="clear" w:color="auto" w:fill="auto"/>
            <w:noWrap/>
            <w:vAlign w:val="bottom"/>
          </w:tcPr>
          <w:p w14:paraId="1C32F2BF" w14:textId="77777777" w:rsidR="00736C9F" w:rsidRPr="001F40A6" w:rsidRDefault="00736C9F" w:rsidP="006A5CB3">
            <w:pPr>
              <w:ind w:right="283"/>
              <w:jc w:val="center"/>
              <w:rPr>
                <w:color w:val="000000"/>
                <w:sz w:val="18"/>
                <w:szCs w:val="18"/>
                <w:lang w:val="en-US"/>
              </w:rPr>
            </w:pPr>
          </w:p>
        </w:tc>
        <w:tc>
          <w:tcPr>
            <w:tcW w:w="997" w:type="dxa"/>
            <w:shd w:val="clear" w:color="auto" w:fill="auto"/>
            <w:noWrap/>
            <w:vAlign w:val="bottom"/>
          </w:tcPr>
          <w:p w14:paraId="6997591C" w14:textId="77777777" w:rsidR="00736C9F" w:rsidRPr="001F40A6" w:rsidRDefault="00736C9F" w:rsidP="006A5CB3">
            <w:pPr>
              <w:ind w:right="283"/>
              <w:jc w:val="center"/>
              <w:rPr>
                <w:color w:val="000000"/>
                <w:sz w:val="18"/>
                <w:szCs w:val="18"/>
                <w:lang w:val="en-US"/>
              </w:rPr>
            </w:pPr>
          </w:p>
        </w:tc>
      </w:tr>
      <w:tr w:rsidR="00736C9F" w:rsidRPr="001F40A6" w14:paraId="76848910" w14:textId="77777777" w:rsidTr="006A5CB3">
        <w:trPr>
          <w:trHeight w:val="285"/>
        </w:trPr>
        <w:tc>
          <w:tcPr>
            <w:tcW w:w="4111" w:type="dxa"/>
            <w:gridSpan w:val="2"/>
            <w:shd w:val="clear" w:color="auto" w:fill="auto"/>
            <w:noWrap/>
            <w:vAlign w:val="bottom"/>
          </w:tcPr>
          <w:p w14:paraId="0517702D"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PaO</w:t>
            </w:r>
            <w:r w:rsidRPr="001F40A6">
              <w:rPr>
                <w:color w:val="000000"/>
                <w:sz w:val="18"/>
                <w:szCs w:val="18"/>
                <w:vertAlign w:val="subscript"/>
                <w:lang w:val="en-US"/>
              </w:rPr>
              <w:t>2</w:t>
            </w:r>
            <w:r w:rsidRPr="001F40A6">
              <w:rPr>
                <w:color w:val="000000"/>
                <w:sz w:val="18"/>
                <w:szCs w:val="18"/>
                <w:lang w:val="en-US"/>
              </w:rPr>
              <w:t xml:space="preserve"> (+ 10 mmHg)</w:t>
            </w:r>
          </w:p>
        </w:tc>
        <w:tc>
          <w:tcPr>
            <w:tcW w:w="2132" w:type="dxa"/>
            <w:shd w:val="clear" w:color="auto" w:fill="auto"/>
            <w:noWrap/>
            <w:vAlign w:val="bottom"/>
          </w:tcPr>
          <w:p w14:paraId="6F373082"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1.01 (0.97-1.05)</w:t>
            </w:r>
          </w:p>
        </w:tc>
        <w:tc>
          <w:tcPr>
            <w:tcW w:w="1135" w:type="dxa"/>
            <w:shd w:val="clear" w:color="auto" w:fill="auto"/>
            <w:noWrap/>
            <w:vAlign w:val="bottom"/>
          </w:tcPr>
          <w:p w14:paraId="334CD3F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0.59</w:t>
            </w:r>
          </w:p>
        </w:tc>
        <w:tc>
          <w:tcPr>
            <w:tcW w:w="1694" w:type="dxa"/>
            <w:shd w:val="clear" w:color="auto" w:fill="auto"/>
            <w:noWrap/>
            <w:vAlign w:val="bottom"/>
          </w:tcPr>
          <w:p w14:paraId="256CF543" w14:textId="77777777" w:rsidR="00736C9F" w:rsidRPr="001F40A6" w:rsidRDefault="00736C9F" w:rsidP="006A5CB3">
            <w:pPr>
              <w:ind w:right="283"/>
              <w:jc w:val="center"/>
              <w:rPr>
                <w:color w:val="000000"/>
                <w:sz w:val="18"/>
                <w:szCs w:val="18"/>
                <w:lang w:val="en-US"/>
              </w:rPr>
            </w:pPr>
          </w:p>
        </w:tc>
        <w:tc>
          <w:tcPr>
            <w:tcW w:w="997" w:type="dxa"/>
            <w:shd w:val="clear" w:color="auto" w:fill="auto"/>
            <w:noWrap/>
            <w:vAlign w:val="bottom"/>
          </w:tcPr>
          <w:p w14:paraId="6009E434" w14:textId="77777777" w:rsidR="00736C9F" w:rsidRPr="001F40A6" w:rsidRDefault="00736C9F" w:rsidP="006A5CB3">
            <w:pPr>
              <w:ind w:right="283"/>
              <w:jc w:val="center"/>
              <w:rPr>
                <w:color w:val="000000"/>
                <w:sz w:val="18"/>
                <w:szCs w:val="18"/>
                <w:lang w:val="en-US"/>
              </w:rPr>
            </w:pPr>
          </w:p>
        </w:tc>
      </w:tr>
      <w:tr w:rsidR="00736C9F" w:rsidRPr="001F40A6" w14:paraId="6DAD642D" w14:textId="77777777" w:rsidTr="006A5CB3">
        <w:trPr>
          <w:trHeight w:val="285"/>
        </w:trPr>
        <w:tc>
          <w:tcPr>
            <w:tcW w:w="4111" w:type="dxa"/>
            <w:gridSpan w:val="2"/>
            <w:shd w:val="clear" w:color="auto" w:fill="auto"/>
            <w:noWrap/>
            <w:vAlign w:val="bottom"/>
          </w:tcPr>
          <w:p w14:paraId="558B1369" w14:textId="77777777" w:rsidR="00736C9F" w:rsidRPr="001F40A6" w:rsidRDefault="00736C9F" w:rsidP="006A5CB3">
            <w:pPr>
              <w:ind w:right="283"/>
              <w:rPr>
                <w:b/>
                <w:color w:val="000000"/>
                <w:sz w:val="18"/>
                <w:szCs w:val="18"/>
                <w:lang w:val="en-US"/>
              </w:rPr>
            </w:pPr>
            <w:r w:rsidRPr="001F40A6">
              <w:rPr>
                <w:color w:val="000000"/>
                <w:sz w:val="18"/>
                <w:szCs w:val="18"/>
                <w:lang w:val="en-US"/>
              </w:rPr>
              <w:t xml:space="preserve">   PaCO</w:t>
            </w:r>
            <w:r w:rsidRPr="001F40A6">
              <w:rPr>
                <w:color w:val="000000"/>
                <w:sz w:val="18"/>
                <w:szCs w:val="18"/>
                <w:vertAlign w:val="subscript"/>
                <w:lang w:val="en-US"/>
              </w:rPr>
              <w:t>2</w:t>
            </w:r>
            <w:r w:rsidRPr="001F40A6">
              <w:rPr>
                <w:color w:val="000000"/>
                <w:sz w:val="18"/>
                <w:szCs w:val="18"/>
                <w:lang w:val="en-US"/>
              </w:rPr>
              <w:t xml:space="preserve"> (+ 10 mmHg)</w:t>
            </w:r>
          </w:p>
        </w:tc>
        <w:tc>
          <w:tcPr>
            <w:tcW w:w="2132" w:type="dxa"/>
            <w:shd w:val="clear" w:color="auto" w:fill="auto"/>
            <w:noWrap/>
            <w:vAlign w:val="bottom"/>
          </w:tcPr>
          <w:p w14:paraId="537492D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0.95 (0.86-1.05)</w:t>
            </w:r>
          </w:p>
        </w:tc>
        <w:tc>
          <w:tcPr>
            <w:tcW w:w="1135" w:type="dxa"/>
            <w:shd w:val="clear" w:color="auto" w:fill="auto"/>
            <w:noWrap/>
            <w:vAlign w:val="bottom"/>
          </w:tcPr>
          <w:p w14:paraId="3A32FB75"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0.33</w:t>
            </w:r>
          </w:p>
        </w:tc>
        <w:tc>
          <w:tcPr>
            <w:tcW w:w="1694" w:type="dxa"/>
            <w:shd w:val="clear" w:color="auto" w:fill="auto"/>
            <w:noWrap/>
            <w:vAlign w:val="bottom"/>
          </w:tcPr>
          <w:p w14:paraId="50E582CE" w14:textId="77777777" w:rsidR="00736C9F" w:rsidRPr="001F40A6" w:rsidRDefault="00736C9F" w:rsidP="006A5CB3">
            <w:pPr>
              <w:ind w:right="283"/>
              <w:jc w:val="center"/>
              <w:rPr>
                <w:color w:val="000000"/>
                <w:sz w:val="18"/>
                <w:szCs w:val="18"/>
                <w:lang w:val="en-US"/>
              </w:rPr>
            </w:pPr>
          </w:p>
        </w:tc>
        <w:tc>
          <w:tcPr>
            <w:tcW w:w="997" w:type="dxa"/>
            <w:shd w:val="clear" w:color="auto" w:fill="auto"/>
            <w:noWrap/>
            <w:vAlign w:val="bottom"/>
          </w:tcPr>
          <w:p w14:paraId="0FD807BC" w14:textId="77777777" w:rsidR="00736C9F" w:rsidRPr="001F40A6" w:rsidRDefault="00736C9F" w:rsidP="006A5CB3">
            <w:pPr>
              <w:ind w:right="283"/>
              <w:jc w:val="center"/>
              <w:rPr>
                <w:color w:val="000000"/>
                <w:sz w:val="18"/>
                <w:szCs w:val="18"/>
                <w:lang w:val="en-US"/>
              </w:rPr>
            </w:pPr>
          </w:p>
        </w:tc>
      </w:tr>
      <w:tr w:rsidR="00736C9F" w:rsidRPr="001F40A6" w14:paraId="4780F6BA" w14:textId="77777777" w:rsidTr="006A5CB3">
        <w:trPr>
          <w:trHeight w:val="285"/>
        </w:trPr>
        <w:tc>
          <w:tcPr>
            <w:tcW w:w="4111" w:type="dxa"/>
            <w:gridSpan w:val="2"/>
            <w:shd w:val="clear" w:color="auto" w:fill="auto"/>
            <w:noWrap/>
            <w:vAlign w:val="bottom"/>
          </w:tcPr>
          <w:p w14:paraId="2FE90AFC" w14:textId="77777777" w:rsidR="00736C9F" w:rsidRPr="001F40A6" w:rsidRDefault="00736C9F" w:rsidP="006A5CB3">
            <w:pPr>
              <w:ind w:right="283"/>
              <w:rPr>
                <w:b/>
                <w:color w:val="000000"/>
                <w:sz w:val="18"/>
                <w:szCs w:val="18"/>
                <w:lang w:val="en-US"/>
              </w:rPr>
            </w:pPr>
            <w:r w:rsidRPr="001F40A6">
              <w:rPr>
                <w:color w:val="000000"/>
                <w:sz w:val="18"/>
                <w:szCs w:val="18"/>
                <w:lang w:val="en-US"/>
              </w:rPr>
              <w:t xml:space="preserve">   Lactate (+ 1 mmol/L)</w:t>
            </w:r>
          </w:p>
        </w:tc>
        <w:tc>
          <w:tcPr>
            <w:tcW w:w="2132" w:type="dxa"/>
            <w:shd w:val="clear" w:color="auto" w:fill="auto"/>
            <w:noWrap/>
            <w:vAlign w:val="bottom"/>
          </w:tcPr>
          <w:p w14:paraId="1A572A1C"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1.11 (0.96-1.31)</w:t>
            </w:r>
          </w:p>
        </w:tc>
        <w:tc>
          <w:tcPr>
            <w:tcW w:w="1135" w:type="dxa"/>
            <w:shd w:val="clear" w:color="auto" w:fill="auto"/>
            <w:noWrap/>
            <w:vAlign w:val="bottom"/>
          </w:tcPr>
          <w:p w14:paraId="1CF72F5E"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0.19</w:t>
            </w:r>
          </w:p>
        </w:tc>
        <w:tc>
          <w:tcPr>
            <w:tcW w:w="1694" w:type="dxa"/>
            <w:shd w:val="clear" w:color="auto" w:fill="auto"/>
            <w:noWrap/>
            <w:vAlign w:val="bottom"/>
          </w:tcPr>
          <w:p w14:paraId="51E0EFA8" w14:textId="77777777" w:rsidR="00736C9F" w:rsidRPr="001F40A6" w:rsidRDefault="00736C9F" w:rsidP="006A5CB3">
            <w:pPr>
              <w:ind w:right="283"/>
              <w:jc w:val="center"/>
              <w:rPr>
                <w:color w:val="000000"/>
                <w:sz w:val="18"/>
                <w:szCs w:val="18"/>
                <w:lang w:val="en-US"/>
              </w:rPr>
            </w:pPr>
          </w:p>
        </w:tc>
        <w:tc>
          <w:tcPr>
            <w:tcW w:w="997" w:type="dxa"/>
            <w:shd w:val="clear" w:color="auto" w:fill="auto"/>
            <w:noWrap/>
            <w:vAlign w:val="bottom"/>
          </w:tcPr>
          <w:p w14:paraId="3D56D6F3" w14:textId="77777777" w:rsidR="00736C9F" w:rsidRPr="001F40A6" w:rsidRDefault="00736C9F" w:rsidP="006A5CB3">
            <w:pPr>
              <w:ind w:right="283"/>
              <w:jc w:val="center"/>
              <w:rPr>
                <w:color w:val="000000"/>
                <w:sz w:val="18"/>
                <w:szCs w:val="18"/>
                <w:lang w:val="en-US"/>
              </w:rPr>
            </w:pPr>
          </w:p>
        </w:tc>
      </w:tr>
      <w:tr w:rsidR="00736C9F" w:rsidRPr="001F40A6" w14:paraId="666885B2" w14:textId="77777777" w:rsidTr="006A5CB3">
        <w:trPr>
          <w:trHeight w:val="285"/>
        </w:trPr>
        <w:tc>
          <w:tcPr>
            <w:tcW w:w="4111" w:type="dxa"/>
            <w:gridSpan w:val="2"/>
            <w:shd w:val="clear" w:color="auto" w:fill="F2F2F2" w:themeFill="background1" w:themeFillShade="F2"/>
            <w:noWrap/>
            <w:vAlign w:val="bottom"/>
          </w:tcPr>
          <w:p w14:paraId="39861E3B" w14:textId="77777777" w:rsidR="00736C9F" w:rsidRPr="001F40A6" w:rsidRDefault="00736C9F" w:rsidP="006A5CB3">
            <w:pPr>
              <w:ind w:right="283"/>
              <w:rPr>
                <w:bCs/>
                <w:color w:val="000000"/>
                <w:sz w:val="18"/>
                <w:szCs w:val="18"/>
                <w:lang w:val="en-US"/>
              </w:rPr>
            </w:pPr>
            <w:r w:rsidRPr="001F40A6">
              <w:rPr>
                <w:b/>
                <w:bCs/>
                <w:color w:val="000000"/>
                <w:sz w:val="18"/>
                <w:szCs w:val="18"/>
                <w:lang w:val="en-US"/>
              </w:rPr>
              <w:t xml:space="preserve">Laboratory tests at ICU admission   </w:t>
            </w:r>
          </w:p>
        </w:tc>
        <w:tc>
          <w:tcPr>
            <w:tcW w:w="2132" w:type="dxa"/>
            <w:shd w:val="clear" w:color="auto" w:fill="F2F2F2" w:themeFill="background1" w:themeFillShade="F2"/>
            <w:noWrap/>
            <w:vAlign w:val="bottom"/>
          </w:tcPr>
          <w:p w14:paraId="69427D0C" w14:textId="77777777" w:rsidR="00736C9F" w:rsidRPr="001F40A6" w:rsidRDefault="00736C9F" w:rsidP="006A5CB3">
            <w:pPr>
              <w:ind w:right="283"/>
              <w:jc w:val="center"/>
              <w:rPr>
                <w:b/>
                <w:bCs/>
                <w:color w:val="000000"/>
                <w:sz w:val="18"/>
                <w:szCs w:val="18"/>
                <w:lang w:val="en-US"/>
              </w:rPr>
            </w:pPr>
          </w:p>
        </w:tc>
        <w:tc>
          <w:tcPr>
            <w:tcW w:w="1135" w:type="dxa"/>
            <w:shd w:val="clear" w:color="auto" w:fill="F2F2F2" w:themeFill="background1" w:themeFillShade="F2"/>
            <w:noWrap/>
            <w:vAlign w:val="bottom"/>
          </w:tcPr>
          <w:p w14:paraId="36C4175E" w14:textId="77777777" w:rsidR="00736C9F" w:rsidRPr="001F40A6" w:rsidRDefault="00736C9F" w:rsidP="006A5CB3">
            <w:pPr>
              <w:ind w:right="283"/>
              <w:jc w:val="center"/>
              <w:rPr>
                <w:color w:val="000000"/>
                <w:sz w:val="18"/>
                <w:szCs w:val="18"/>
                <w:lang w:val="en-US"/>
              </w:rPr>
            </w:pPr>
          </w:p>
        </w:tc>
        <w:tc>
          <w:tcPr>
            <w:tcW w:w="1694" w:type="dxa"/>
            <w:shd w:val="clear" w:color="auto" w:fill="F2F2F2" w:themeFill="background1" w:themeFillShade="F2"/>
            <w:noWrap/>
            <w:vAlign w:val="bottom"/>
          </w:tcPr>
          <w:p w14:paraId="1BC13B1B" w14:textId="77777777" w:rsidR="00736C9F" w:rsidRPr="001F40A6" w:rsidRDefault="00736C9F" w:rsidP="006A5CB3">
            <w:pPr>
              <w:ind w:right="283"/>
              <w:jc w:val="center"/>
              <w:rPr>
                <w:color w:val="000000"/>
                <w:sz w:val="18"/>
                <w:szCs w:val="18"/>
                <w:lang w:val="en-US"/>
              </w:rPr>
            </w:pPr>
          </w:p>
        </w:tc>
        <w:tc>
          <w:tcPr>
            <w:tcW w:w="997" w:type="dxa"/>
            <w:shd w:val="clear" w:color="auto" w:fill="F2F2F2" w:themeFill="background1" w:themeFillShade="F2"/>
            <w:noWrap/>
            <w:vAlign w:val="bottom"/>
          </w:tcPr>
          <w:p w14:paraId="5F0538FF" w14:textId="77777777" w:rsidR="00736C9F" w:rsidRPr="001F40A6" w:rsidRDefault="00736C9F" w:rsidP="006A5CB3">
            <w:pPr>
              <w:ind w:right="283"/>
              <w:jc w:val="center"/>
              <w:rPr>
                <w:color w:val="000000"/>
                <w:sz w:val="18"/>
                <w:szCs w:val="18"/>
                <w:lang w:val="en-US"/>
              </w:rPr>
            </w:pPr>
          </w:p>
        </w:tc>
      </w:tr>
      <w:tr w:rsidR="00736C9F" w:rsidRPr="001F40A6" w14:paraId="01E71867" w14:textId="77777777" w:rsidTr="006A5CB3">
        <w:trPr>
          <w:trHeight w:val="285"/>
        </w:trPr>
        <w:tc>
          <w:tcPr>
            <w:tcW w:w="4111" w:type="dxa"/>
            <w:gridSpan w:val="2"/>
            <w:shd w:val="clear" w:color="auto" w:fill="auto"/>
            <w:noWrap/>
            <w:vAlign w:val="bottom"/>
          </w:tcPr>
          <w:p w14:paraId="52DDEF8E" w14:textId="77777777" w:rsidR="00736C9F" w:rsidRPr="001F40A6" w:rsidRDefault="00736C9F" w:rsidP="006A5CB3">
            <w:pPr>
              <w:ind w:right="283"/>
              <w:rPr>
                <w:b/>
                <w:bCs/>
                <w:color w:val="000000"/>
                <w:sz w:val="18"/>
                <w:szCs w:val="18"/>
                <w:lang w:val="en-US"/>
              </w:rPr>
            </w:pPr>
            <w:r w:rsidRPr="001F40A6">
              <w:rPr>
                <w:bCs/>
                <w:color w:val="000000"/>
                <w:sz w:val="18"/>
                <w:szCs w:val="18"/>
                <w:lang w:val="en-US"/>
              </w:rPr>
              <w:t xml:space="preserve">   Total white blood cells count (+ 1 G/L)</w:t>
            </w:r>
          </w:p>
        </w:tc>
        <w:tc>
          <w:tcPr>
            <w:tcW w:w="2132" w:type="dxa"/>
            <w:shd w:val="clear" w:color="auto" w:fill="auto"/>
            <w:noWrap/>
            <w:vAlign w:val="bottom"/>
          </w:tcPr>
          <w:p w14:paraId="273BF806"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1.06 (1.03-1.10)</w:t>
            </w:r>
          </w:p>
        </w:tc>
        <w:tc>
          <w:tcPr>
            <w:tcW w:w="1135" w:type="dxa"/>
            <w:shd w:val="clear" w:color="auto" w:fill="auto"/>
            <w:noWrap/>
            <w:vAlign w:val="bottom"/>
          </w:tcPr>
          <w:p w14:paraId="42A6C510"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&lt; 0.001</w:t>
            </w:r>
          </w:p>
        </w:tc>
        <w:tc>
          <w:tcPr>
            <w:tcW w:w="1694" w:type="dxa"/>
            <w:shd w:val="clear" w:color="auto" w:fill="auto"/>
            <w:noWrap/>
            <w:vAlign w:val="bottom"/>
          </w:tcPr>
          <w:p w14:paraId="12E2CA36" w14:textId="77777777" w:rsidR="00736C9F" w:rsidRPr="001F40A6" w:rsidRDefault="00736C9F" w:rsidP="006A5CB3">
            <w:pPr>
              <w:ind w:right="283"/>
              <w:jc w:val="center"/>
              <w:rPr>
                <w:color w:val="000000"/>
                <w:sz w:val="18"/>
                <w:szCs w:val="18"/>
                <w:lang w:val="en-US"/>
              </w:rPr>
            </w:pPr>
          </w:p>
        </w:tc>
        <w:tc>
          <w:tcPr>
            <w:tcW w:w="997" w:type="dxa"/>
            <w:shd w:val="clear" w:color="auto" w:fill="auto"/>
            <w:noWrap/>
            <w:vAlign w:val="bottom"/>
          </w:tcPr>
          <w:p w14:paraId="21743377" w14:textId="77777777" w:rsidR="00736C9F" w:rsidRPr="001F40A6" w:rsidRDefault="00736C9F" w:rsidP="006A5CB3">
            <w:pPr>
              <w:ind w:right="283"/>
              <w:jc w:val="center"/>
              <w:rPr>
                <w:color w:val="000000"/>
                <w:sz w:val="18"/>
                <w:szCs w:val="18"/>
                <w:lang w:val="en-US"/>
              </w:rPr>
            </w:pPr>
          </w:p>
        </w:tc>
      </w:tr>
      <w:tr w:rsidR="00736C9F" w:rsidRPr="001F40A6" w14:paraId="1D3CD390" w14:textId="77777777" w:rsidTr="006A5CB3">
        <w:trPr>
          <w:trHeight w:val="285"/>
        </w:trPr>
        <w:tc>
          <w:tcPr>
            <w:tcW w:w="161" w:type="dxa"/>
            <w:shd w:val="clear" w:color="auto" w:fill="auto"/>
            <w:noWrap/>
            <w:vAlign w:val="bottom"/>
          </w:tcPr>
          <w:p w14:paraId="199FD56D" w14:textId="77777777" w:rsidR="00736C9F" w:rsidRPr="001F40A6" w:rsidRDefault="00736C9F" w:rsidP="006A5CB3">
            <w:pPr>
              <w:ind w:right="283"/>
              <w:rPr>
                <w:color w:val="000000"/>
                <w:sz w:val="18"/>
                <w:szCs w:val="18"/>
                <w:lang w:val="en-US"/>
              </w:rPr>
            </w:pPr>
          </w:p>
        </w:tc>
        <w:tc>
          <w:tcPr>
            <w:tcW w:w="3950" w:type="dxa"/>
            <w:shd w:val="clear" w:color="auto" w:fill="auto"/>
            <w:noWrap/>
            <w:vAlign w:val="bottom"/>
          </w:tcPr>
          <w:p w14:paraId="23CB7E4F" w14:textId="77777777" w:rsidR="00736C9F" w:rsidRPr="001F40A6" w:rsidRDefault="00736C9F" w:rsidP="006A5CB3">
            <w:pPr>
              <w:ind w:right="283"/>
              <w:rPr>
                <w:b/>
                <w:color w:val="000000"/>
                <w:sz w:val="18"/>
                <w:szCs w:val="18"/>
                <w:lang w:val="en-US"/>
              </w:rPr>
            </w:pPr>
            <w:r w:rsidRPr="001F40A6">
              <w:rPr>
                <w:b/>
                <w:color w:val="000000"/>
                <w:sz w:val="18"/>
                <w:szCs w:val="18"/>
                <w:lang w:val="en-US"/>
              </w:rPr>
              <w:t>Neutrophilic polynuclear cells (+ 1 G/L)</w:t>
            </w:r>
          </w:p>
        </w:tc>
        <w:tc>
          <w:tcPr>
            <w:tcW w:w="2132" w:type="dxa"/>
            <w:shd w:val="clear" w:color="auto" w:fill="auto"/>
            <w:noWrap/>
            <w:vAlign w:val="bottom"/>
          </w:tcPr>
          <w:p w14:paraId="50B960A9"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1.08 (1.04-1.13)</w:t>
            </w:r>
          </w:p>
        </w:tc>
        <w:tc>
          <w:tcPr>
            <w:tcW w:w="1135" w:type="dxa"/>
            <w:shd w:val="clear" w:color="auto" w:fill="auto"/>
            <w:noWrap/>
            <w:vAlign w:val="bottom"/>
          </w:tcPr>
          <w:p w14:paraId="72BE0391"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&lt; 0.001</w:t>
            </w:r>
          </w:p>
        </w:tc>
        <w:tc>
          <w:tcPr>
            <w:tcW w:w="1694" w:type="dxa"/>
            <w:shd w:val="clear" w:color="auto" w:fill="auto"/>
            <w:noWrap/>
            <w:vAlign w:val="bottom"/>
          </w:tcPr>
          <w:p w14:paraId="7E9BB926" w14:textId="77777777" w:rsidR="00736C9F" w:rsidRPr="001F40A6" w:rsidRDefault="00736C9F" w:rsidP="006A5CB3">
            <w:pPr>
              <w:ind w:right="205"/>
              <w:jc w:val="center"/>
              <w:rPr>
                <w:b/>
                <w:color w:val="000000"/>
                <w:sz w:val="18"/>
                <w:szCs w:val="18"/>
                <w:lang w:val="en-US"/>
              </w:rPr>
            </w:pPr>
            <w:r w:rsidRPr="001F40A6">
              <w:rPr>
                <w:b/>
                <w:color w:val="000000"/>
                <w:sz w:val="18"/>
                <w:szCs w:val="18"/>
                <w:lang w:val="en-US"/>
              </w:rPr>
              <w:t>1.07 (1.02-1.11)</w:t>
            </w:r>
          </w:p>
        </w:tc>
        <w:tc>
          <w:tcPr>
            <w:tcW w:w="997" w:type="dxa"/>
            <w:shd w:val="clear" w:color="auto" w:fill="auto"/>
            <w:noWrap/>
            <w:vAlign w:val="bottom"/>
          </w:tcPr>
          <w:p w14:paraId="371AE12A"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0.002</w:t>
            </w:r>
          </w:p>
        </w:tc>
      </w:tr>
      <w:tr w:rsidR="00736C9F" w:rsidRPr="001F40A6" w14:paraId="2399CF44" w14:textId="77777777" w:rsidTr="006A5CB3">
        <w:trPr>
          <w:trHeight w:val="285"/>
        </w:trPr>
        <w:tc>
          <w:tcPr>
            <w:tcW w:w="161" w:type="dxa"/>
            <w:shd w:val="clear" w:color="auto" w:fill="auto"/>
            <w:noWrap/>
            <w:vAlign w:val="bottom"/>
          </w:tcPr>
          <w:p w14:paraId="418D03D8" w14:textId="77777777" w:rsidR="00736C9F" w:rsidRPr="001F40A6" w:rsidRDefault="00736C9F" w:rsidP="006A5CB3">
            <w:pPr>
              <w:ind w:right="283"/>
              <w:rPr>
                <w:color w:val="000000"/>
                <w:sz w:val="18"/>
                <w:szCs w:val="18"/>
                <w:lang w:val="en-US"/>
              </w:rPr>
            </w:pPr>
          </w:p>
        </w:tc>
        <w:tc>
          <w:tcPr>
            <w:tcW w:w="3950" w:type="dxa"/>
            <w:shd w:val="clear" w:color="auto" w:fill="auto"/>
            <w:noWrap/>
            <w:vAlign w:val="bottom"/>
          </w:tcPr>
          <w:p w14:paraId="59D948B6" w14:textId="77777777" w:rsidR="00736C9F" w:rsidRPr="001F40A6" w:rsidRDefault="00736C9F" w:rsidP="006A5CB3">
            <w:pPr>
              <w:ind w:right="283"/>
              <w:rPr>
                <w:b/>
                <w:color w:val="000000"/>
                <w:sz w:val="18"/>
                <w:szCs w:val="18"/>
                <w:lang w:val="en-US"/>
              </w:rPr>
            </w:pPr>
            <w:r w:rsidRPr="001F40A6">
              <w:rPr>
                <w:b/>
                <w:color w:val="000000"/>
                <w:sz w:val="18"/>
                <w:szCs w:val="18"/>
                <w:lang w:val="en-US"/>
              </w:rPr>
              <w:t>Eosinophilic polynuclear cells (+ 0.1 G/L)</w:t>
            </w:r>
          </w:p>
        </w:tc>
        <w:tc>
          <w:tcPr>
            <w:tcW w:w="2132" w:type="dxa"/>
            <w:shd w:val="clear" w:color="auto" w:fill="auto"/>
            <w:noWrap/>
            <w:vAlign w:val="bottom"/>
          </w:tcPr>
          <w:p w14:paraId="7FC766C0"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0.84 (0.77-0.91)</w:t>
            </w:r>
          </w:p>
        </w:tc>
        <w:tc>
          <w:tcPr>
            <w:tcW w:w="1135" w:type="dxa"/>
            <w:shd w:val="clear" w:color="auto" w:fill="auto"/>
            <w:noWrap/>
            <w:vAlign w:val="bottom"/>
          </w:tcPr>
          <w:p w14:paraId="1FBDBE86"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&lt; 0.001</w:t>
            </w:r>
          </w:p>
        </w:tc>
        <w:tc>
          <w:tcPr>
            <w:tcW w:w="1694" w:type="dxa"/>
            <w:shd w:val="clear" w:color="auto" w:fill="auto"/>
            <w:noWrap/>
            <w:vAlign w:val="bottom"/>
          </w:tcPr>
          <w:p w14:paraId="4D42EE60" w14:textId="77777777" w:rsidR="00736C9F" w:rsidRPr="001F40A6" w:rsidRDefault="00736C9F" w:rsidP="006A5CB3">
            <w:pPr>
              <w:ind w:right="205"/>
              <w:jc w:val="center"/>
              <w:rPr>
                <w:b/>
                <w:color w:val="000000"/>
                <w:sz w:val="18"/>
                <w:szCs w:val="18"/>
                <w:lang w:val="en-US"/>
              </w:rPr>
            </w:pPr>
            <w:r w:rsidRPr="001F40A6">
              <w:rPr>
                <w:b/>
                <w:color w:val="000000"/>
                <w:sz w:val="18"/>
                <w:szCs w:val="18"/>
                <w:lang w:val="en-US"/>
              </w:rPr>
              <w:t>0.87 (0.79-0.94)</w:t>
            </w:r>
          </w:p>
        </w:tc>
        <w:tc>
          <w:tcPr>
            <w:tcW w:w="997" w:type="dxa"/>
            <w:shd w:val="clear" w:color="auto" w:fill="auto"/>
            <w:noWrap/>
            <w:vAlign w:val="bottom"/>
          </w:tcPr>
          <w:p w14:paraId="1BBFAE98"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0.002</w:t>
            </w:r>
          </w:p>
        </w:tc>
      </w:tr>
      <w:tr w:rsidR="00736C9F" w:rsidRPr="001F40A6" w14:paraId="2F0E32A3" w14:textId="77777777" w:rsidTr="006A5CB3">
        <w:trPr>
          <w:trHeight w:val="285"/>
        </w:trPr>
        <w:tc>
          <w:tcPr>
            <w:tcW w:w="161" w:type="dxa"/>
            <w:shd w:val="clear" w:color="auto" w:fill="auto"/>
            <w:noWrap/>
            <w:vAlign w:val="bottom"/>
            <w:hideMark/>
          </w:tcPr>
          <w:p w14:paraId="5EB13992" w14:textId="77777777" w:rsidR="00736C9F" w:rsidRPr="001F40A6" w:rsidRDefault="00736C9F" w:rsidP="006A5CB3">
            <w:pPr>
              <w:ind w:right="283"/>
              <w:rPr>
                <w:color w:val="000000"/>
                <w:sz w:val="18"/>
                <w:szCs w:val="18"/>
                <w:lang w:val="en-US"/>
              </w:rPr>
            </w:pPr>
          </w:p>
        </w:tc>
        <w:tc>
          <w:tcPr>
            <w:tcW w:w="3950" w:type="dxa"/>
            <w:shd w:val="clear" w:color="auto" w:fill="auto"/>
            <w:noWrap/>
            <w:vAlign w:val="bottom"/>
            <w:hideMark/>
          </w:tcPr>
          <w:p w14:paraId="4FFA7606" w14:textId="77777777" w:rsidR="00736C9F" w:rsidRPr="001F40A6" w:rsidRDefault="00736C9F" w:rsidP="006A5CB3">
            <w:pPr>
              <w:ind w:right="283"/>
              <w:rPr>
                <w:color w:val="000000"/>
                <w:sz w:val="18"/>
                <w:szCs w:val="18"/>
                <w:lang w:val="en-US"/>
              </w:rPr>
            </w:pPr>
            <w:r w:rsidRPr="001F40A6">
              <w:rPr>
                <w:color w:val="000000"/>
                <w:sz w:val="18"/>
                <w:szCs w:val="18"/>
                <w:lang w:val="en-US"/>
              </w:rPr>
              <w:t>Lymphocytes (+ 0.1 G/L)</w:t>
            </w:r>
          </w:p>
        </w:tc>
        <w:tc>
          <w:tcPr>
            <w:tcW w:w="2132" w:type="dxa"/>
            <w:shd w:val="clear" w:color="auto" w:fill="auto"/>
            <w:noWrap/>
            <w:vAlign w:val="bottom"/>
          </w:tcPr>
          <w:p w14:paraId="568E91CE"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0.82 (0.66-0.99)</w:t>
            </w:r>
          </w:p>
        </w:tc>
        <w:tc>
          <w:tcPr>
            <w:tcW w:w="1135" w:type="dxa"/>
            <w:shd w:val="clear" w:color="auto" w:fill="auto"/>
            <w:noWrap/>
            <w:vAlign w:val="bottom"/>
          </w:tcPr>
          <w:p w14:paraId="367C6C92"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0.04</w:t>
            </w:r>
          </w:p>
        </w:tc>
        <w:tc>
          <w:tcPr>
            <w:tcW w:w="1694" w:type="dxa"/>
            <w:shd w:val="clear" w:color="auto" w:fill="auto"/>
            <w:noWrap/>
            <w:vAlign w:val="bottom"/>
          </w:tcPr>
          <w:p w14:paraId="5E5DE39F" w14:textId="77777777" w:rsidR="00736C9F" w:rsidRPr="001F40A6" w:rsidRDefault="00736C9F" w:rsidP="006A5CB3">
            <w:pPr>
              <w:ind w:right="205"/>
              <w:jc w:val="center"/>
              <w:rPr>
                <w:color w:val="000000"/>
                <w:sz w:val="18"/>
                <w:szCs w:val="18"/>
                <w:lang w:val="en-US"/>
              </w:rPr>
            </w:pPr>
          </w:p>
        </w:tc>
        <w:tc>
          <w:tcPr>
            <w:tcW w:w="997" w:type="dxa"/>
            <w:shd w:val="clear" w:color="auto" w:fill="auto"/>
            <w:noWrap/>
            <w:vAlign w:val="bottom"/>
          </w:tcPr>
          <w:p w14:paraId="52F228A5" w14:textId="77777777" w:rsidR="00736C9F" w:rsidRPr="001F40A6" w:rsidRDefault="00736C9F" w:rsidP="006A5CB3">
            <w:pPr>
              <w:ind w:right="283"/>
              <w:jc w:val="center"/>
              <w:rPr>
                <w:color w:val="000000"/>
                <w:sz w:val="18"/>
                <w:szCs w:val="18"/>
                <w:lang w:val="en-US"/>
              </w:rPr>
            </w:pPr>
          </w:p>
        </w:tc>
      </w:tr>
      <w:tr w:rsidR="00736C9F" w:rsidRPr="001F40A6" w14:paraId="6A58325B" w14:textId="77777777" w:rsidTr="006A5CB3">
        <w:trPr>
          <w:trHeight w:val="285"/>
        </w:trPr>
        <w:tc>
          <w:tcPr>
            <w:tcW w:w="161" w:type="dxa"/>
            <w:shd w:val="clear" w:color="auto" w:fill="auto"/>
            <w:noWrap/>
            <w:vAlign w:val="bottom"/>
            <w:hideMark/>
          </w:tcPr>
          <w:p w14:paraId="4EB951E2" w14:textId="77777777" w:rsidR="00736C9F" w:rsidRPr="001F40A6" w:rsidRDefault="00736C9F" w:rsidP="006A5CB3">
            <w:pPr>
              <w:ind w:right="283"/>
              <w:rPr>
                <w:color w:val="000000"/>
                <w:sz w:val="18"/>
                <w:szCs w:val="18"/>
                <w:lang w:val="en-US"/>
              </w:rPr>
            </w:pPr>
          </w:p>
        </w:tc>
        <w:tc>
          <w:tcPr>
            <w:tcW w:w="3950" w:type="dxa"/>
            <w:shd w:val="clear" w:color="auto" w:fill="auto"/>
            <w:noWrap/>
            <w:vAlign w:val="bottom"/>
            <w:hideMark/>
          </w:tcPr>
          <w:p w14:paraId="36872D8F" w14:textId="77777777" w:rsidR="00736C9F" w:rsidRPr="001F40A6" w:rsidRDefault="00736C9F" w:rsidP="006A5CB3">
            <w:pPr>
              <w:ind w:right="283"/>
              <w:rPr>
                <w:color w:val="000000"/>
                <w:sz w:val="18"/>
                <w:szCs w:val="18"/>
                <w:lang w:val="en-US"/>
              </w:rPr>
            </w:pPr>
            <w:r w:rsidRPr="001F40A6">
              <w:rPr>
                <w:color w:val="000000"/>
                <w:sz w:val="18"/>
                <w:szCs w:val="18"/>
                <w:lang w:val="en-US"/>
              </w:rPr>
              <w:t>C-reactive protein (+ 10 mg/L)</w:t>
            </w:r>
          </w:p>
        </w:tc>
        <w:tc>
          <w:tcPr>
            <w:tcW w:w="2132" w:type="dxa"/>
            <w:shd w:val="clear" w:color="auto" w:fill="auto"/>
            <w:noWrap/>
            <w:vAlign w:val="bottom"/>
          </w:tcPr>
          <w:p w14:paraId="7AEB9459"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1.08 (1.05-1.10)</w:t>
            </w:r>
          </w:p>
        </w:tc>
        <w:tc>
          <w:tcPr>
            <w:tcW w:w="1135" w:type="dxa"/>
            <w:shd w:val="clear" w:color="auto" w:fill="auto"/>
            <w:noWrap/>
            <w:vAlign w:val="bottom"/>
          </w:tcPr>
          <w:p w14:paraId="3AA70C86" w14:textId="77777777" w:rsidR="00736C9F" w:rsidRPr="001F40A6" w:rsidRDefault="00736C9F" w:rsidP="006A5CB3">
            <w:pPr>
              <w:ind w:right="283"/>
              <w:jc w:val="center"/>
              <w:rPr>
                <w:b/>
                <w:color w:val="000000"/>
                <w:sz w:val="18"/>
                <w:szCs w:val="18"/>
                <w:lang w:val="en-US"/>
              </w:rPr>
            </w:pPr>
            <w:r w:rsidRPr="001F40A6">
              <w:rPr>
                <w:b/>
                <w:color w:val="000000"/>
                <w:sz w:val="18"/>
                <w:szCs w:val="18"/>
                <w:lang w:val="en-US"/>
              </w:rPr>
              <w:t>&lt; 0.001</w:t>
            </w:r>
          </w:p>
        </w:tc>
        <w:tc>
          <w:tcPr>
            <w:tcW w:w="1694" w:type="dxa"/>
            <w:shd w:val="clear" w:color="auto" w:fill="auto"/>
            <w:noWrap/>
            <w:vAlign w:val="bottom"/>
          </w:tcPr>
          <w:p w14:paraId="359843A0" w14:textId="77777777" w:rsidR="00736C9F" w:rsidRPr="001F40A6" w:rsidRDefault="00736C9F" w:rsidP="006A5CB3">
            <w:pPr>
              <w:ind w:right="283"/>
              <w:jc w:val="center"/>
              <w:rPr>
                <w:color w:val="000000"/>
                <w:sz w:val="18"/>
                <w:szCs w:val="18"/>
                <w:lang w:val="en-US"/>
              </w:rPr>
            </w:pPr>
          </w:p>
        </w:tc>
        <w:tc>
          <w:tcPr>
            <w:tcW w:w="997" w:type="dxa"/>
            <w:shd w:val="clear" w:color="auto" w:fill="auto"/>
            <w:noWrap/>
            <w:vAlign w:val="bottom"/>
          </w:tcPr>
          <w:p w14:paraId="2D672DE3" w14:textId="77777777" w:rsidR="00736C9F" w:rsidRPr="001F40A6" w:rsidRDefault="00736C9F" w:rsidP="006A5CB3">
            <w:pPr>
              <w:ind w:right="283"/>
              <w:jc w:val="center"/>
              <w:rPr>
                <w:color w:val="000000"/>
                <w:sz w:val="18"/>
                <w:szCs w:val="18"/>
                <w:lang w:val="en-US"/>
              </w:rPr>
            </w:pPr>
          </w:p>
        </w:tc>
      </w:tr>
      <w:tr w:rsidR="00736C9F" w:rsidRPr="001F40A6" w14:paraId="173333E2" w14:textId="77777777" w:rsidTr="006A5CB3">
        <w:trPr>
          <w:trHeight w:val="285"/>
        </w:trPr>
        <w:tc>
          <w:tcPr>
            <w:tcW w:w="161" w:type="dxa"/>
            <w:tcBorders>
              <w:bottom w:val="single" w:sz="12" w:space="0" w:color="auto"/>
            </w:tcBorders>
            <w:shd w:val="clear" w:color="auto" w:fill="auto"/>
            <w:noWrap/>
            <w:vAlign w:val="bottom"/>
            <w:hideMark/>
          </w:tcPr>
          <w:p w14:paraId="5490C58B" w14:textId="77777777" w:rsidR="00736C9F" w:rsidRPr="001F40A6" w:rsidRDefault="00736C9F" w:rsidP="006A5CB3">
            <w:pPr>
              <w:ind w:right="283"/>
              <w:rPr>
                <w:color w:val="000000"/>
                <w:sz w:val="18"/>
                <w:szCs w:val="18"/>
                <w:lang w:val="en-US"/>
              </w:rPr>
            </w:pPr>
          </w:p>
        </w:tc>
        <w:tc>
          <w:tcPr>
            <w:tcW w:w="3950" w:type="dxa"/>
            <w:tcBorders>
              <w:bottom w:val="single" w:sz="12" w:space="0" w:color="auto"/>
            </w:tcBorders>
            <w:shd w:val="clear" w:color="auto" w:fill="auto"/>
            <w:noWrap/>
            <w:vAlign w:val="bottom"/>
            <w:hideMark/>
          </w:tcPr>
          <w:p w14:paraId="50F74255" w14:textId="77777777" w:rsidR="00736C9F" w:rsidRPr="001F40A6" w:rsidRDefault="00736C9F" w:rsidP="006A5CB3">
            <w:pPr>
              <w:ind w:right="283"/>
              <w:rPr>
                <w:color w:val="000000"/>
                <w:sz w:val="18"/>
                <w:szCs w:val="18"/>
                <w:lang w:val="en-US"/>
              </w:rPr>
            </w:pPr>
            <w:r w:rsidRPr="001F40A6">
              <w:rPr>
                <w:color w:val="000000"/>
                <w:sz w:val="18"/>
                <w:szCs w:val="18"/>
                <w:lang w:val="en-US"/>
              </w:rPr>
              <w:t>Procalcitonin (+ 1 ng/mL)</w:t>
            </w:r>
          </w:p>
        </w:tc>
        <w:tc>
          <w:tcPr>
            <w:tcW w:w="2132" w:type="dxa"/>
            <w:tcBorders>
              <w:bottom w:val="single" w:sz="12" w:space="0" w:color="auto"/>
            </w:tcBorders>
            <w:shd w:val="clear" w:color="auto" w:fill="auto"/>
            <w:noWrap/>
            <w:vAlign w:val="bottom"/>
          </w:tcPr>
          <w:p w14:paraId="38B892BE"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1.03 (1.00-1.08)</w:t>
            </w:r>
          </w:p>
        </w:tc>
        <w:tc>
          <w:tcPr>
            <w:tcW w:w="1135" w:type="dxa"/>
            <w:tcBorders>
              <w:bottom w:val="single" w:sz="12" w:space="0" w:color="auto"/>
            </w:tcBorders>
            <w:shd w:val="clear" w:color="auto" w:fill="auto"/>
            <w:noWrap/>
            <w:vAlign w:val="bottom"/>
          </w:tcPr>
          <w:p w14:paraId="1BE2510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0.05</w:t>
            </w:r>
          </w:p>
        </w:tc>
        <w:tc>
          <w:tcPr>
            <w:tcW w:w="1694" w:type="dxa"/>
            <w:tcBorders>
              <w:bottom w:val="single" w:sz="12" w:space="0" w:color="auto"/>
            </w:tcBorders>
            <w:shd w:val="clear" w:color="auto" w:fill="auto"/>
            <w:noWrap/>
            <w:vAlign w:val="bottom"/>
          </w:tcPr>
          <w:p w14:paraId="544B3064" w14:textId="77777777" w:rsidR="00736C9F" w:rsidRPr="001F40A6" w:rsidRDefault="00736C9F" w:rsidP="006A5CB3">
            <w:pPr>
              <w:ind w:right="283"/>
              <w:jc w:val="center"/>
              <w:rPr>
                <w:color w:val="000000"/>
                <w:sz w:val="18"/>
                <w:szCs w:val="18"/>
                <w:lang w:val="en-US"/>
              </w:rPr>
            </w:pPr>
          </w:p>
        </w:tc>
        <w:tc>
          <w:tcPr>
            <w:tcW w:w="997" w:type="dxa"/>
            <w:tcBorders>
              <w:bottom w:val="single" w:sz="12" w:space="0" w:color="auto"/>
            </w:tcBorders>
            <w:shd w:val="clear" w:color="auto" w:fill="auto"/>
            <w:noWrap/>
            <w:vAlign w:val="bottom"/>
          </w:tcPr>
          <w:p w14:paraId="638C44AB" w14:textId="77777777" w:rsidR="00736C9F" w:rsidRPr="001F40A6" w:rsidRDefault="00736C9F" w:rsidP="006A5CB3">
            <w:pPr>
              <w:ind w:right="283"/>
              <w:jc w:val="center"/>
              <w:rPr>
                <w:color w:val="000000"/>
                <w:sz w:val="18"/>
                <w:szCs w:val="18"/>
                <w:lang w:val="en-US"/>
              </w:rPr>
            </w:pPr>
          </w:p>
        </w:tc>
      </w:tr>
    </w:tbl>
    <w:p w14:paraId="3969263C" w14:textId="77777777" w:rsidR="00736C9F" w:rsidRPr="001F40A6" w:rsidRDefault="00736C9F" w:rsidP="00736C9F">
      <w:pPr>
        <w:ind w:right="283"/>
        <w:rPr>
          <w:color w:val="000000"/>
          <w:sz w:val="18"/>
          <w:vertAlign w:val="superscript"/>
          <w:lang w:val="en-US"/>
        </w:rPr>
      </w:pPr>
      <w:r w:rsidRPr="001F40A6">
        <w:rPr>
          <w:color w:val="000000"/>
          <w:sz w:val="18"/>
          <w:szCs w:val="18"/>
          <w:lang w:val="en-US"/>
        </w:rPr>
        <w:t>Data are presented as N (%) or Median [interquartile range]</w:t>
      </w:r>
    </w:p>
    <w:p w14:paraId="11EC9FE8" w14:textId="77777777" w:rsidR="00736C9F" w:rsidRPr="001F40A6" w:rsidRDefault="00736C9F" w:rsidP="00736C9F">
      <w:pPr>
        <w:ind w:right="283"/>
        <w:rPr>
          <w:color w:val="000000"/>
          <w:sz w:val="18"/>
          <w:lang w:val="en-US"/>
        </w:rPr>
      </w:pPr>
      <w:r w:rsidRPr="001F40A6">
        <w:rPr>
          <w:color w:val="000000"/>
          <w:sz w:val="18"/>
          <w:lang w:val="en-US"/>
        </w:rPr>
        <w:t>Imputation by chains equation had been used to handle missing data.</w:t>
      </w:r>
    </w:p>
    <w:p w14:paraId="3DBF32D1" w14:textId="77777777" w:rsidR="00736C9F" w:rsidRPr="001F40A6" w:rsidRDefault="00736C9F" w:rsidP="00736C9F">
      <w:pPr>
        <w:ind w:right="283"/>
        <w:rPr>
          <w:color w:val="000000"/>
          <w:sz w:val="18"/>
          <w:lang w:val="en-US"/>
        </w:rPr>
      </w:pPr>
      <w:r w:rsidRPr="001F40A6">
        <w:rPr>
          <w:color w:val="000000"/>
          <w:sz w:val="18"/>
          <w:lang w:val="en-US"/>
        </w:rPr>
        <w:t>Hosmer Lemeshow test: p = 0.62</w:t>
      </w:r>
    </w:p>
    <w:p w14:paraId="6B0D43DB" w14:textId="77777777" w:rsidR="00736C9F" w:rsidRPr="001F40A6" w:rsidRDefault="00736C9F" w:rsidP="00736C9F">
      <w:pPr>
        <w:ind w:right="283"/>
        <w:rPr>
          <w:color w:val="000000"/>
          <w:sz w:val="18"/>
          <w:lang w:val="en-US"/>
        </w:rPr>
      </w:pPr>
      <w:r w:rsidRPr="001F40A6">
        <w:rPr>
          <w:color w:val="000000"/>
          <w:sz w:val="18"/>
          <w:lang w:val="en-US"/>
        </w:rPr>
        <w:t>OR: Odds ratio; 95%CI: 95% Confidence intervals</w:t>
      </w:r>
    </w:p>
    <w:p w14:paraId="76F110C8" w14:textId="77777777" w:rsidR="00736C9F" w:rsidRPr="001F40A6" w:rsidRDefault="00736C9F" w:rsidP="00736C9F">
      <w:pPr>
        <w:tabs>
          <w:tab w:val="left" w:pos="5582"/>
        </w:tabs>
        <w:rPr>
          <w:b/>
          <w:color w:val="000000"/>
          <w:lang w:val="en-US"/>
        </w:rPr>
      </w:pPr>
      <w:r w:rsidRPr="001F40A6">
        <w:rPr>
          <w:color w:val="000000"/>
          <w:sz w:val="18"/>
          <w:lang w:val="en-US"/>
        </w:rPr>
        <w:t>COPD: chronic obstructive pulmonary disease</w:t>
      </w:r>
      <w:r w:rsidRPr="001F40A6">
        <w:rPr>
          <w:color w:val="000000"/>
          <w:sz w:val="18"/>
          <w:szCs w:val="18"/>
          <w:lang w:val="en-US"/>
        </w:rPr>
        <w:t xml:space="preserve">; </w:t>
      </w:r>
      <w:r w:rsidRPr="001F40A6">
        <w:rPr>
          <w:color w:val="000000"/>
          <w:sz w:val="18"/>
          <w:lang w:val="en-US"/>
        </w:rPr>
        <w:t xml:space="preserve">ICU: intensive care unit; </w:t>
      </w:r>
      <w:r w:rsidRPr="001F40A6">
        <w:rPr>
          <w:color w:val="000000"/>
          <w:sz w:val="18"/>
          <w:szCs w:val="18"/>
          <w:lang w:val="en-US"/>
        </w:rPr>
        <w:t>GOLD: Global initiative for obstructive lung disease</w:t>
      </w:r>
    </w:p>
    <w:p w14:paraId="4F77E8EE" w14:textId="77777777" w:rsidR="00FF0863" w:rsidRPr="001F40A6" w:rsidRDefault="00FF0863" w:rsidP="00FF0863">
      <w:pPr>
        <w:spacing w:line="480" w:lineRule="auto"/>
        <w:ind w:right="283"/>
        <w:rPr>
          <w:rFonts w:asciiTheme="majorBidi" w:hAnsiTheme="majorBidi" w:cstheme="majorBidi"/>
          <w:b/>
          <w:color w:val="000000"/>
          <w:lang w:val="en-US"/>
        </w:rPr>
      </w:pPr>
    </w:p>
    <w:p w14:paraId="462FD883" w14:textId="77777777" w:rsidR="00FF0863" w:rsidRPr="001F40A6" w:rsidRDefault="00FF0863" w:rsidP="00FF0863">
      <w:pPr>
        <w:rPr>
          <w:rFonts w:asciiTheme="majorBidi" w:hAnsiTheme="majorBidi" w:cstheme="majorBidi"/>
          <w:b/>
          <w:color w:val="000000"/>
          <w:lang w:val="en-US"/>
        </w:rPr>
      </w:pPr>
      <w:r w:rsidRPr="001F40A6">
        <w:rPr>
          <w:rFonts w:asciiTheme="majorBidi" w:hAnsiTheme="majorBidi" w:cstheme="majorBidi"/>
          <w:b/>
          <w:color w:val="000000"/>
          <w:lang w:val="en-US"/>
        </w:rPr>
        <w:br w:type="page"/>
      </w:r>
    </w:p>
    <w:p w14:paraId="34920291" w14:textId="55ED44F4" w:rsidR="00FF0863" w:rsidRPr="001F40A6" w:rsidRDefault="00FF0863" w:rsidP="00FF0863">
      <w:pPr>
        <w:spacing w:line="480" w:lineRule="auto"/>
        <w:jc w:val="both"/>
        <w:rPr>
          <w:rFonts w:asciiTheme="majorBidi" w:hAnsiTheme="majorBidi" w:cstheme="majorBidi"/>
          <w:color w:val="000000"/>
          <w:lang w:val="en-US"/>
        </w:rPr>
      </w:pPr>
      <w:bookmarkStart w:id="5" w:name="_Hlk129597932"/>
      <w:r w:rsidRPr="001F40A6">
        <w:rPr>
          <w:rFonts w:asciiTheme="majorBidi" w:hAnsiTheme="majorBidi" w:cstheme="majorBidi"/>
          <w:b/>
          <w:color w:val="000000"/>
          <w:lang w:val="en-US"/>
        </w:rPr>
        <w:lastRenderedPageBreak/>
        <w:t>Table</w:t>
      </w:r>
      <w:r w:rsidR="009A51C8" w:rsidRPr="001F40A6">
        <w:rPr>
          <w:rFonts w:asciiTheme="majorBidi" w:hAnsiTheme="majorBidi" w:cstheme="majorBidi"/>
          <w:b/>
          <w:color w:val="000000"/>
          <w:lang w:val="en-US"/>
        </w:rPr>
        <w:t>-</w:t>
      </w:r>
      <w:r w:rsidR="00043729" w:rsidRPr="001F40A6">
        <w:rPr>
          <w:rFonts w:asciiTheme="majorBidi" w:hAnsiTheme="majorBidi" w:cstheme="majorBidi"/>
          <w:b/>
          <w:color w:val="000000"/>
          <w:lang w:val="en-US"/>
        </w:rPr>
        <w:t>S</w:t>
      </w:r>
      <w:r w:rsidR="00AC682B" w:rsidRPr="001F40A6">
        <w:rPr>
          <w:rFonts w:asciiTheme="majorBidi" w:hAnsiTheme="majorBidi" w:cstheme="majorBidi"/>
          <w:b/>
          <w:color w:val="000000"/>
          <w:lang w:val="en-US"/>
        </w:rPr>
        <w:t>3</w:t>
      </w:r>
      <w:r w:rsidRPr="001F40A6">
        <w:rPr>
          <w:rFonts w:asciiTheme="majorBidi" w:hAnsiTheme="majorBidi" w:cstheme="majorBidi"/>
          <w:b/>
          <w:color w:val="000000"/>
          <w:lang w:val="en-US"/>
        </w:rPr>
        <w:t xml:space="preserve">. </w:t>
      </w:r>
      <w:r w:rsidRPr="001F40A6">
        <w:rPr>
          <w:rFonts w:asciiTheme="majorBidi" w:hAnsiTheme="majorBidi" w:cstheme="majorBidi"/>
          <w:bCs/>
          <w:color w:val="000000"/>
          <w:lang w:val="en-US"/>
        </w:rPr>
        <w:t>Logistic regression analysis of predictive factors associated with bacterial infection (mixed or bacteria alone) versus viral infection.</w:t>
      </w:r>
    </w:p>
    <w:tbl>
      <w:tblPr>
        <w:tblW w:w="11199" w:type="dxa"/>
        <w:tblLayout w:type="fixed"/>
        <w:tblCellMar>
          <w:left w:w="70" w:type="dxa"/>
          <w:right w:w="70" w:type="dxa"/>
        </w:tblCellMar>
        <w:tblLook w:val="04A0" w:firstRow="1" w:lastRow="0" w:firstColumn="1" w:lastColumn="0" w:noHBand="0" w:noVBand="1"/>
      </w:tblPr>
      <w:tblGrid>
        <w:gridCol w:w="4582"/>
        <w:gridCol w:w="2370"/>
        <w:gridCol w:w="1271"/>
        <w:gridCol w:w="1842"/>
        <w:gridCol w:w="1134"/>
      </w:tblGrid>
      <w:tr w:rsidR="00736C9F" w:rsidRPr="001F40A6" w14:paraId="1642D75D" w14:textId="77777777" w:rsidTr="006A5CB3">
        <w:trPr>
          <w:trHeight w:val="299"/>
        </w:trPr>
        <w:tc>
          <w:tcPr>
            <w:tcW w:w="4582" w:type="dxa"/>
            <w:tcBorders>
              <w:top w:val="single" w:sz="12" w:space="0" w:color="auto"/>
              <w:bottom w:val="single" w:sz="12" w:space="0" w:color="auto"/>
            </w:tcBorders>
            <w:shd w:val="clear" w:color="auto" w:fill="auto"/>
            <w:noWrap/>
            <w:vAlign w:val="center"/>
            <w:hideMark/>
          </w:tcPr>
          <w:bookmarkEnd w:id="5"/>
          <w:p w14:paraId="41312B20" w14:textId="77777777" w:rsidR="00736C9F" w:rsidRPr="001F40A6" w:rsidRDefault="00736C9F" w:rsidP="006A5CB3">
            <w:pPr>
              <w:ind w:right="283"/>
              <w:rPr>
                <w:b/>
                <w:bCs/>
                <w:color w:val="000000"/>
                <w:sz w:val="18"/>
                <w:szCs w:val="18"/>
                <w:lang w:val="en-US"/>
              </w:rPr>
            </w:pPr>
            <w:r w:rsidRPr="001F40A6">
              <w:rPr>
                <w:b/>
                <w:bCs/>
                <w:color w:val="000000"/>
                <w:sz w:val="18"/>
                <w:szCs w:val="18"/>
                <w:lang w:val="en-US"/>
              </w:rPr>
              <w:t>Variables </w:t>
            </w:r>
          </w:p>
          <w:p w14:paraId="16503B1A" w14:textId="77777777" w:rsidR="00736C9F" w:rsidRPr="001F40A6" w:rsidRDefault="00736C9F" w:rsidP="006A5CB3">
            <w:pPr>
              <w:ind w:right="283"/>
              <w:rPr>
                <w:color w:val="000000"/>
                <w:sz w:val="18"/>
                <w:szCs w:val="18"/>
                <w:lang w:val="en-US"/>
              </w:rPr>
            </w:pPr>
            <w:r w:rsidRPr="001F40A6">
              <w:rPr>
                <w:color w:val="000000"/>
                <w:sz w:val="18"/>
                <w:szCs w:val="18"/>
                <w:lang w:val="en-US"/>
              </w:rPr>
              <w:t>Viral infection, n=89</w:t>
            </w:r>
          </w:p>
          <w:p w14:paraId="1EF80B12" w14:textId="77777777" w:rsidR="00736C9F" w:rsidRPr="001F40A6" w:rsidRDefault="00736C9F" w:rsidP="006A5CB3">
            <w:pPr>
              <w:ind w:right="283"/>
              <w:rPr>
                <w:color w:val="000000"/>
                <w:sz w:val="18"/>
                <w:szCs w:val="18"/>
                <w:lang w:val="en-US"/>
              </w:rPr>
            </w:pPr>
            <w:r w:rsidRPr="001F40A6">
              <w:rPr>
                <w:color w:val="000000"/>
                <w:sz w:val="18"/>
                <w:szCs w:val="18"/>
                <w:lang w:val="en-US"/>
              </w:rPr>
              <w:t>Bacterial + mixed [bact + virus] infection, n=115</w:t>
            </w:r>
          </w:p>
          <w:p w14:paraId="2CCD74FA" w14:textId="77777777" w:rsidR="00736C9F" w:rsidRPr="001F40A6" w:rsidRDefault="00736C9F" w:rsidP="006A5CB3">
            <w:pPr>
              <w:ind w:right="283"/>
              <w:rPr>
                <w:b/>
                <w:bCs/>
                <w:color w:val="000000"/>
                <w:sz w:val="18"/>
                <w:szCs w:val="18"/>
                <w:lang w:val="en-US"/>
              </w:rPr>
            </w:pPr>
          </w:p>
        </w:tc>
        <w:tc>
          <w:tcPr>
            <w:tcW w:w="2370" w:type="dxa"/>
            <w:tcBorders>
              <w:top w:val="single" w:sz="12" w:space="0" w:color="auto"/>
              <w:bottom w:val="single" w:sz="12" w:space="0" w:color="auto"/>
            </w:tcBorders>
            <w:shd w:val="clear" w:color="auto" w:fill="auto"/>
            <w:noWrap/>
            <w:vAlign w:val="center"/>
            <w:hideMark/>
          </w:tcPr>
          <w:p w14:paraId="610D6094" w14:textId="77777777" w:rsidR="00736C9F" w:rsidRPr="001F40A6" w:rsidRDefault="00736C9F" w:rsidP="006A5CB3">
            <w:pPr>
              <w:ind w:right="283"/>
              <w:rPr>
                <w:b/>
                <w:color w:val="000000"/>
                <w:sz w:val="18"/>
                <w:szCs w:val="18"/>
                <w:lang w:val="en-US"/>
              </w:rPr>
            </w:pPr>
            <w:r w:rsidRPr="001F40A6">
              <w:rPr>
                <w:b/>
                <w:color w:val="000000"/>
                <w:sz w:val="18"/>
                <w:szCs w:val="18"/>
                <w:lang w:val="en-US"/>
              </w:rPr>
              <w:t>Univariable</w:t>
            </w:r>
          </w:p>
          <w:p w14:paraId="593EEBB9" w14:textId="77777777" w:rsidR="00736C9F" w:rsidRPr="001F40A6" w:rsidRDefault="00736C9F" w:rsidP="006A5CB3">
            <w:pPr>
              <w:ind w:right="283"/>
              <w:rPr>
                <w:b/>
                <w:color w:val="000000"/>
                <w:sz w:val="18"/>
                <w:szCs w:val="18"/>
                <w:lang w:val="en-US"/>
              </w:rPr>
            </w:pPr>
            <w:r w:rsidRPr="001F40A6">
              <w:rPr>
                <w:b/>
                <w:color w:val="000000"/>
                <w:sz w:val="18"/>
                <w:szCs w:val="18"/>
                <w:lang w:val="en-US"/>
              </w:rPr>
              <w:t>OR (95%CI)</w:t>
            </w:r>
          </w:p>
          <w:p w14:paraId="5DE60FDE" w14:textId="77777777" w:rsidR="00736C9F" w:rsidRPr="001F40A6" w:rsidRDefault="00736C9F" w:rsidP="006A5CB3">
            <w:pPr>
              <w:ind w:right="283"/>
              <w:rPr>
                <w:b/>
                <w:color w:val="000000"/>
                <w:sz w:val="18"/>
                <w:szCs w:val="18"/>
                <w:lang w:val="en-US"/>
              </w:rPr>
            </w:pPr>
          </w:p>
        </w:tc>
        <w:tc>
          <w:tcPr>
            <w:tcW w:w="1271" w:type="dxa"/>
            <w:tcBorders>
              <w:top w:val="single" w:sz="12" w:space="0" w:color="auto"/>
              <w:bottom w:val="single" w:sz="12" w:space="0" w:color="auto"/>
            </w:tcBorders>
            <w:shd w:val="clear" w:color="auto" w:fill="auto"/>
            <w:noWrap/>
            <w:vAlign w:val="center"/>
            <w:hideMark/>
          </w:tcPr>
          <w:p w14:paraId="5DFB948F" w14:textId="77777777" w:rsidR="00736C9F" w:rsidRPr="001F40A6" w:rsidRDefault="00736C9F" w:rsidP="006A5CB3">
            <w:pPr>
              <w:ind w:right="283"/>
              <w:rPr>
                <w:color w:val="000000"/>
                <w:sz w:val="18"/>
                <w:szCs w:val="18"/>
                <w:lang w:val="en-US"/>
              </w:rPr>
            </w:pPr>
            <w:r w:rsidRPr="001F40A6">
              <w:rPr>
                <w:i/>
                <w:iCs/>
                <w:color w:val="000000"/>
                <w:sz w:val="18"/>
                <w:szCs w:val="18"/>
                <w:lang w:val="en-US"/>
              </w:rPr>
              <w:t xml:space="preserve">P </w:t>
            </w:r>
            <w:r w:rsidRPr="001F40A6">
              <w:rPr>
                <w:color w:val="000000"/>
                <w:sz w:val="18"/>
                <w:szCs w:val="18"/>
                <w:lang w:val="en-US"/>
              </w:rPr>
              <w:t>value</w:t>
            </w:r>
          </w:p>
          <w:p w14:paraId="177F14C8" w14:textId="77777777" w:rsidR="00736C9F" w:rsidRPr="001F40A6" w:rsidRDefault="00736C9F" w:rsidP="006A5CB3">
            <w:pPr>
              <w:ind w:right="283"/>
              <w:rPr>
                <w:color w:val="000000"/>
                <w:sz w:val="18"/>
                <w:szCs w:val="18"/>
                <w:lang w:val="en-US"/>
              </w:rPr>
            </w:pPr>
          </w:p>
        </w:tc>
        <w:tc>
          <w:tcPr>
            <w:tcW w:w="1842" w:type="dxa"/>
            <w:tcBorders>
              <w:top w:val="single" w:sz="12" w:space="0" w:color="auto"/>
              <w:bottom w:val="single" w:sz="12" w:space="0" w:color="auto"/>
            </w:tcBorders>
            <w:shd w:val="clear" w:color="auto" w:fill="auto"/>
            <w:noWrap/>
            <w:vAlign w:val="center"/>
            <w:hideMark/>
          </w:tcPr>
          <w:p w14:paraId="014D068A" w14:textId="77777777" w:rsidR="00736C9F" w:rsidRPr="001F40A6" w:rsidRDefault="00736C9F" w:rsidP="006A5CB3">
            <w:pPr>
              <w:ind w:right="283"/>
              <w:rPr>
                <w:b/>
                <w:color w:val="000000"/>
                <w:sz w:val="18"/>
                <w:szCs w:val="18"/>
                <w:lang w:val="en-US"/>
              </w:rPr>
            </w:pPr>
            <w:r w:rsidRPr="001F40A6">
              <w:rPr>
                <w:b/>
                <w:color w:val="000000"/>
                <w:sz w:val="18"/>
                <w:szCs w:val="18"/>
                <w:lang w:val="en-US"/>
              </w:rPr>
              <w:t>Multivariable</w:t>
            </w:r>
          </w:p>
          <w:p w14:paraId="0300935C" w14:textId="77777777" w:rsidR="00736C9F" w:rsidRPr="001F40A6" w:rsidRDefault="00736C9F" w:rsidP="006A5CB3">
            <w:pPr>
              <w:ind w:right="283"/>
              <w:rPr>
                <w:b/>
                <w:color w:val="000000"/>
                <w:sz w:val="18"/>
                <w:szCs w:val="18"/>
                <w:lang w:val="en-US"/>
              </w:rPr>
            </w:pPr>
            <w:r w:rsidRPr="001F40A6">
              <w:rPr>
                <w:b/>
                <w:color w:val="000000"/>
                <w:sz w:val="18"/>
                <w:szCs w:val="18"/>
                <w:lang w:val="en-US"/>
              </w:rPr>
              <w:t>OR (95%CI)</w:t>
            </w:r>
          </w:p>
          <w:p w14:paraId="4821DEE1" w14:textId="77777777" w:rsidR="00736C9F" w:rsidRPr="001F40A6" w:rsidRDefault="00736C9F" w:rsidP="006A5CB3">
            <w:pPr>
              <w:ind w:right="283"/>
              <w:rPr>
                <w:b/>
                <w:color w:val="000000"/>
                <w:sz w:val="18"/>
                <w:szCs w:val="18"/>
                <w:lang w:val="en-US"/>
              </w:rPr>
            </w:pPr>
          </w:p>
        </w:tc>
        <w:tc>
          <w:tcPr>
            <w:tcW w:w="1134" w:type="dxa"/>
            <w:tcBorders>
              <w:top w:val="single" w:sz="12" w:space="0" w:color="auto"/>
              <w:bottom w:val="single" w:sz="12" w:space="0" w:color="auto"/>
            </w:tcBorders>
            <w:shd w:val="clear" w:color="auto" w:fill="auto"/>
            <w:noWrap/>
            <w:vAlign w:val="center"/>
            <w:hideMark/>
          </w:tcPr>
          <w:p w14:paraId="56703464" w14:textId="77777777" w:rsidR="00736C9F" w:rsidRPr="001F40A6" w:rsidRDefault="00736C9F" w:rsidP="006A5CB3">
            <w:pPr>
              <w:ind w:right="283"/>
              <w:rPr>
                <w:color w:val="000000"/>
                <w:sz w:val="18"/>
                <w:szCs w:val="18"/>
                <w:lang w:val="en-US"/>
              </w:rPr>
            </w:pPr>
            <w:r w:rsidRPr="001F40A6">
              <w:rPr>
                <w:i/>
                <w:iCs/>
                <w:color w:val="000000"/>
                <w:sz w:val="18"/>
                <w:szCs w:val="18"/>
                <w:lang w:val="en-US"/>
              </w:rPr>
              <w:t xml:space="preserve">P </w:t>
            </w:r>
            <w:r w:rsidRPr="001F40A6">
              <w:rPr>
                <w:color w:val="000000"/>
                <w:sz w:val="18"/>
                <w:szCs w:val="18"/>
                <w:lang w:val="en-US"/>
              </w:rPr>
              <w:t>value</w:t>
            </w:r>
          </w:p>
          <w:p w14:paraId="2996B8F8" w14:textId="77777777" w:rsidR="00736C9F" w:rsidRPr="001F40A6" w:rsidRDefault="00736C9F" w:rsidP="006A5CB3">
            <w:pPr>
              <w:ind w:right="283"/>
              <w:rPr>
                <w:color w:val="000000"/>
                <w:sz w:val="18"/>
                <w:szCs w:val="18"/>
                <w:lang w:val="en-US"/>
              </w:rPr>
            </w:pPr>
          </w:p>
        </w:tc>
      </w:tr>
      <w:tr w:rsidR="00736C9F" w:rsidRPr="001F40A6" w14:paraId="0E45E93E" w14:textId="77777777" w:rsidTr="006A5CB3">
        <w:trPr>
          <w:trHeight w:val="287"/>
        </w:trPr>
        <w:tc>
          <w:tcPr>
            <w:tcW w:w="4582" w:type="dxa"/>
            <w:shd w:val="clear" w:color="auto" w:fill="F2F2F2" w:themeFill="background1" w:themeFillShade="F2"/>
            <w:noWrap/>
            <w:vAlign w:val="center"/>
            <w:hideMark/>
          </w:tcPr>
          <w:p w14:paraId="1D4CD963" w14:textId="77777777" w:rsidR="00736C9F" w:rsidRPr="001F40A6" w:rsidRDefault="00736C9F" w:rsidP="006A5CB3">
            <w:pPr>
              <w:ind w:right="283"/>
              <w:rPr>
                <w:b/>
                <w:color w:val="000000"/>
                <w:sz w:val="18"/>
                <w:szCs w:val="18"/>
                <w:lang w:val="en-US"/>
              </w:rPr>
            </w:pPr>
            <w:r w:rsidRPr="001F40A6">
              <w:rPr>
                <w:b/>
                <w:color w:val="000000"/>
                <w:sz w:val="18"/>
                <w:szCs w:val="18"/>
                <w:lang w:val="en-US"/>
              </w:rPr>
              <w:t xml:space="preserve">Clinical characteristics   </w:t>
            </w:r>
          </w:p>
        </w:tc>
        <w:tc>
          <w:tcPr>
            <w:tcW w:w="2370" w:type="dxa"/>
            <w:shd w:val="clear" w:color="auto" w:fill="F2F2F2" w:themeFill="background1" w:themeFillShade="F2"/>
            <w:noWrap/>
            <w:vAlign w:val="center"/>
          </w:tcPr>
          <w:p w14:paraId="283C7333" w14:textId="77777777" w:rsidR="00736C9F" w:rsidRPr="001F40A6" w:rsidRDefault="00736C9F" w:rsidP="006A5CB3">
            <w:pPr>
              <w:ind w:right="283"/>
              <w:rPr>
                <w:color w:val="000000"/>
                <w:sz w:val="18"/>
                <w:szCs w:val="18"/>
                <w:lang w:val="en-US"/>
              </w:rPr>
            </w:pPr>
          </w:p>
        </w:tc>
        <w:tc>
          <w:tcPr>
            <w:tcW w:w="1271" w:type="dxa"/>
            <w:shd w:val="clear" w:color="auto" w:fill="F2F2F2" w:themeFill="background1" w:themeFillShade="F2"/>
            <w:noWrap/>
            <w:vAlign w:val="center"/>
          </w:tcPr>
          <w:p w14:paraId="321C22E7" w14:textId="77777777" w:rsidR="00736C9F" w:rsidRPr="001F40A6" w:rsidRDefault="00736C9F" w:rsidP="006A5CB3">
            <w:pPr>
              <w:ind w:right="283"/>
              <w:rPr>
                <w:color w:val="000000"/>
                <w:sz w:val="18"/>
                <w:szCs w:val="18"/>
                <w:lang w:val="en-US"/>
              </w:rPr>
            </w:pPr>
          </w:p>
        </w:tc>
        <w:tc>
          <w:tcPr>
            <w:tcW w:w="1842" w:type="dxa"/>
            <w:shd w:val="clear" w:color="auto" w:fill="F2F2F2" w:themeFill="background1" w:themeFillShade="F2"/>
            <w:noWrap/>
            <w:vAlign w:val="center"/>
          </w:tcPr>
          <w:p w14:paraId="7C73B44F" w14:textId="77777777" w:rsidR="00736C9F" w:rsidRPr="001F40A6" w:rsidRDefault="00736C9F" w:rsidP="006A5CB3">
            <w:pPr>
              <w:ind w:right="283"/>
              <w:rPr>
                <w:color w:val="000000"/>
                <w:sz w:val="18"/>
                <w:szCs w:val="18"/>
                <w:lang w:val="en-US"/>
              </w:rPr>
            </w:pPr>
          </w:p>
        </w:tc>
        <w:tc>
          <w:tcPr>
            <w:tcW w:w="1134" w:type="dxa"/>
            <w:shd w:val="clear" w:color="auto" w:fill="F2F2F2" w:themeFill="background1" w:themeFillShade="F2"/>
            <w:noWrap/>
            <w:vAlign w:val="center"/>
          </w:tcPr>
          <w:p w14:paraId="7DD923F8" w14:textId="77777777" w:rsidR="00736C9F" w:rsidRPr="001F40A6" w:rsidRDefault="00736C9F" w:rsidP="006A5CB3">
            <w:pPr>
              <w:ind w:right="283"/>
              <w:rPr>
                <w:color w:val="000000"/>
                <w:sz w:val="18"/>
                <w:szCs w:val="18"/>
                <w:lang w:val="en-US"/>
              </w:rPr>
            </w:pPr>
          </w:p>
        </w:tc>
      </w:tr>
      <w:tr w:rsidR="00736C9F" w:rsidRPr="001F40A6" w14:paraId="332D9BF3" w14:textId="77777777" w:rsidTr="006A5CB3">
        <w:trPr>
          <w:trHeight w:val="287"/>
        </w:trPr>
        <w:tc>
          <w:tcPr>
            <w:tcW w:w="4582" w:type="dxa"/>
            <w:shd w:val="clear" w:color="auto" w:fill="auto"/>
            <w:noWrap/>
            <w:vAlign w:val="center"/>
          </w:tcPr>
          <w:p w14:paraId="2B11A4A6"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Age, years (+ 1 year)</w:t>
            </w:r>
          </w:p>
        </w:tc>
        <w:tc>
          <w:tcPr>
            <w:tcW w:w="2370" w:type="dxa"/>
            <w:shd w:val="clear" w:color="auto" w:fill="auto"/>
            <w:noWrap/>
            <w:vAlign w:val="center"/>
          </w:tcPr>
          <w:p w14:paraId="5EE645D3"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0.99 [0.96-1.01]</w:t>
            </w:r>
          </w:p>
        </w:tc>
        <w:tc>
          <w:tcPr>
            <w:tcW w:w="1271" w:type="dxa"/>
            <w:shd w:val="clear" w:color="auto" w:fill="auto"/>
            <w:noWrap/>
            <w:vAlign w:val="center"/>
          </w:tcPr>
          <w:p w14:paraId="4311A178"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0.41</w:t>
            </w:r>
          </w:p>
        </w:tc>
        <w:tc>
          <w:tcPr>
            <w:tcW w:w="1842" w:type="dxa"/>
            <w:shd w:val="clear" w:color="auto" w:fill="auto"/>
            <w:noWrap/>
            <w:vAlign w:val="center"/>
          </w:tcPr>
          <w:p w14:paraId="166C4F10"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5421E3D1" w14:textId="77777777" w:rsidR="00736C9F" w:rsidRPr="001F40A6" w:rsidRDefault="00736C9F" w:rsidP="006A5CB3">
            <w:pPr>
              <w:ind w:right="283"/>
              <w:jc w:val="center"/>
              <w:rPr>
                <w:color w:val="000000"/>
                <w:sz w:val="18"/>
                <w:szCs w:val="18"/>
                <w:lang w:val="en-US"/>
              </w:rPr>
            </w:pPr>
          </w:p>
        </w:tc>
      </w:tr>
      <w:tr w:rsidR="00736C9F" w:rsidRPr="001F40A6" w14:paraId="46983A38" w14:textId="77777777" w:rsidTr="006A5CB3">
        <w:trPr>
          <w:trHeight w:val="287"/>
        </w:trPr>
        <w:tc>
          <w:tcPr>
            <w:tcW w:w="4582" w:type="dxa"/>
            <w:shd w:val="clear" w:color="auto" w:fill="auto"/>
            <w:noWrap/>
            <w:vAlign w:val="center"/>
          </w:tcPr>
          <w:p w14:paraId="77C476A4" w14:textId="77777777" w:rsidR="00736C9F" w:rsidRPr="001F40A6" w:rsidRDefault="00736C9F" w:rsidP="006A5CB3">
            <w:pPr>
              <w:ind w:right="283"/>
              <w:rPr>
                <w:b/>
                <w:bCs/>
                <w:color w:val="000000"/>
                <w:sz w:val="18"/>
                <w:szCs w:val="18"/>
                <w:lang w:val="en-US"/>
              </w:rPr>
            </w:pPr>
            <w:r w:rsidRPr="001F40A6">
              <w:rPr>
                <w:b/>
                <w:bCs/>
                <w:color w:val="000000"/>
                <w:sz w:val="18"/>
                <w:szCs w:val="18"/>
                <w:lang w:val="en-US"/>
              </w:rPr>
              <w:t xml:space="preserve">   Male sex</w:t>
            </w:r>
          </w:p>
        </w:tc>
        <w:tc>
          <w:tcPr>
            <w:tcW w:w="2370" w:type="dxa"/>
            <w:shd w:val="clear" w:color="auto" w:fill="auto"/>
            <w:noWrap/>
            <w:vAlign w:val="center"/>
          </w:tcPr>
          <w:p w14:paraId="470868B7"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1.46 [0.81-2.64]</w:t>
            </w:r>
          </w:p>
        </w:tc>
        <w:tc>
          <w:tcPr>
            <w:tcW w:w="1271" w:type="dxa"/>
            <w:shd w:val="clear" w:color="auto" w:fill="auto"/>
            <w:noWrap/>
            <w:vAlign w:val="center"/>
          </w:tcPr>
          <w:p w14:paraId="28A60721"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0.22</w:t>
            </w:r>
          </w:p>
        </w:tc>
        <w:tc>
          <w:tcPr>
            <w:tcW w:w="1842" w:type="dxa"/>
            <w:shd w:val="clear" w:color="auto" w:fill="auto"/>
            <w:noWrap/>
            <w:vAlign w:val="center"/>
          </w:tcPr>
          <w:p w14:paraId="046C3DE1"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2.21 [1.14-4.41]</w:t>
            </w:r>
          </w:p>
        </w:tc>
        <w:tc>
          <w:tcPr>
            <w:tcW w:w="1134" w:type="dxa"/>
            <w:shd w:val="clear" w:color="auto" w:fill="auto"/>
            <w:noWrap/>
            <w:vAlign w:val="center"/>
          </w:tcPr>
          <w:p w14:paraId="478E9FC1"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0.02</w:t>
            </w:r>
          </w:p>
        </w:tc>
      </w:tr>
      <w:tr w:rsidR="00736C9F" w:rsidRPr="001F40A6" w14:paraId="1F935CBF" w14:textId="77777777" w:rsidTr="006A5CB3">
        <w:trPr>
          <w:trHeight w:val="287"/>
        </w:trPr>
        <w:tc>
          <w:tcPr>
            <w:tcW w:w="4582" w:type="dxa"/>
            <w:shd w:val="clear" w:color="auto" w:fill="auto"/>
            <w:noWrap/>
            <w:vAlign w:val="center"/>
          </w:tcPr>
          <w:p w14:paraId="58FE57E6"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Immunodeficiency</w:t>
            </w:r>
          </w:p>
        </w:tc>
        <w:tc>
          <w:tcPr>
            <w:tcW w:w="2370" w:type="dxa"/>
            <w:shd w:val="clear" w:color="auto" w:fill="auto"/>
            <w:noWrap/>
            <w:vAlign w:val="center"/>
          </w:tcPr>
          <w:p w14:paraId="1319CF84"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1.11 [0.59-2.08]</w:t>
            </w:r>
          </w:p>
        </w:tc>
        <w:tc>
          <w:tcPr>
            <w:tcW w:w="1271" w:type="dxa"/>
            <w:shd w:val="clear" w:color="auto" w:fill="auto"/>
            <w:noWrap/>
            <w:vAlign w:val="center"/>
          </w:tcPr>
          <w:p w14:paraId="603AC96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0.75</w:t>
            </w:r>
          </w:p>
        </w:tc>
        <w:tc>
          <w:tcPr>
            <w:tcW w:w="1842" w:type="dxa"/>
            <w:shd w:val="clear" w:color="auto" w:fill="auto"/>
            <w:noWrap/>
            <w:vAlign w:val="center"/>
          </w:tcPr>
          <w:p w14:paraId="4A4D5513"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13C59FE2" w14:textId="77777777" w:rsidR="00736C9F" w:rsidRPr="001F40A6" w:rsidRDefault="00736C9F" w:rsidP="006A5CB3">
            <w:pPr>
              <w:ind w:right="283"/>
              <w:jc w:val="center"/>
              <w:rPr>
                <w:color w:val="000000"/>
                <w:sz w:val="18"/>
                <w:szCs w:val="18"/>
                <w:lang w:val="en-US"/>
              </w:rPr>
            </w:pPr>
          </w:p>
        </w:tc>
      </w:tr>
      <w:tr w:rsidR="00736C9F" w:rsidRPr="001F40A6" w14:paraId="4540FBF1" w14:textId="77777777" w:rsidTr="006A5CB3">
        <w:trPr>
          <w:trHeight w:val="287"/>
        </w:trPr>
        <w:tc>
          <w:tcPr>
            <w:tcW w:w="4582" w:type="dxa"/>
            <w:shd w:val="clear" w:color="auto" w:fill="auto"/>
            <w:noWrap/>
            <w:vAlign w:val="center"/>
          </w:tcPr>
          <w:p w14:paraId="7359D557"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Performans status (+1 point)</w:t>
            </w:r>
          </w:p>
        </w:tc>
        <w:tc>
          <w:tcPr>
            <w:tcW w:w="2370" w:type="dxa"/>
            <w:shd w:val="clear" w:color="auto" w:fill="auto"/>
            <w:noWrap/>
            <w:vAlign w:val="center"/>
          </w:tcPr>
          <w:p w14:paraId="585A4F28"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0.92 [0.66-1.26]</w:t>
            </w:r>
          </w:p>
        </w:tc>
        <w:tc>
          <w:tcPr>
            <w:tcW w:w="1271" w:type="dxa"/>
            <w:shd w:val="clear" w:color="auto" w:fill="auto"/>
            <w:noWrap/>
            <w:vAlign w:val="center"/>
          </w:tcPr>
          <w:p w14:paraId="1B9BA8BF"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0.92</w:t>
            </w:r>
          </w:p>
        </w:tc>
        <w:tc>
          <w:tcPr>
            <w:tcW w:w="1842" w:type="dxa"/>
            <w:shd w:val="clear" w:color="auto" w:fill="auto"/>
            <w:noWrap/>
            <w:vAlign w:val="center"/>
          </w:tcPr>
          <w:p w14:paraId="3DA55A7D"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0B8D429B" w14:textId="77777777" w:rsidR="00736C9F" w:rsidRPr="001F40A6" w:rsidRDefault="00736C9F" w:rsidP="006A5CB3">
            <w:pPr>
              <w:ind w:right="283"/>
              <w:jc w:val="center"/>
              <w:rPr>
                <w:b/>
                <w:color w:val="000000"/>
                <w:sz w:val="18"/>
                <w:szCs w:val="18"/>
                <w:lang w:val="en-US"/>
              </w:rPr>
            </w:pPr>
          </w:p>
        </w:tc>
      </w:tr>
      <w:tr w:rsidR="00736C9F" w:rsidRPr="001F40A6" w14:paraId="17B7E480" w14:textId="77777777" w:rsidTr="006A5CB3">
        <w:trPr>
          <w:trHeight w:val="287"/>
        </w:trPr>
        <w:tc>
          <w:tcPr>
            <w:tcW w:w="4582" w:type="dxa"/>
            <w:shd w:val="clear" w:color="auto" w:fill="auto"/>
            <w:noWrap/>
            <w:vAlign w:val="center"/>
          </w:tcPr>
          <w:p w14:paraId="690E18E7"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GOLD classification (+ 1 point)</w:t>
            </w:r>
          </w:p>
        </w:tc>
        <w:tc>
          <w:tcPr>
            <w:tcW w:w="2370" w:type="dxa"/>
            <w:shd w:val="clear" w:color="auto" w:fill="auto"/>
            <w:noWrap/>
            <w:vAlign w:val="center"/>
          </w:tcPr>
          <w:p w14:paraId="5CDE334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1.08 [0.56-2.07]</w:t>
            </w:r>
          </w:p>
        </w:tc>
        <w:tc>
          <w:tcPr>
            <w:tcW w:w="1271" w:type="dxa"/>
            <w:shd w:val="clear" w:color="auto" w:fill="auto"/>
            <w:noWrap/>
            <w:vAlign w:val="center"/>
          </w:tcPr>
          <w:p w14:paraId="53621112"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0.82</w:t>
            </w:r>
          </w:p>
        </w:tc>
        <w:tc>
          <w:tcPr>
            <w:tcW w:w="1842" w:type="dxa"/>
            <w:shd w:val="clear" w:color="auto" w:fill="auto"/>
            <w:noWrap/>
            <w:vAlign w:val="center"/>
          </w:tcPr>
          <w:p w14:paraId="7435B70D"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4BBC73EB" w14:textId="77777777" w:rsidR="00736C9F" w:rsidRPr="001F40A6" w:rsidRDefault="00736C9F" w:rsidP="006A5CB3">
            <w:pPr>
              <w:ind w:right="283"/>
              <w:jc w:val="center"/>
              <w:rPr>
                <w:b/>
                <w:color w:val="000000"/>
                <w:sz w:val="18"/>
                <w:szCs w:val="18"/>
                <w:lang w:val="en-US"/>
              </w:rPr>
            </w:pPr>
          </w:p>
        </w:tc>
      </w:tr>
      <w:tr w:rsidR="00736C9F" w:rsidRPr="001F40A6" w14:paraId="11CC1EDA" w14:textId="77777777" w:rsidTr="006A5CB3">
        <w:trPr>
          <w:trHeight w:val="287"/>
        </w:trPr>
        <w:tc>
          <w:tcPr>
            <w:tcW w:w="4582" w:type="dxa"/>
            <w:shd w:val="clear" w:color="auto" w:fill="auto"/>
            <w:noWrap/>
            <w:vAlign w:val="center"/>
          </w:tcPr>
          <w:p w14:paraId="04C5CC15"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Chronic heart failure</w:t>
            </w:r>
          </w:p>
        </w:tc>
        <w:tc>
          <w:tcPr>
            <w:tcW w:w="2370" w:type="dxa"/>
            <w:shd w:val="clear" w:color="auto" w:fill="auto"/>
            <w:noWrap/>
            <w:vAlign w:val="center"/>
          </w:tcPr>
          <w:p w14:paraId="33330358"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1.31 [0.59-3.02]</w:t>
            </w:r>
          </w:p>
        </w:tc>
        <w:tc>
          <w:tcPr>
            <w:tcW w:w="1271" w:type="dxa"/>
            <w:shd w:val="clear" w:color="auto" w:fill="auto"/>
            <w:noWrap/>
            <w:vAlign w:val="center"/>
          </w:tcPr>
          <w:p w14:paraId="471405E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0.50</w:t>
            </w:r>
          </w:p>
        </w:tc>
        <w:tc>
          <w:tcPr>
            <w:tcW w:w="1842" w:type="dxa"/>
            <w:shd w:val="clear" w:color="auto" w:fill="auto"/>
            <w:noWrap/>
            <w:vAlign w:val="center"/>
          </w:tcPr>
          <w:p w14:paraId="6633854C"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618DA3A7" w14:textId="77777777" w:rsidR="00736C9F" w:rsidRPr="001F40A6" w:rsidRDefault="00736C9F" w:rsidP="006A5CB3">
            <w:pPr>
              <w:ind w:right="283"/>
              <w:jc w:val="center"/>
              <w:rPr>
                <w:b/>
                <w:color w:val="000000"/>
                <w:sz w:val="18"/>
                <w:szCs w:val="18"/>
                <w:lang w:val="en-US"/>
              </w:rPr>
            </w:pPr>
          </w:p>
        </w:tc>
      </w:tr>
      <w:tr w:rsidR="00736C9F" w:rsidRPr="001F40A6" w14:paraId="28568314" w14:textId="77777777" w:rsidTr="006A5CB3">
        <w:trPr>
          <w:trHeight w:val="287"/>
        </w:trPr>
        <w:tc>
          <w:tcPr>
            <w:tcW w:w="4582" w:type="dxa"/>
            <w:shd w:val="clear" w:color="auto" w:fill="auto"/>
            <w:noWrap/>
            <w:vAlign w:val="center"/>
          </w:tcPr>
          <w:p w14:paraId="5EC85B39"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Chronic right heart failure</w:t>
            </w:r>
          </w:p>
        </w:tc>
        <w:tc>
          <w:tcPr>
            <w:tcW w:w="2370" w:type="dxa"/>
            <w:shd w:val="clear" w:color="auto" w:fill="auto"/>
            <w:noWrap/>
            <w:vAlign w:val="center"/>
          </w:tcPr>
          <w:p w14:paraId="4760853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0.48 [0.25-0.91]</w:t>
            </w:r>
          </w:p>
        </w:tc>
        <w:tc>
          <w:tcPr>
            <w:tcW w:w="1271" w:type="dxa"/>
            <w:shd w:val="clear" w:color="auto" w:fill="auto"/>
            <w:noWrap/>
            <w:vAlign w:val="center"/>
          </w:tcPr>
          <w:p w14:paraId="5CE3F502"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0.02</w:t>
            </w:r>
          </w:p>
        </w:tc>
        <w:tc>
          <w:tcPr>
            <w:tcW w:w="1842" w:type="dxa"/>
            <w:shd w:val="clear" w:color="auto" w:fill="auto"/>
            <w:noWrap/>
            <w:vAlign w:val="center"/>
          </w:tcPr>
          <w:p w14:paraId="303B3FFE"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6C12CD2F" w14:textId="77777777" w:rsidR="00736C9F" w:rsidRPr="001F40A6" w:rsidRDefault="00736C9F" w:rsidP="006A5CB3">
            <w:pPr>
              <w:ind w:right="283"/>
              <w:jc w:val="center"/>
              <w:rPr>
                <w:color w:val="000000"/>
                <w:sz w:val="18"/>
                <w:szCs w:val="18"/>
                <w:lang w:val="en-US"/>
              </w:rPr>
            </w:pPr>
          </w:p>
        </w:tc>
      </w:tr>
      <w:tr w:rsidR="00736C9F" w:rsidRPr="001F40A6" w14:paraId="4BBCE39D" w14:textId="77777777" w:rsidTr="006A5CB3">
        <w:trPr>
          <w:trHeight w:val="287"/>
        </w:trPr>
        <w:tc>
          <w:tcPr>
            <w:tcW w:w="4582" w:type="dxa"/>
            <w:shd w:val="clear" w:color="auto" w:fill="auto"/>
            <w:noWrap/>
            <w:vAlign w:val="center"/>
          </w:tcPr>
          <w:p w14:paraId="19EF6B9D"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Body mass index (kg/m2)</w:t>
            </w:r>
          </w:p>
        </w:tc>
        <w:tc>
          <w:tcPr>
            <w:tcW w:w="2370" w:type="dxa"/>
            <w:shd w:val="clear" w:color="auto" w:fill="auto"/>
            <w:noWrap/>
            <w:vAlign w:val="center"/>
          </w:tcPr>
          <w:p w14:paraId="1100153E"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0.97 [0.94-1.02]</w:t>
            </w:r>
          </w:p>
        </w:tc>
        <w:tc>
          <w:tcPr>
            <w:tcW w:w="1271" w:type="dxa"/>
            <w:shd w:val="clear" w:color="auto" w:fill="auto"/>
            <w:noWrap/>
            <w:vAlign w:val="center"/>
          </w:tcPr>
          <w:p w14:paraId="4B3BAFA2"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0.21</w:t>
            </w:r>
          </w:p>
        </w:tc>
        <w:tc>
          <w:tcPr>
            <w:tcW w:w="1842" w:type="dxa"/>
            <w:shd w:val="clear" w:color="auto" w:fill="auto"/>
            <w:noWrap/>
            <w:vAlign w:val="center"/>
          </w:tcPr>
          <w:p w14:paraId="4BCDB7F6"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2E17379A" w14:textId="77777777" w:rsidR="00736C9F" w:rsidRPr="001F40A6" w:rsidRDefault="00736C9F" w:rsidP="006A5CB3">
            <w:pPr>
              <w:ind w:right="283"/>
              <w:jc w:val="center"/>
              <w:rPr>
                <w:color w:val="000000"/>
                <w:sz w:val="18"/>
                <w:szCs w:val="18"/>
                <w:lang w:val="en-US"/>
              </w:rPr>
            </w:pPr>
          </w:p>
        </w:tc>
      </w:tr>
      <w:tr w:rsidR="00736C9F" w:rsidRPr="001F40A6" w14:paraId="7E3E4937" w14:textId="77777777" w:rsidTr="006A5CB3">
        <w:trPr>
          <w:trHeight w:val="287"/>
        </w:trPr>
        <w:tc>
          <w:tcPr>
            <w:tcW w:w="4582" w:type="dxa"/>
            <w:shd w:val="clear" w:color="auto" w:fill="auto"/>
            <w:noWrap/>
            <w:vAlign w:val="center"/>
          </w:tcPr>
          <w:p w14:paraId="2874E19E"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Denutrition</w:t>
            </w:r>
          </w:p>
        </w:tc>
        <w:tc>
          <w:tcPr>
            <w:tcW w:w="2370" w:type="dxa"/>
            <w:shd w:val="clear" w:color="auto" w:fill="auto"/>
            <w:noWrap/>
            <w:vAlign w:val="center"/>
          </w:tcPr>
          <w:p w14:paraId="27002D3C"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1.95 [1.11-3.46]</w:t>
            </w:r>
          </w:p>
        </w:tc>
        <w:tc>
          <w:tcPr>
            <w:tcW w:w="1271" w:type="dxa"/>
            <w:shd w:val="clear" w:color="auto" w:fill="auto"/>
            <w:noWrap/>
            <w:vAlign w:val="center"/>
          </w:tcPr>
          <w:p w14:paraId="4CD4318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0.02</w:t>
            </w:r>
          </w:p>
        </w:tc>
        <w:tc>
          <w:tcPr>
            <w:tcW w:w="1842" w:type="dxa"/>
            <w:shd w:val="clear" w:color="auto" w:fill="auto"/>
            <w:noWrap/>
            <w:vAlign w:val="center"/>
          </w:tcPr>
          <w:p w14:paraId="037D2D57"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74410A8A" w14:textId="77777777" w:rsidR="00736C9F" w:rsidRPr="001F40A6" w:rsidRDefault="00736C9F" w:rsidP="006A5CB3">
            <w:pPr>
              <w:ind w:right="283"/>
              <w:jc w:val="center"/>
              <w:rPr>
                <w:color w:val="000000"/>
                <w:sz w:val="18"/>
                <w:szCs w:val="18"/>
                <w:lang w:val="en-US"/>
              </w:rPr>
            </w:pPr>
          </w:p>
        </w:tc>
      </w:tr>
      <w:tr w:rsidR="00736C9F" w:rsidRPr="001F40A6" w14:paraId="3FCA6057" w14:textId="77777777" w:rsidTr="006A5CB3">
        <w:trPr>
          <w:trHeight w:val="287"/>
        </w:trPr>
        <w:tc>
          <w:tcPr>
            <w:tcW w:w="4582" w:type="dxa"/>
            <w:shd w:val="clear" w:color="auto" w:fill="auto"/>
            <w:noWrap/>
            <w:vAlign w:val="center"/>
          </w:tcPr>
          <w:p w14:paraId="368BB133"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Long-term oral corticosteroids therapy</w:t>
            </w:r>
          </w:p>
        </w:tc>
        <w:tc>
          <w:tcPr>
            <w:tcW w:w="2370" w:type="dxa"/>
            <w:shd w:val="clear" w:color="auto" w:fill="auto"/>
            <w:noWrap/>
            <w:vAlign w:val="center"/>
          </w:tcPr>
          <w:p w14:paraId="2819D2DC"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0.96 [0.43-2.21]</w:t>
            </w:r>
          </w:p>
        </w:tc>
        <w:tc>
          <w:tcPr>
            <w:tcW w:w="1271" w:type="dxa"/>
            <w:shd w:val="clear" w:color="auto" w:fill="auto"/>
            <w:noWrap/>
            <w:vAlign w:val="center"/>
          </w:tcPr>
          <w:p w14:paraId="01BB19E4"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0.92</w:t>
            </w:r>
          </w:p>
        </w:tc>
        <w:tc>
          <w:tcPr>
            <w:tcW w:w="1842" w:type="dxa"/>
            <w:shd w:val="clear" w:color="auto" w:fill="auto"/>
            <w:noWrap/>
            <w:vAlign w:val="center"/>
          </w:tcPr>
          <w:p w14:paraId="01DCFCC0"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15D8F8B8" w14:textId="77777777" w:rsidR="00736C9F" w:rsidRPr="001F40A6" w:rsidRDefault="00736C9F" w:rsidP="006A5CB3">
            <w:pPr>
              <w:ind w:right="283"/>
              <w:jc w:val="center"/>
              <w:rPr>
                <w:color w:val="000000"/>
                <w:sz w:val="18"/>
                <w:szCs w:val="18"/>
                <w:lang w:val="en-US"/>
              </w:rPr>
            </w:pPr>
          </w:p>
        </w:tc>
      </w:tr>
      <w:tr w:rsidR="00736C9F" w:rsidRPr="001F40A6" w14:paraId="123004C2" w14:textId="77777777" w:rsidTr="006A5CB3">
        <w:trPr>
          <w:trHeight w:val="287"/>
        </w:trPr>
        <w:tc>
          <w:tcPr>
            <w:tcW w:w="4582" w:type="dxa"/>
            <w:shd w:val="clear" w:color="auto" w:fill="auto"/>
            <w:noWrap/>
            <w:vAlign w:val="center"/>
          </w:tcPr>
          <w:p w14:paraId="51DEAFFB"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Long-term oxygen therapy</w:t>
            </w:r>
          </w:p>
        </w:tc>
        <w:tc>
          <w:tcPr>
            <w:tcW w:w="2370" w:type="dxa"/>
            <w:shd w:val="clear" w:color="auto" w:fill="auto"/>
            <w:noWrap/>
            <w:vAlign w:val="center"/>
          </w:tcPr>
          <w:p w14:paraId="671217A8"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1.42 [0.76-2.69]</w:t>
            </w:r>
          </w:p>
        </w:tc>
        <w:tc>
          <w:tcPr>
            <w:tcW w:w="1271" w:type="dxa"/>
            <w:shd w:val="clear" w:color="auto" w:fill="auto"/>
            <w:noWrap/>
            <w:vAlign w:val="center"/>
          </w:tcPr>
          <w:p w14:paraId="3C228251"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0.28</w:t>
            </w:r>
          </w:p>
        </w:tc>
        <w:tc>
          <w:tcPr>
            <w:tcW w:w="1842" w:type="dxa"/>
            <w:shd w:val="clear" w:color="auto" w:fill="auto"/>
            <w:noWrap/>
            <w:vAlign w:val="center"/>
          </w:tcPr>
          <w:p w14:paraId="12EE21B0"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548F229F" w14:textId="77777777" w:rsidR="00736C9F" w:rsidRPr="001F40A6" w:rsidRDefault="00736C9F" w:rsidP="006A5CB3">
            <w:pPr>
              <w:ind w:right="283"/>
              <w:jc w:val="center"/>
              <w:rPr>
                <w:color w:val="000000"/>
                <w:sz w:val="18"/>
                <w:szCs w:val="18"/>
                <w:lang w:val="en-US"/>
              </w:rPr>
            </w:pPr>
          </w:p>
        </w:tc>
      </w:tr>
      <w:tr w:rsidR="00736C9F" w:rsidRPr="001F40A6" w14:paraId="5E9E606A" w14:textId="77777777" w:rsidTr="006A5CB3">
        <w:trPr>
          <w:trHeight w:val="287"/>
        </w:trPr>
        <w:tc>
          <w:tcPr>
            <w:tcW w:w="4582" w:type="dxa"/>
            <w:shd w:val="clear" w:color="auto" w:fill="auto"/>
            <w:noWrap/>
            <w:vAlign w:val="center"/>
          </w:tcPr>
          <w:p w14:paraId="57333588"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Pneumonia</w:t>
            </w:r>
          </w:p>
        </w:tc>
        <w:tc>
          <w:tcPr>
            <w:tcW w:w="2370" w:type="dxa"/>
            <w:shd w:val="clear" w:color="auto" w:fill="auto"/>
            <w:noWrap/>
            <w:vAlign w:val="center"/>
          </w:tcPr>
          <w:p w14:paraId="62997EF1"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1.68 [0.93-3.04]</w:t>
            </w:r>
          </w:p>
        </w:tc>
        <w:tc>
          <w:tcPr>
            <w:tcW w:w="1271" w:type="dxa"/>
            <w:shd w:val="clear" w:color="auto" w:fill="auto"/>
            <w:noWrap/>
            <w:vAlign w:val="center"/>
          </w:tcPr>
          <w:p w14:paraId="35A7C9E7"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0.08</w:t>
            </w:r>
          </w:p>
        </w:tc>
        <w:tc>
          <w:tcPr>
            <w:tcW w:w="1842" w:type="dxa"/>
            <w:shd w:val="clear" w:color="auto" w:fill="auto"/>
            <w:noWrap/>
            <w:vAlign w:val="center"/>
          </w:tcPr>
          <w:p w14:paraId="00F98168"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7EE62820" w14:textId="77777777" w:rsidR="00736C9F" w:rsidRPr="001F40A6" w:rsidRDefault="00736C9F" w:rsidP="006A5CB3">
            <w:pPr>
              <w:ind w:right="283"/>
              <w:jc w:val="center"/>
              <w:rPr>
                <w:color w:val="000000"/>
                <w:sz w:val="18"/>
                <w:szCs w:val="18"/>
                <w:lang w:val="en-US"/>
              </w:rPr>
            </w:pPr>
          </w:p>
        </w:tc>
      </w:tr>
      <w:tr w:rsidR="00736C9F" w:rsidRPr="001F40A6" w14:paraId="26121466" w14:textId="77777777" w:rsidTr="006A5CB3">
        <w:trPr>
          <w:trHeight w:val="287"/>
        </w:trPr>
        <w:tc>
          <w:tcPr>
            <w:tcW w:w="4582" w:type="dxa"/>
            <w:shd w:val="clear" w:color="auto" w:fill="auto"/>
            <w:noWrap/>
            <w:vAlign w:val="center"/>
          </w:tcPr>
          <w:p w14:paraId="7CE5B392"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Bronchitis</w:t>
            </w:r>
          </w:p>
        </w:tc>
        <w:tc>
          <w:tcPr>
            <w:tcW w:w="2370" w:type="dxa"/>
            <w:shd w:val="clear" w:color="auto" w:fill="auto"/>
            <w:noWrap/>
            <w:vAlign w:val="center"/>
          </w:tcPr>
          <w:p w14:paraId="1326EBE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0.60 [0.33-1.07]</w:t>
            </w:r>
          </w:p>
        </w:tc>
        <w:tc>
          <w:tcPr>
            <w:tcW w:w="1271" w:type="dxa"/>
            <w:shd w:val="clear" w:color="auto" w:fill="auto"/>
            <w:noWrap/>
            <w:vAlign w:val="center"/>
          </w:tcPr>
          <w:p w14:paraId="57353DD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0.08</w:t>
            </w:r>
          </w:p>
        </w:tc>
        <w:tc>
          <w:tcPr>
            <w:tcW w:w="1842" w:type="dxa"/>
            <w:shd w:val="clear" w:color="auto" w:fill="auto"/>
            <w:noWrap/>
            <w:vAlign w:val="center"/>
          </w:tcPr>
          <w:p w14:paraId="3092F033"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10158EC0" w14:textId="77777777" w:rsidR="00736C9F" w:rsidRPr="001F40A6" w:rsidRDefault="00736C9F" w:rsidP="006A5CB3">
            <w:pPr>
              <w:ind w:right="283"/>
              <w:jc w:val="center"/>
              <w:rPr>
                <w:color w:val="000000"/>
                <w:sz w:val="18"/>
                <w:szCs w:val="18"/>
                <w:lang w:val="en-US"/>
              </w:rPr>
            </w:pPr>
          </w:p>
        </w:tc>
      </w:tr>
      <w:tr w:rsidR="00736C9F" w:rsidRPr="001F40A6" w14:paraId="5DAF6F91" w14:textId="77777777" w:rsidTr="006A5CB3">
        <w:trPr>
          <w:trHeight w:val="287"/>
        </w:trPr>
        <w:tc>
          <w:tcPr>
            <w:tcW w:w="4582" w:type="dxa"/>
            <w:shd w:val="clear" w:color="auto" w:fill="F2F2F2" w:themeFill="background1" w:themeFillShade="F2"/>
            <w:noWrap/>
            <w:vAlign w:val="center"/>
          </w:tcPr>
          <w:p w14:paraId="1EA54CD2" w14:textId="77777777" w:rsidR="00736C9F" w:rsidRPr="001F40A6" w:rsidRDefault="00736C9F" w:rsidP="006A5CB3">
            <w:pPr>
              <w:ind w:right="283"/>
              <w:rPr>
                <w:b/>
                <w:color w:val="000000"/>
                <w:sz w:val="18"/>
                <w:szCs w:val="18"/>
                <w:lang w:val="en-US"/>
              </w:rPr>
            </w:pPr>
            <w:r w:rsidRPr="001F40A6">
              <w:rPr>
                <w:b/>
                <w:color w:val="000000"/>
                <w:sz w:val="18"/>
                <w:szCs w:val="18"/>
                <w:lang w:val="en-US"/>
              </w:rPr>
              <w:t>Vitals parameters at ICU admission</w:t>
            </w:r>
          </w:p>
        </w:tc>
        <w:tc>
          <w:tcPr>
            <w:tcW w:w="2370" w:type="dxa"/>
            <w:shd w:val="clear" w:color="auto" w:fill="F2F2F2" w:themeFill="background1" w:themeFillShade="F2"/>
            <w:noWrap/>
            <w:vAlign w:val="center"/>
          </w:tcPr>
          <w:p w14:paraId="4680DDDE" w14:textId="77777777" w:rsidR="00736C9F" w:rsidRPr="001F40A6" w:rsidRDefault="00736C9F" w:rsidP="006A5CB3">
            <w:pPr>
              <w:ind w:right="283"/>
              <w:jc w:val="center"/>
              <w:rPr>
                <w:color w:val="000000"/>
                <w:sz w:val="18"/>
                <w:szCs w:val="18"/>
                <w:lang w:val="en-US"/>
              </w:rPr>
            </w:pPr>
          </w:p>
        </w:tc>
        <w:tc>
          <w:tcPr>
            <w:tcW w:w="1271" w:type="dxa"/>
            <w:shd w:val="clear" w:color="auto" w:fill="F2F2F2" w:themeFill="background1" w:themeFillShade="F2"/>
            <w:noWrap/>
            <w:vAlign w:val="center"/>
          </w:tcPr>
          <w:p w14:paraId="58CC75B9" w14:textId="77777777" w:rsidR="00736C9F" w:rsidRPr="001F40A6" w:rsidRDefault="00736C9F" w:rsidP="006A5CB3">
            <w:pPr>
              <w:ind w:right="283"/>
              <w:jc w:val="center"/>
              <w:rPr>
                <w:color w:val="000000"/>
                <w:sz w:val="18"/>
                <w:szCs w:val="18"/>
                <w:lang w:val="en-US"/>
              </w:rPr>
            </w:pPr>
          </w:p>
        </w:tc>
        <w:tc>
          <w:tcPr>
            <w:tcW w:w="1842" w:type="dxa"/>
            <w:shd w:val="clear" w:color="auto" w:fill="F2F2F2" w:themeFill="background1" w:themeFillShade="F2"/>
            <w:noWrap/>
            <w:vAlign w:val="center"/>
          </w:tcPr>
          <w:p w14:paraId="36CD1F83" w14:textId="77777777" w:rsidR="00736C9F" w:rsidRPr="001F40A6" w:rsidRDefault="00736C9F" w:rsidP="006A5CB3">
            <w:pPr>
              <w:ind w:right="283"/>
              <w:jc w:val="center"/>
              <w:rPr>
                <w:color w:val="000000"/>
                <w:sz w:val="18"/>
                <w:szCs w:val="18"/>
                <w:lang w:val="en-US"/>
              </w:rPr>
            </w:pPr>
          </w:p>
        </w:tc>
        <w:tc>
          <w:tcPr>
            <w:tcW w:w="1134" w:type="dxa"/>
            <w:shd w:val="clear" w:color="auto" w:fill="F2F2F2" w:themeFill="background1" w:themeFillShade="F2"/>
            <w:noWrap/>
            <w:vAlign w:val="center"/>
          </w:tcPr>
          <w:p w14:paraId="763EAE3E" w14:textId="77777777" w:rsidR="00736C9F" w:rsidRPr="001F40A6" w:rsidRDefault="00736C9F" w:rsidP="006A5CB3">
            <w:pPr>
              <w:ind w:right="283"/>
              <w:jc w:val="center"/>
              <w:rPr>
                <w:color w:val="000000"/>
                <w:sz w:val="18"/>
                <w:szCs w:val="18"/>
                <w:lang w:val="en-US"/>
              </w:rPr>
            </w:pPr>
          </w:p>
        </w:tc>
      </w:tr>
      <w:tr w:rsidR="00736C9F" w:rsidRPr="001F40A6" w14:paraId="68B2DDBE" w14:textId="77777777" w:rsidTr="006A5CB3">
        <w:trPr>
          <w:trHeight w:val="287"/>
        </w:trPr>
        <w:tc>
          <w:tcPr>
            <w:tcW w:w="4582" w:type="dxa"/>
            <w:shd w:val="clear" w:color="auto" w:fill="auto"/>
            <w:noWrap/>
            <w:vAlign w:val="center"/>
          </w:tcPr>
          <w:p w14:paraId="2E57EF02"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SAPS II (+ 10 points)</w:t>
            </w:r>
          </w:p>
        </w:tc>
        <w:tc>
          <w:tcPr>
            <w:tcW w:w="2370" w:type="dxa"/>
            <w:shd w:val="clear" w:color="auto" w:fill="auto"/>
            <w:noWrap/>
            <w:vAlign w:val="center"/>
          </w:tcPr>
          <w:p w14:paraId="7E78F7B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1.25 [1.06-1.49]</w:t>
            </w:r>
          </w:p>
        </w:tc>
        <w:tc>
          <w:tcPr>
            <w:tcW w:w="1271" w:type="dxa"/>
            <w:shd w:val="clear" w:color="auto" w:fill="auto"/>
            <w:noWrap/>
            <w:vAlign w:val="center"/>
          </w:tcPr>
          <w:p w14:paraId="01C32496"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0.01</w:t>
            </w:r>
          </w:p>
        </w:tc>
        <w:tc>
          <w:tcPr>
            <w:tcW w:w="1842" w:type="dxa"/>
            <w:shd w:val="clear" w:color="auto" w:fill="auto"/>
            <w:noWrap/>
            <w:vAlign w:val="center"/>
          </w:tcPr>
          <w:p w14:paraId="365F3588"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7D956E3C" w14:textId="77777777" w:rsidR="00736C9F" w:rsidRPr="001F40A6" w:rsidRDefault="00736C9F" w:rsidP="006A5CB3">
            <w:pPr>
              <w:ind w:right="283"/>
              <w:jc w:val="center"/>
              <w:rPr>
                <w:color w:val="000000"/>
                <w:sz w:val="18"/>
                <w:szCs w:val="18"/>
                <w:lang w:val="en-US"/>
              </w:rPr>
            </w:pPr>
          </w:p>
        </w:tc>
      </w:tr>
      <w:tr w:rsidR="00736C9F" w:rsidRPr="001F40A6" w14:paraId="55467442" w14:textId="77777777" w:rsidTr="006A5CB3">
        <w:trPr>
          <w:trHeight w:val="287"/>
        </w:trPr>
        <w:tc>
          <w:tcPr>
            <w:tcW w:w="4582" w:type="dxa"/>
            <w:shd w:val="clear" w:color="auto" w:fill="auto"/>
            <w:noWrap/>
            <w:vAlign w:val="center"/>
          </w:tcPr>
          <w:p w14:paraId="30F1BC3C" w14:textId="77777777" w:rsidR="00736C9F" w:rsidRPr="001F40A6" w:rsidRDefault="00736C9F" w:rsidP="006A5CB3">
            <w:pPr>
              <w:ind w:right="283"/>
              <w:rPr>
                <w:b/>
                <w:bCs/>
                <w:color w:val="000000"/>
                <w:sz w:val="18"/>
                <w:szCs w:val="18"/>
                <w:lang w:val="en-US"/>
              </w:rPr>
            </w:pPr>
            <w:r w:rsidRPr="001F40A6">
              <w:rPr>
                <w:b/>
                <w:bCs/>
                <w:color w:val="000000"/>
                <w:sz w:val="18"/>
                <w:szCs w:val="18"/>
                <w:lang w:val="en-US"/>
              </w:rPr>
              <w:t xml:space="preserve">   Glasgow coma scale (-1 point)</w:t>
            </w:r>
          </w:p>
        </w:tc>
        <w:tc>
          <w:tcPr>
            <w:tcW w:w="2370" w:type="dxa"/>
            <w:shd w:val="clear" w:color="auto" w:fill="auto"/>
            <w:noWrap/>
            <w:vAlign w:val="center"/>
          </w:tcPr>
          <w:p w14:paraId="44CF0717"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0.88 [0.81-0.96]</w:t>
            </w:r>
          </w:p>
        </w:tc>
        <w:tc>
          <w:tcPr>
            <w:tcW w:w="1271" w:type="dxa"/>
            <w:shd w:val="clear" w:color="auto" w:fill="auto"/>
            <w:noWrap/>
            <w:vAlign w:val="center"/>
          </w:tcPr>
          <w:p w14:paraId="554FC729"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0.003</w:t>
            </w:r>
          </w:p>
        </w:tc>
        <w:tc>
          <w:tcPr>
            <w:tcW w:w="1842" w:type="dxa"/>
            <w:shd w:val="clear" w:color="auto" w:fill="auto"/>
            <w:noWrap/>
            <w:vAlign w:val="center"/>
          </w:tcPr>
          <w:p w14:paraId="70984682"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0.90 [0.82-0.97]</w:t>
            </w:r>
          </w:p>
        </w:tc>
        <w:tc>
          <w:tcPr>
            <w:tcW w:w="1134" w:type="dxa"/>
            <w:shd w:val="clear" w:color="auto" w:fill="auto"/>
            <w:noWrap/>
            <w:vAlign w:val="center"/>
          </w:tcPr>
          <w:p w14:paraId="1CD5E888"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0.01</w:t>
            </w:r>
          </w:p>
        </w:tc>
      </w:tr>
      <w:tr w:rsidR="00736C9F" w:rsidRPr="001F40A6" w14:paraId="05DDEA83" w14:textId="77777777" w:rsidTr="006A5CB3">
        <w:trPr>
          <w:trHeight w:val="287"/>
        </w:trPr>
        <w:tc>
          <w:tcPr>
            <w:tcW w:w="4582" w:type="dxa"/>
            <w:shd w:val="clear" w:color="auto" w:fill="auto"/>
            <w:noWrap/>
            <w:vAlign w:val="center"/>
            <w:hideMark/>
          </w:tcPr>
          <w:p w14:paraId="0AE6F36D"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Temperature (+ 1 °C)</w:t>
            </w:r>
          </w:p>
        </w:tc>
        <w:tc>
          <w:tcPr>
            <w:tcW w:w="2370" w:type="dxa"/>
            <w:shd w:val="clear" w:color="auto" w:fill="auto"/>
            <w:noWrap/>
            <w:vAlign w:val="center"/>
          </w:tcPr>
          <w:p w14:paraId="59156234"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0.76 [0.58-1.00]</w:t>
            </w:r>
          </w:p>
        </w:tc>
        <w:tc>
          <w:tcPr>
            <w:tcW w:w="1271" w:type="dxa"/>
            <w:shd w:val="clear" w:color="auto" w:fill="auto"/>
            <w:noWrap/>
            <w:vAlign w:val="center"/>
          </w:tcPr>
          <w:p w14:paraId="24655B48"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0.05</w:t>
            </w:r>
          </w:p>
        </w:tc>
        <w:tc>
          <w:tcPr>
            <w:tcW w:w="1842" w:type="dxa"/>
            <w:shd w:val="clear" w:color="auto" w:fill="auto"/>
            <w:noWrap/>
            <w:vAlign w:val="center"/>
          </w:tcPr>
          <w:p w14:paraId="5F6B8C55"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3BF3750B" w14:textId="77777777" w:rsidR="00736C9F" w:rsidRPr="001F40A6" w:rsidRDefault="00736C9F" w:rsidP="006A5CB3">
            <w:pPr>
              <w:ind w:right="283"/>
              <w:jc w:val="center"/>
              <w:rPr>
                <w:color w:val="000000"/>
                <w:sz w:val="18"/>
                <w:szCs w:val="18"/>
                <w:lang w:val="en-US"/>
              </w:rPr>
            </w:pPr>
          </w:p>
        </w:tc>
      </w:tr>
      <w:tr w:rsidR="00736C9F" w:rsidRPr="001F40A6" w14:paraId="50354F1D" w14:textId="77777777" w:rsidTr="006A5CB3">
        <w:trPr>
          <w:trHeight w:val="287"/>
        </w:trPr>
        <w:tc>
          <w:tcPr>
            <w:tcW w:w="4582" w:type="dxa"/>
            <w:shd w:val="clear" w:color="auto" w:fill="auto"/>
            <w:noWrap/>
            <w:vAlign w:val="center"/>
          </w:tcPr>
          <w:p w14:paraId="2D7A49F4"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Mean arterial pressure (+ 10 mmHg)</w:t>
            </w:r>
          </w:p>
        </w:tc>
        <w:tc>
          <w:tcPr>
            <w:tcW w:w="2370" w:type="dxa"/>
            <w:shd w:val="clear" w:color="auto" w:fill="auto"/>
            <w:noWrap/>
            <w:vAlign w:val="center"/>
          </w:tcPr>
          <w:p w14:paraId="4773EF7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0.90 [0.78-1.05]</w:t>
            </w:r>
          </w:p>
        </w:tc>
        <w:tc>
          <w:tcPr>
            <w:tcW w:w="1271" w:type="dxa"/>
            <w:shd w:val="clear" w:color="auto" w:fill="auto"/>
            <w:noWrap/>
            <w:vAlign w:val="center"/>
          </w:tcPr>
          <w:p w14:paraId="45B7135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0.19</w:t>
            </w:r>
          </w:p>
        </w:tc>
        <w:tc>
          <w:tcPr>
            <w:tcW w:w="1842" w:type="dxa"/>
            <w:shd w:val="clear" w:color="auto" w:fill="auto"/>
            <w:noWrap/>
            <w:vAlign w:val="center"/>
          </w:tcPr>
          <w:p w14:paraId="1B6E6373"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74EA0100" w14:textId="77777777" w:rsidR="00736C9F" w:rsidRPr="001F40A6" w:rsidRDefault="00736C9F" w:rsidP="006A5CB3">
            <w:pPr>
              <w:ind w:right="283"/>
              <w:jc w:val="center"/>
              <w:rPr>
                <w:color w:val="000000"/>
                <w:sz w:val="18"/>
                <w:szCs w:val="18"/>
                <w:lang w:val="en-US"/>
              </w:rPr>
            </w:pPr>
          </w:p>
        </w:tc>
      </w:tr>
      <w:tr w:rsidR="00736C9F" w:rsidRPr="001F40A6" w14:paraId="1DF08832" w14:textId="77777777" w:rsidTr="006A5CB3">
        <w:trPr>
          <w:trHeight w:val="287"/>
        </w:trPr>
        <w:tc>
          <w:tcPr>
            <w:tcW w:w="4582" w:type="dxa"/>
            <w:shd w:val="clear" w:color="auto" w:fill="auto"/>
            <w:noWrap/>
            <w:vAlign w:val="center"/>
          </w:tcPr>
          <w:p w14:paraId="2828FDF4"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Heart rate (+ 10 /min)</w:t>
            </w:r>
          </w:p>
        </w:tc>
        <w:tc>
          <w:tcPr>
            <w:tcW w:w="2370" w:type="dxa"/>
            <w:shd w:val="clear" w:color="auto" w:fill="auto"/>
            <w:noWrap/>
            <w:vAlign w:val="center"/>
          </w:tcPr>
          <w:p w14:paraId="47A33B21"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0.95 [0.83-1.08]</w:t>
            </w:r>
          </w:p>
        </w:tc>
        <w:tc>
          <w:tcPr>
            <w:tcW w:w="1271" w:type="dxa"/>
            <w:shd w:val="clear" w:color="auto" w:fill="auto"/>
            <w:noWrap/>
            <w:vAlign w:val="center"/>
          </w:tcPr>
          <w:p w14:paraId="5C203163"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0.45</w:t>
            </w:r>
          </w:p>
        </w:tc>
        <w:tc>
          <w:tcPr>
            <w:tcW w:w="1842" w:type="dxa"/>
            <w:shd w:val="clear" w:color="auto" w:fill="auto"/>
            <w:noWrap/>
            <w:vAlign w:val="center"/>
          </w:tcPr>
          <w:p w14:paraId="5A1378FB"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3815231B" w14:textId="77777777" w:rsidR="00736C9F" w:rsidRPr="001F40A6" w:rsidRDefault="00736C9F" w:rsidP="006A5CB3">
            <w:pPr>
              <w:ind w:right="283"/>
              <w:jc w:val="center"/>
              <w:rPr>
                <w:color w:val="000000"/>
                <w:sz w:val="18"/>
                <w:szCs w:val="18"/>
                <w:lang w:val="en-US"/>
              </w:rPr>
            </w:pPr>
          </w:p>
        </w:tc>
      </w:tr>
      <w:tr w:rsidR="00736C9F" w:rsidRPr="001F40A6" w14:paraId="02DE3177" w14:textId="77777777" w:rsidTr="006A5CB3">
        <w:trPr>
          <w:trHeight w:val="287"/>
        </w:trPr>
        <w:tc>
          <w:tcPr>
            <w:tcW w:w="4582" w:type="dxa"/>
            <w:shd w:val="clear" w:color="auto" w:fill="auto"/>
            <w:noWrap/>
            <w:vAlign w:val="center"/>
          </w:tcPr>
          <w:p w14:paraId="2FA5A149"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Respiratory rate (+ 5 cycles/min)</w:t>
            </w:r>
          </w:p>
        </w:tc>
        <w:tc>
          <w:tcPr>
            <w:tcW w:w="2370" w:type="dxa"/>
            <w:shd w:val="clear" w:color="auto" w:fill="auto"/>
            <w:noWrap/>
            <w:vAlign w:val="center"/>
          </w:tcPr>
          <w:p w14:paraId="00292D1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0.94 [0.76-1.16]</w:t>
            </w:r>
          </w:p>
        </w:tc>
        <w:tc>
          <w:tcPr>
            <w:tcW w:w="1271" w:type="dxa"/>
            <w:shd w:val="clear" w:color="auto" w:fill="auto"/>
            <w:noWrap/>
            <w:vAlign w:val="center"/>
          </w:tcPr>
          <w:p w14:paraId="46B2737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0.57</w:t>
            </w:r>
          </w:p>
        </w:tc>
        <w:tc>
          <w:tcPr>
            <w:tcW w:w="1842" w:type="dxa"/>
            <w:shd w:val="clear" w:color="auto" w:fill="auto"/>
            <w:noWrap/>
            <w:vAlign w:val="center"/>
          </w:tcPr>
          <w:p w14:paraId="4705507D"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31ED979D" w14:textId="77777777" w:rsidR="00736C9F" w:rsidRPr="001F40A6" w:rsidRDefault="00736C9F" w:rsidP="006A5CB3">
            <w:pPr>
              <w:ind w:right="283"/>
              <w:jc w:val="center"/>
              <w:rPr>
                <w:color w:val="000000"/>
                <w:sz w:val="18"/>
                <w:szCs w:val="18"/>
                <w:lang w:val="en-US"/>
              </w:rPr>
            </w:pPr>
          </w:p>
        </w:tc>
      </w:tr>
      <w:tr w:rsidR="00736C9F" w:rsidRPr="001F40A6" w14:paraId="3FCCB9E7" w14:textId="77777777" w:rsidTr="006A5CB3">
        <w:trPr>
          <w:trHeight w:val="287"/>
        </w:trPr>
        <w:tc>
          <w:tcPr>
            <w:tcW w:w="4582" w:type="dxa"/>
            <w:shd w:val="clear" w:color="auto" w:fill="F2F2F2" w:themeFill="background1" w:themeFillShade="F2"/>
            <w:noWrap/>
            <w:vAlign w:val="center"/>
          </w:tcPr>
          <w:p w14:paraId="211C4406" w14:textId="77777777" w:rsidR="00736C9F" w:rsidRPr="001F40A6" w:rsidRDefault="00736C9F" w:rsidP="006A5CB3">
            <w:pPr>
              <w:ind w:right="283"/>
              <w:rPr>
                <w:b/>
                <w:color w:val="000000"/>
                <w:sz w:val="18"/>
                <w:szCs w:val="18"/>
                <w:lang w:val="en-US"/>
              </w:rPr>
            </w:pPr>
            <w:r w:rsidRPr="001F40A6">
              <w:rPr>
                <w:b/>
                <w:color w:val="000000"/>
                <w:sz w:val="18"/>
                <w:szCs w:val="18"/>
                <w:lang w:val="en-US"/>
              </w:rPr>
              <w:t>Arterial blood gas parameters</w:t>
            </w:r>
          </w:p>
        </w:tc>
        <w:tc>
          <w:tcPr>
            <w:tcW w:w="2370" w:type="dxa"/>
            <w:shd w:val="clear" w:color="auto" w:fill="F2F2F2" w:themeFill="background1" w:themeFillShade="F2"/>
            <w:noWrap/>
            <w:vAlign w:val="center"/>
          </w:tcPr>
          <w:p w14:paraId="546A70F3" w14:textId="77777777" w:rsidR="00736C9F" w:rsidRPr="001F40A6" w:rsidRDefault="00736C9F" w:rsidP="006A5CB3">
            <w:pPr>
              <w:ind w:right="283"/>
              <w:jc w:val="center"/>
              <w:rPr>
                <w:color w:val="000000"/>
                <w:sz w:val="18"/>
                <w:szCs w:val="18"/>
                <w:lang w:val="en-US"/>
              </w:rPr>
            </w:pPr>
          </w:p>
        </w:tc>
        <w:tc>
          <w:tcPr>
            <w:tcW w:w="1271" w:type="dxa"/>
            <w:shd w:val="clear" w:color="auto" w:fill="F2F2F2" w:themeFill="background1" w:themeFillShade="F2"/>
            <w:noWrap/>
            <w:vAlign w:val="center"/>
          </w:tcPr>
          <w:p w14:paraId="127BF1CC" w14:textId="77777777" w:rsidR="00736C9F" w:rsidRPr="001F40A6" w:rsidRDefault="00736C9F" w:rsidP="006A5CB3">
            <w:pPr>
              <w:ind w:right="283"/>
              <w:jc w:val="center"/>
              <w:rPr>
                <w:color w:val="000000"/>
                <w:sz w:val="18"/>
                <w:szCs w:val="18"/>
                <w:lang w:val="en-US"/>
              </w:rPr>
            </w:pPr>
          </w:p>
        </w:tc>
        <w:tc>
          <w:tcPr>
            <w:tcW w:w="1842" w:type="dxa"/>
            <w:shd w:val="clear" w:color="auto" w:fill="F2F2F2" w:themeFill="background1" w:themeFillShade="F2"/>
            <w:noWrap/>
            <w:vAlign w:val="center"/>
          </w:tcPr>
          <w:p w14:paraId="37F7D895" w14:textId="77777777" w:rsidR="00736C9F" w:rsidRPr="001F40A6" w:rsidRDefault="00736C9F" w:rsidP="006A5CB3">
            <w:pPr>
              <w:ind w:right="283"/>
              <w:jc w:val="center"/>
              <w:rPr>
                <w:color w:val="000000"/>
                <w:sz w:val="18"/>
                <w:szCs w:val="18"/>
                <w:lang w:val="en-US"/>
              </w:rPr>
            </w:pPr>
          </w:p>
        </w:tc>
        <w:tc>
          <w:tcPr>
            <w:tcW w:w="1134" w:type="dxa"/>
            <w:shd w:val="clear" w:color="auto" w:fill="F2F2F2" w:themeFill="background1" w:themeFillShade="F2"/>
            <w:noWrap/>
            <w:vAlign w:val="center"/>
          </w:tcPr>
          <w:p w14:paraId="3A3C8BD2" w14:textId="77777777" w:rsidR="00736C9F" w:rsidRPr="001F40A6" w:rsidRDefault="00736C9F" w:rsidP="006A5CB3">
            <w:pPr>
              <w:ind w:right="283"/>
              <w:jc w:val="center"/>
              <w:rPr>
                <w:color w:val="000000"/>
                <w:sz w:val="18"/>
                <w:szCs w:val="18"/>
                <w:lang w:val="en-US"/>
              </w:rPr>
            </w:pPr>
          </w:p>
        </w:tc>
      </w:tr>
      <w:tr w:rsidR="00736C9F" w:rsidRPr="001F40A6" w14:paraId="37C29496" w14:textId="77777777" w:rsidTr="006A5CB3">
        <w:trPr>
          <w:trHeight w:val="287"/>
        </w:trPr>
        <w:tc>
          <w:tcPr>
            <w:tcW w:w="4582" w:type="dxa"/>
            <w:shd w:val="clear" w:color="auto" w:fill="auto"/>
            <w:noWrap/>
            <w:vAlign w:val="center"/>
          </w:tcPr>
          <w:p w14:paraId="2C0498C1"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pH (+ 0.1 unit)</w:t>
            </w:r>
          </w:p>
        </w:tc>
        <w:tc>
          <w:tcPr>
            <w:tcW w:w="2370" w:type="dxa"/>
            <w:shd w:val="clear" w:color="auto" w:fill="auto"/>
            <w:noWrap/>
            <w:vAlign w:val="center"/>
          </w:tcPr>
          <w:p w14:paraId="4764E2AE"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0.86 [0.64-1.13]</w:t>
            </w:r>
          </w:p>
        </w:tc>
        <w:tc>
          <w:tcPr>
            <w:tcW w:w="1271" w:type="dxa"/>
            <w:shd w:val="clear" w:color="auto" w:fill="auto"/>
            <w:noWrap/>
            <w:vAlign w:val="center"/>
          </w:tcPr>
          <w:p w14:paraId="0458FA64"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0.28</w:t>
            </w:r>
          </w:p>
        </w:tc>
        <w:tc>
          <w:tcPr>
            <w:tcW w:w="1842" w:type="dxa"/>
            <w:shd w:val="clear" w:color="auto" w:fill="auto"/>
            <w:noWrap/>
            <w:vAlign w:val="center"/>
          </w:tcPr>
          <w:p w14:paraId="648A8540"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3126C78F" w14:textId="77777777" w:rsidR="00736C9F" w:rsidRPr="001F40A6" w:rsidRDefault="00736C9F" w:rsidP="006A5CB3">
            <w:pPr>
              <w:ind w:right="283"/>
              <w:jc w:val="center"/>
              <w:rPr>
                <w:color w:val="000000"/>
                <w:sz w:val="18"/>
                <w:szCs w:val="18"/>
                <w:lang w:val="en-US"/>
              </w:rPr>
            </w:pPr>
          </w:p>
        </w:tc>
      </w:tr>
      <w:tr w:rsidR="00736C9F" w:rsidRPr="001F40A6" w14:paraId="79FB81AD" w14:textId="77777777" w:rsidTr="006A5CB3">
        <w:trPr>
          <w:trHeight w:val="287"/>
        </w:trPr>
        <w:tc>
          <w:tcPr>
            <w:tcW w:w="4582" w:type="dxa"/>
            <w:shd w:val="clear" w:color="auto" w:fill="auto"/>
            <w:noWrap/>
            <w:vAlign w:val="center"/>
          </w:tcPr>
          <w:p w14:paraId="3ECB1DF4"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PaO2 (+ 10 mmHg)</w:t>
            </w:r>
          </w:p>
        </w:tc>
        <w:tc>
          <w:tcPr>
            <w:tcW w:w="2370" w:type="dxa"/>
            <w:shd w:val="clear" w:color="auto" w:fill="auto"/>
            <w:noWrap/>
            <w:vAlign w:val="center"/>
          </w:tcPr>
          <w:p w14:paraId="1148DCD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0.99 [0.94-1.04]</w:t>
            </w:r>
          </w:p>
        </w:tc>
        <w:tc>
          <w:tcPr>
            <w:tcW w:w="1271" w:type="dxa"/>
            <w:shd w:val="clear" w:color="auto" w:fill="auto"/>
            <w:noWrap/>
            <w:vAlign w:val="center"/>
          </w:tcPr>
          <w:p w14:paraId="334D6E6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0.62</w:t>
            </w:r>
          </w:p>
        </w:tc>
        <w:tc>
          <w:tcPr>
            <w:tcW w:w="1842" w:type="dxa"/>
            <w:shd w:val="clear" w:color="auto" w:fill="auto"/>
            <w:noWrap/>
            <w:vAlign w:val="center"/>
          </w:tcPr>
          <w:p w14:paraId="3C919C78"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392C77C5" w14:textId="77777777" w:rsidR="00736C9F" w:rsidRPr="001F40A6" w:rsidRDefault="00736C9F" w:rsidP="006A5CB3">
            <w:pPr>
              <w:ind w:right="283"/>
              <w:jc w:val="center"/>
              <w:rPr>
                <w:color w:val="000000"/>
                <w:sz w:val="18"/>
                <w:szCs w:val="18"/>
                <w:lang w:val="en-US"/>
              </w:rPr>
            </w:pPr>
          </w:p>
        </w:tc>
      </w:tr>
      <w:tr w:rsidR="00736C9F" w:rsidRPr="001F40A6" w14:paraId="4EAEBD36" w14:textId="77777777" w:rsidTr="006A5CB3">
        <w:trPr>
          <w:trHeight w:val="287"/>
        </w:trPr>
        <w:tc>
          <w:tcPr>
            <w:tcW w:w="4582" w:type="dxa"/>
            <w:shd w:val="clear" w:color="auto" w:fill="auto"/>
            <w:noWrap/>
            <w:vAlign w:val="center"/>
          </w:tcPr>
          <w:p w14:paraId="40AAC422"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PaCO2 (+ 10 mmHg)</w:t>
            </w:r>
          </w:p>
        </w:tc>
        <w:tc>
          <w:tcPr>
            <w:tcW w:w="2370" w:type="dxa"/>
            <w:shd w:val="clear" w:color="auto" w:fill="auto"/>
            <w:noWrap/>
            <w:vAlign w:val="center"/>
          </w:tcPr>
          <w:p w14:paraId="7233109C"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1.15 [0.98-1.36]</w:t>
            </w:r>
          </w:p>
        </w:tc>
        <w:tc>
          <w:tcPr>
            <w:tcW w:w="1271" w:type="dxa"/>
            <w:shd w:val="clear" w:color="auto" w:fill="auto"/>
            <w:noWrap/>
            <w:vAlign w:val="center"/>
          </w:tcPr>
          <w:p w14:paraId="2C111CB8"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0.09</w:t>
            </w:r>
          </w:p>
        </w:tc>
        <w:tc>
          <w:tcPr>
            <w:tcW w:w="1842" w:type="dxa"/>
            <w:shd w:val="clear" w:color="auto" w:fill="auto"/>
            <w:noWrap/>
            <w:vAlign w:val="center"/>
          </w:tcPr>
          <w:p w14:paraId="278795FD"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1791C7E8" w14:textId="77777777" w:rsidR="00736C9F" w:rsidRPr="001F40A6" w:rsidRDefault="00736C9F" w:rsidP="006A5CB3">
            <w:pPr>
              <w:ind w:right="283"/>
              <w:jc w:val="center"/>
              <w:rPr>
                <w:color w:val="000000"/>
                <w:sz w:val="18"/>
                <w:szCs w:val="18"/>
                <w:lang w:val="en-US"/>
              </w:rPr>
            </w:pPr>
          </w:p>
        </w:tc>
      </w:tr>
      <w:tr w:rsidR="00736C9F" w:rsidRPr="001F40A6" w14:paraId="0BEC21C4" w14:textId="77777777" w:rsidTr="006A5CB3">
        <w:trPr>
          <w:trHeight w:val="287"/>
        </w:trPr>
        <w:tc>
          <w:tcPr>
            <w:tcW w:w="4582" w:type="dxa"/>
            <w:shd w:val="clear" w:color="auto" w:fill="auto"/>
            <w:noWrap/>
            <w:vAlign w:val="center"/>
          </w:tcPr>
          <w:p w14:paraId="209DA7B9" w14:textId="77777777" w:rsidR="00736C9F" w:rsidRPr="001F40A6" w:rsidRDefault="00736C9F" w:rsidP="006A5CB3">
            <w:pPr>
              <w:ind w:right="283"/>
              <w:rPr>
                <w:color w:val="000000"/>
                <w:sz w:val="18"/>
                <w:szCs w:val="18"/>
                <w:lang w:val="en-US"/>
              </w:rPr>
            </w:pPr>
            <w:r w:rsidRPr="001F40A6">
              <w:rPr>
                <w:color w:val="000000"/>
                <w:sz w:val="18"/>
                <w:szCs w:val="18"/>
                <w:lang w:val="en-US"/>
              </w:rPr>
              <w:t xml:space="preserve">   Lactate (+ 1 mmol/L)</w:t>
            </w:r>
          </w:p>
        </w:tc>
        <w:tc>
          <w:tcPr>
            <w:tcW w:w="2370" w:type="dxa"/>
            <w:shd w:val="clear" w:color="auto" w:fill="auto"/>
            <w:noWrap/>
            <w:vAlign w:val="center"/>
          </w:tcPr>
          <w:p w14:paraId="5B38154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1.09 [0.85-1.44]</w:t>
            </w:r>
          </w:p>
        </w:tc>
        <w:tc>
          <w:tcPr>
            <w:tcW w:w="1271" w:type="dxa"/>
            <w:shd w:val="clear" w:color="auto" w:fill="auto"/>
            <w:noWrap/>
            <w:vAlign w:val="center"/>
          </w:tcPr>
          <w:p w14:paraId="11956A63"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0.49</w:t>
            </w:r>
          </w:p>
        </w:tc>
        <w:tc>
          <w:tcPr>
            <w:tcW w:w="1842" w:type="dxa"/>
            <w:shd w:val="clear" w:color="auto" w:fill="auto"/>
            <w:noWrap/>
            <w:vAlign w:val="center"/>
          </w:tcPr>
          <w:p w14:paraId="2C1F1BC7"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40796388" w14:textId="77777777" w:rsidR="00736C9F" w:rsidRPr="001F40A6" w:rsidRDefault="00736C9F" w:rsidP="006A5CB3">
            <w:pPr>
              <w:ind w:right="283"/>
              <w:jc w:val="center"/>
              <w:rPr>
                <w:color w:val="000000"/>
                <w:sz w:val="18"/>
                <w:szCs w:val="18"/>
                <w:lang w:val="en-US"/>
              </w:rPr>
            </w:pPr>
          </w:p>
        </w:tc>
      </w:tr>
      <w:tr w:rsidR="00736C9F" w:rsidRPr="001F40A6" w14:paraId="4AE94E9F" w14:textId="77777777" w:rsidTr="006A5CB3">
        <w:trPr>
          <w:trHeight w:val="287"/>
        </w:trPr>
        <w:tc>
          <w:tcPr>
            <w:tcW w:w="4582" w:type="dxa"/>
            <w:shd w:val="clear" w:color="auto" w:fill="F2F2F2" w:themeFill="background1" w:themeFillShade="F2"/>
            <w:noWrap/>
            <w:vAlign w:val="center"/>
          </w:tcPr>
          <w:p w14:paraId="7CD80902" w14:textId="77777777" w:rsidR="00736C9F" w:rsidRPr="001F40A6" w:rsidRDefault="00736C9F" w:rsidP="006A5CB3">
            <w:pPr>
              <w:ind w:right="283"/>
              <w:rPr>
                <w:bCs/>
                <w:color w:val="000000"/>
                <w:sz w:val="18"/>
                <w:szCs w:val="18"/>
                <w:lang w:val="en-US"/>
              </w:rPr>
            </w:pPr>
            <w:r w:rsidRPr="001F40A6">
              <w:rPr>
                <w:b/>
                <w:bCs/>
                <w:color w:val="000000"/>
                <w:sz w:val="18"/>
                <w:szCs w:val="18"/>
                <w:lang w:val="en-US"/>
              </w:rPr>
              <w:lastRenderedPageBreak/>
              <w:t xml:space="preserve">Laboratory tests at ICU admission   </w:t>
            </w:r>
          </w:p>
        </w:tc>
        <w:tc>
          <w:tcPr>
            <w:tcW w:w="2370" w:type="dxa"/>
            <w:shd w:val="clear" w:color="auto" w:fill="F2F2F2" w:themeFill="background1" w:themeFillShade="F2"/>
            <w:noWrap/>
            <w:vAlign w:val="center"/>
          </w:tcPr>
          <w:p w14:paraId="06DE8366" w14:textId="77777777" w:rsidR="00736C9F" w:rsidRPr="001F40A6" w:rsidRDefault="00736C9F" w:rsidP="006A5CB3">
            <w:pPr>
              <w:ind w:right="283"/>
              <w:jc w:val="center"/>
              <w:rPr>
                <w:b/>
                <w:bCs/>
                <w:color w:val="000000"/>
                <w:sz w:val="18"/>
                <w:szCs w:val="18"/>
                <w:lang w:val="en-US"/>
              </w:rPr>
            </w:pPr>
          </w:p>
        </w:tc>
        <w:tc>
          <w:tcPr>
            <w:tcW w:w="1271" w:type="dxa"/>
            <w:shd w:val="clear" w:color="auto" w:fill="F2F2F2" w:themeFill="background1" w:themeFillShade="F2"/>
            <w:noWrap/>
            <w:vAlign w:val="center"/>
          </w:tcPr>
          <w:p w14:paraId="2163824D" w14:textId="77777777" w:rsidR="00736C9F" w:rsidRPr="001F40A6" w:rsidRDefault="00736C9F" w:rsidP="006A5CB3">
            <w:pPr>
              <w:ind w:right="283"/>
              <w:jc w:val="center"/>
              <w:rPr>
                <w:color w:val="000000"/>
                <w:sz w:val="18"/>
                <w:szCs w:val="18"/>
                <w:lang w:val="en-US"/>
              </w:rPr>
            </w:pPr>
          </w:p>
        </w:tc>
        <w:tc>
          <w:tcPr>
            <w:tcW w:w="1842" w:type="dxa"/>
            <w:shd w:val="clear" w:color="auto" w:fill="F2F2F2" w:themeFill="background1" w:themeFillShade="F2"/>
            <w:noWrap/>
            <w:vAlign w:val="center"/>
          </w:tcPr>
          <w:p w14:paraId="018A77D4" w14:textId="77777777" w:rsidR="00736C9F" w:rsidRPr="001F40A6" w:rsidRDefault="00736C9F" w:rsidP="006A5CB3">
            <w:pPr>
              <w:ind w:right="283"/>
              <w:jc w:val="center"/>
              <w:rPr>
                <w:color w:val="000000"/>
                <w:sz w:val="18"/>
                <w:szCs w:val="18"/>
                <w:lang w:val="en-US"/>
              </w:rPr>
            </w:pPr>
          </w:p>
        </w:tc>
        <w:tc>
          <w:tcPr>
            <w:tcW w:w="1134" w:type="dxa"/>
            <w:shd w:val="clear" w:color="auto" w:fill="F2F2F2" w:themeFill="background1" w:themeFillShade="F2"/>
            <w:noWrap/>
            <w:vAlign w:val="center"/>
          </w:tcPr>
          <w:p w14:paraId="3823A7CE" w14:textId="77777777" w:rsidR="00736C9F" w:rsidRPr="001F40A6" w:rsidRDefault="00736C9F" w:rsidP="006A5CB3">
            <w:pPr>
              <w:ind w:right="283"/>
              <w:jc w:val="center"/>
              <w:rPr>
                <w:color w:val="000000"/>
                <w:sz w:val="18"/>
                <w:szCs w:val="18"/>
                <w:lang w:val="en-US"/>
              </w:rPr>
            </w:pPr>
          </w:p>
        </w:tc>
      </w:tr>
      <w:tr w:rsidR="00736C9F" w:rsidRPr="001F40A6" w14:paraId="711EB5A0" w14:textId="77777777" w:rsidTr="006A5CB3">
        <w:trPr>
          <w:trHeight w:val="287"/>
        </w:trPr>
        <w:tc>
          <w:tcPr>
            <w:tcW w:w="4582" w:type="dxa"/>
            <w:shd w:val="clear" w:color="auto" w:fill="auto"/>
            <w:noWrap/>
            <w:vAlign w:val="center"/>
          </w:tcPr>
          <w:p w14:paraId="737A0552" w14:textId="77777777" w:rsidR="00736C9F" w:rsidRPr="001F40A6" w:rsidRDefault="00736C9F" w:rsidP="006A5CB3">
            <w:pPr>
              <w:ind w:right="283"/>
              <w:rPr>
                <w:color w:val="000000"/>
                <w:sz w:val="18"/>
                <w:szCs w:val="18"/>
                <w:lang w:val="en-US"/>
              </w:rPr>
            </w:pPr>
            <w:r w:rsidRPr="001F40A6">
              <w:rPr>
                <w:color w:val="000000"/>
                <w:sz w:val="18"/>
                <w:szCs w:val="18"/>
                <w:lang w:val="en-US"/>
              </w:rPr>
              <w:t>Total white blood cells count (+ 1 G/L)</w:t>
            </w:r>
          </w:p>
        </w:tc>
        <w:tc>
          <w:tcPr>
            <w:tcW w:w="2370" w:type="dxa"/>
            <w:shd w:val="clear" w:color="auto" w:fill="auto"/>
            <w:noWrap/>
            <w:vAlign w:val="center"/>
          </w:tcPr>
          <w:p w14:paraId="2B2B19A5"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1.07 [1.02-1.13]</w:t>
            </w:r>
          </w:p>
        </w:tc>
        <w:tc>
          <w:tcPr>
            <w:tcW w:w="1271" w:type="dxa"/>
            <w:shd w:val="clear" w:color="auto" w:fill="auto"/>
            <w:noWrap/>
            <w:vAlign w:val="center"/>
          </w:tcPr>
          <w:p w14:paraId="2F839659"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0.006</w:t>
            </w:r>
          </w:p>
        </w:tc>
        <w:tc>
          <w:tcPr>
            <w:tcW w:w="1842" w:type="dxa"/>
            <w:shd w:val="clear" w:color="auto" w:fill="auto"/>
            <w:noWrap/>
            <w:vAlign w:val="center"/>
          </w:tcPr>
          <w:p w14:paraId="662BB224"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355DF8CE" w14:textId="77777777" w:rsidR="00736C9F" w:rsidRPr="001F40A6" w:rsidRDefault="00736C9F" w:rsidP="006A5CB3">
            <w:pPr>
              <w:ind w:right="283"/>
              <w:jc w:val="center"/>
              <w:rPr>
                <w:color w:val="000000"/>
                <w:sz w:val="18"/>
                <w:szCs w:val="18"/>
                <w:lang w:val="en-US"/>
              </w:rPr>
            </w:pPr>
          </w:p>
        </w:tc>
      </w:tr>
      <w:tr w:rsidR="00736C9F" w:rsidRPr="001F40A6" w14:paraId="7DA0D8BF" w14:textId="77777777" w:rsidTr="006A5CB3">
        <w:trPr>
          <w:trHeight w:val="287"/>
        </w:trPr>
        <w:tc>
          <w:tcPr>
            <w:tcW w:w="4582" w:type="dxa"/>
            <w:shd w:val="clear" w:color="auto" w:fill="auto"/>
            <w:noWrap/>
            <w:vAlign w:val="center"/>
          </w:tcPr>
          <w:p w14:paraId="422A9D35" w14:textId="77777777" w:rsidR="00736C9F" w:rsidRPr="001F40A6" w:rsidRDefault="00736C9F" w:rsidP="006A5CB3">
            <w:pPr>
              <w:ind w:right="283"/>
              <w:rPr>
                <w:b/>
                <w:bCs/>
                <w:color w:val="000000"/>
                <w:sz w:val="18"/>
                <w:szCs w:val="18"/>
                <w:lang w:val="en-US"/>
              </w:rPr>
            </w:pPr>
            <w:r w:rsidRPr="001F40A6">
              <w:rPr>
                <w:b/>
                <w:bCs/>
                <w:color w:val="000000"/>
                <w:sz w:val="18"/>
                <w:szCs w:val="18"/>
                <w:lang w:val="en-US"/>
              </w:rPr>
              <w:t>Neutrophilic polynuclear cells (+ 1 G/L)</w:t>
            </w:r>
          </w:p>
        </w:tc>
        <w:tc>
          <w:tcPr>
            <w:tcW w:w="2370" w:type="dxa"/>
            <w:shd w:val="clear" w:color="auto" w:fill="auto"/>
            <w:noWrap/>
            <w:vAlign w:val="center"/>
          </w:tcPr>
          <w:p w14:paraId="77DDCB40"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1.08 [1.02-1.14]</w:t>
            </w:r>
          </w:p>
        </w:tc>
        <w:tc>
          <w:tcPr>
            <w:tcW w:w="1271" w:type="dxa"/>
            <w:shd w:val="clear" w:color="auto" w:fill="auto"/>
            <w:noWrap/>
            <w:vAlign w:val="center"/>
          </w:tcPr>
          <w:p w14:paraId="12CB3DA7"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0.005</w:t>
            </w:r>
          </w:p>
        </w:tc>
        <w:tc>
          <w:tcPr>
            <w:tcW w:w="1842" w:type="dxa"/>
            <w:shd w:val="clear" w:color="auto" w:fill="auto"/>
            <w:noWrap/>
            <w:vAlign w:val="center"/>
          </w:tcPr>
          <w:p w14:paraId="1A08FC9F" w14:textId="77777777" w:rsidR="00736C9F" w:rsidRPr="001F40A6" w:rsidRDefault="00736C9F" w:rsidP="006A5CB3">
            <w:pPr>
              <w:ind w:right="205"/>
              <w:jc w:val="center"/>
              <w:rPr>
                <w:b/>
                <w:bCs/>
                <w:color w:val="000000"/>
                <w:sz w:val="18"/>
                <w:szCs w:val="18"/>
                <w:lang w:val="en-US"/>
              </w:rPr>
            </w:pPr>
            <w:r w:rsidRPr="001F40A6">
              <w:rPr>
                <w:b/>
                <w:bCs/>
                <w:color w:val="000000"/>
                <w:sz w:val="18"/>
                <w:szCs w:val="18"/>
                <w:lang w:val="en-US"/>
              </w:rPr>
              <w:t>1.06 [1.01-1.13]</w:t>
            </w:r>
          </w:p>
        </w:tc>
        <w:tc>
          <w:tcPr>
            <w:tcW w:w="1134" w:type="dxa"/>
            <w:shd w:val="clear" w:color="auto" w:fill="auto"/>
            <w:noWrap/>
            <w:vAlign w:val="center"/>
          </w:tcPr>
          <w:p w14:paraId="65D02824"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0.04</w:t>
            </w:r>
          </w:p>
        </w:tc>
      </w:tr>
      <w:tr w:rsidR="00736C9F" w:rsidRPr="001F40A6" w14:paraId="1B89E9D4" w14:textId="77777777" w:rsidTr="006A5CB3">
        <w:trPr>
          <w:trHeight w:val="287"/>
        </w:trPr>
        <w:tc>
          <w:tcPr>
            <w:tcW w:w="4582" w:type="dxa"/>
            <w:shd w:val="clear" w:color="auto" w:fill="auto"/>
            <w:noWrap/>
            <w:vAlign w:val="center"/>
          </w:tcPr>
          <w:p w14:paraId="1EA81844" w14:textId="77777777" w:rsidR="00736C9F" w:rsidRPr="001F40A6" w:rsidRDefault="00736C9F" w:rsidP="006A5CB3">
            <w:pPr>
              <w:ind w:right="283"/>
              <w:rPr>
                <w:color w:val="000000"/>
                <w:sz w:val="18"/>
                <w:szCs w:val="18"/>
                <w:lang w:val="en-US"/>
              </w:rPr>
            </w:pPr>
            <w:r w:rsidRPr="001F40A6">
              <w:rPr>
                <w:color w:val="000000"/>
                <w:sz w:val="18"/>
                <w:szCs w:val="18"/>
                <w:lang w:val="en-US"/>
              </w:rPr>
              <w:t>Eosinophilic polynuclear cells (+ 0.1 G/L)</w:t>
            </w:r>
          </w:p>
        </w:tc>
        <w:tc>
          <w:tcPr>
            <w:tcW w:w="2370" w:type="dxa"/>
            <w:shd w:val="clear" w:color="auto" w:fill="auto"/>
            <w:noWrap/>
            <w:vAlign w:val="center"/>
          </w:tcPr>
          <w:p w14:paraId="31B7AC5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0.98 [0.83-1.15]</w:t>
            </w:r>
          </w:p>
        </w:tc>
        <w:tc>
          <w:tcPr>
            <w:tcW w:w="1271" w:type="dxa"/>
            <w:shd w:val="clear" w:color="auto" w:fill="auto"/>
            <w:noWrap/>
            <w:vAlign w:val="center"/>
          </w:tcPr>
          <w:p w14:paraId="6E5C4672"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0.79</w:t>
            </w:r>
          </w:p>
        </w:tc>
        <w:tc>
          <w:tcPr>
            <w:tcW w:w="1842" w:type="dxa"/>
            <w:shd w:val="clear" w:color="auto" w:fill="auto"/>
            <w:noWrap/>
            <w:vAlign w:val="center"/>
          </w:tcPr>
          <w:p w14:paraId="65077B5F" w14:textId="77777777" w:rsidR="00736C9F" w:rsidRPr="001F40A6" w:rsidRDefault="00736C9F" w:rsidP="006A5CB3">
            <w:pPr>
              <w:ind w:right="205"/>
              <w:jc w:val="center"/>
              <w:rPr>
                <w:color w:val="000000"/>
                <w:sz w:val="18"/>
                <w:szCs w:val="18"/>
                <w:lang w:val="en-US"/>
              </w:rPr>
            </w:pPr>
          </w:p>
        </w:tc>
        <w:tc>
          <w:tcPr>
            <w:tcW w:w="1134" w:type="dxa"/>
            <w:shd w:val="clear" w:color="auto" w:fill="auto"/>
            <w:noWrap/>
            <w:vAlign w:val="center"/>
          </w:tcPr>
          <w:p w14:paraId="6B14E45E" w14:textId="77777777" w:rsidR="00736C9F" w:rsidRPr="001F40A6" w:rsidRDefault="00736C9F" w:rsidP="006A5CB3">
            <w:pPr>
              <w:ind w:right="283"/>
              <w:jc w:val="center"/>
              <w:rPr>
                <w:color w:val="000000"/>
                <w:sz w:val="18"/>
                <w:szCs w:val="18"/>
                <w:lang w:val="en-US"/>
              </w:rPr>
            </w:pPr>
          </w:p>
        </w:tc>
      </w:tr>
      <w:tr w:rsidR="00736C9F" w:rsidRPr="001F40A6" w14:paraId="05E4C9F5" w14:textId="77777777" w:rsidTr="006A5CB3">
        <w:trPr>
          <w:trHeight w:val="287"/>
        </w:trPr>
        <w:tc>
          <w:tcPr>
            <w:tcW w:w="4582" w:type="dxa"/>
            <w:shd w:val="clear" w:color="auto" w:fill="auto"/>
            <w:noWrap/>
            <w:vAlign w:val="center"/>
            <w:hideMark/>
          </w:tcPr>
          <w:p w14:paraId="14DC3147" w14:textId="77777777" w:rsidR="00736C9F" w:rsidRPr="001F40A6" w:rsidRDefault="00736C9F" w:rsidP="006A5CB3">
            <w:pPr>
              <w:ind w:right="283"/>
              <w:rPr>
                <w:color w:val="000000"/>
                <w:sz w:val="18"/>
                <w:szCs w:val="18"/>
                <w:lang w:val="en-US"/>
              </w:rPr>
            </w:pPr>
            <w:r w:rsidRPr="001F40A6">
              <w:rPr>
                <w:color w:val="000000"/>
                <w:sz w:val="18"/>
                <w:szCs w:val="18"/>
                <w:lang w:val="en-US"/>
              </w:rPr>
              <w:t>Lymphocytes (+ 0.1 G/L)</w:t>
            </w:r>
          </w:p>
        </w:tc>
        <w:tc>
          <w:tcPr>
            <w:tcW w:w="2370" w:type="dxa"/>
            <w:shd w:val="clear" w:color="auto" w:fill="auto"/>
            <w:noWrap/>
            <w:vAlign w:val="center"/>
          </w:tcPr>
          <w:p w14:paraId="5E5B1A4D"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1.14 [0.89-1.60]</w:t>
            </w:r>
          </w:p>
        </w:tc>
        <w:tc>
          <w:tcPr>
            <w:tcW w:w="1271" w:type="dxa"/>
            <w:shd w:val="clear" w:color="auto" w:fill="auto"/>
            <w:noWrap/>
            <w:vAlign w:val="center"/>
          </w:tcPr>
          <w:p w14:paraId="680CEDF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0.35</w:t>
            </w:r>
          </w:p>
        </w:tc>
        <w:tc>
          <w:tcPr>
            <w:tcW w:w="1842" w:type="dxa"/>
            <w:shd w:val="clear" w:color="auto" w:fill="auto"/>
            <w:noWrap/>
            <w:vAlign w:val="center"/>
          </w:tcPr>
          <w:p w14:paraId="5310F497" w14:textId="77777777" w:rsidR="00736C9F" w:rsidRPr="001F40A6" w:rsidRDefault="00736C9F" w:rsidP="006A5CB3">
            <w:pPr>
              <w:ind w:right="205"/>
              <w:jc w:val="center"/>
              <w:rPr>
                <w:color w:val="000000"/>
                <w:sz w:val="18"/>
                <w:szCs w:val="18"/>
                <w:lang w:val="en-US"/>
              </w:rPr>
            </w:pPr>
          </w:p>
        </w:tc>
        <w:tc>
          <w:tcPr>
            <w:tcW w:w="1134" w:type="dxa"/>
            <w:shd w:val="clear" w:color="auto" w:fill="auto"/>
            <w:noWrap/>
            <w:vAlign w:val="center"/>
          </w:tcPr>
          <w:p w14:paraId="4C842DFB" w14:textId="77777777" w:rsidR="00736C9F" w:rsidRPr="001F40A6" w:rsidRDefault="00736C9F" w:rsidP="006A5CB3">
            <w:pPr>
              <w:ind w:right="283"/>
              <w:jc w:val="center"/>
              <w:rPr>
                <w:color w:val="000000"/>
                <w:sz w:val="18"/>
                <w:szCs w:val="18"/>
                <w:lang w:val="en-US"/>
              </w:rPr>
            </w:pPr>
          </w:p>
        </w:tc>
      </w:tr>
      <w:tr w:rsidR="00736C9F" w:rsidRPr="001F40A6" w14:paraId="11BD6C66" w14:textId="77777777" w:rsidTr="006A5CB3">
        <w:trPr>
          <w:trHeight w:val="287"/>
        </w:trPr>
        <w:tc>
          <w:tcPr>
            <w:tcW w:w="4582" w:type="dxa"/>
            <w:shd w:val="clear" w:color="auto" w:fill="auto"/>
            <w:noWrap/>
            <w:vAlign w:val="center"/>
          </w:tcPr>
          <w:p w14:paraId="35247254" w14:textId="77777777" w:rsidR="00736C9F" w:rsidRPr="001F40A6" w:rsidRDefault="00736C9F" w:rsidP="006A5CB3">
            <w:pPr>
              <w:ind w:right="283"/>
              <w:rPr>
                <w:b/>
                <w:bCs/>
                <w:color w:val="000000"/>
                <w:sz w:val="18"/>
                <w:szCs w:val="18"/>
                <w:lang w:val="en-US"/>
              </w:rPr>
            </w:pPr>
            <w:r w:rsidRPr="001F40A6">
              <w:rPr>
                <w:b/>
                <w:bCs/>
                <w:color w:val="000000"/>
                <w:sz w:val="18"/>
                <w:szCs w:val="18"/>
                <w:lang w:val="en-US"/>
              </w:rPr>
              <w:t>Serum albumin (+ 1 g/L)</w:t>
            </w:r>
          </w:p>
        </w:tc>
        <w:tc>
          <w:tcPr>
            <w:tcW w:w="2370" w:type="dxa"/>
            <w:shd w:val="clear" w:color="auto" w:fill="auto"/>
            <w:noWrap/>
            <w:vAlign w:val="center"/>
          </w:tcPr>
          <w:p w14:paraId="5242CE71"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0.95 [0.90-0.98]</w:t>
            </w:r>
          </w:p>
        </w:tc>
        <w:tc>
          <w:tcPr>
            <w:tcW w:w="1271" w:type="dxa"/>
            <w:shd w:val="clear" w:color="auto" w:fill="auto"/>
            <w:noWrap/>
            <w:vAlign w:val="center"/>
          </w:tcPr>
          <w:p w14:paraId="67F69B4B"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0.03</w:t>
            </w:r>
          </w:p>
        </w:tc>
        <w:tc>
          <w:tcPr>
            <w:tcW w:w="1842" w:type="dxa"/>
            <w:shd w:val="clear" w:color="auto" w:fill="auto"/>
            <w:noWrap/>
            <w:vAlign w:val="center"/>
          </w:tcPr>
          <w:p w14:paraId="7AB068B4" w14:textId="77777777" w:rsidR="00736C9F" w:rsidRPr="001F40A6" w:rsidRDefault="00736C9F" w:rsidP="006A5CB3">
            <w:pPr>
              <w:ind w:right="205"/>
              <w:jc w:val="center"/>
              <w:rPr>
                <w:b/>
                <w:bCs/>
                <w:color w:val="000000"/>
                <w:sz w:val="18"/>
                <w:szCs w:val="18"/>
                <w:lang w:val="en-US"/>
              </w:rPr>
            </w:pPr>
            <w:r w:rsidRPr="001F40A6">
              <w:rPr>
                <w:b/>
                <w:bCs/>
                <w:color w:val="000000"/>
                <w:sz w:val="18"/>
                <w:szCs w:val="18"/>
                <w:lang w:val="en-US"/>
              </w:rPr>
              <w:t>0.94 [0.89-0.98]</w:t>
            </w:r>
          </w:p>
        </w:tc>
        <w:tc>
          <w:tcPr>
            <w:tcW w:w="1134" w:type="dxa"/>
            <w:shd w:val="clear" w:color="auto" w:fill="auto"/>
            <w:noWrap/>
            <w:vAlign w:val="center"/>
          </w:tcPr>
          <w:p w14:paraId="5CADC723" w14:textId="77777777" w:rsidR="00736C9F" w:rsidRPr="001F40A6" w:rsidRDefault="00736C9F" w:rsidP="006A5CB3">
            <w:pPr>
              <w:ind w:right="283"/>
              <w:jc w:val="center"/>
              <w:rPr>
                <w:b/>
                <w:bCs/>
                <w:color w:val="000000"/>
                <w:sz w:val="18"/>
                <w:szCs w:val="18"/>
                <w:lang w:val="en-US"/>
              </w:rPr>
            </w:pPr>
            <w:r w:rsidRPr="001F40A6">
              <w:rPr>
                <w:b/>
                <w:bCs/>
                <w:color w:val="000000"/>
                <w:sz w:val="18"/>
                <w:szCs w:val="18"/>
                <w:lang w:val="en-US"/>
              </w:rPr>
              <w:t>0.01</w:t>
            </w:r>
          </w:p>
        </w:tc>
      </w:tr>
      <w:tr w:rsidR="00736C9F" w:rsidRPr="001F40A6" w14:paraId="4118871F" w14:textId="77777777" w:rsidTr="006A5CB3">
        <w:trPr>
          <w:trHeight w:val="287"/>
        </w:trPr>
        <w:tc>
          <w:tcPr>
            <w:tcW w:w="4582" w:type="dxa"/>
            <w:shd w:val="clear" w:color="auto" w:fill="auto"/>
            <w:noWrap/>
            <w:vAlign w:val="center"/>
          </w:tcPr>
          <w:p w14:paraId="2AF44100" w14:textId="77777777" w:rsidR="00736C9F" w:rsidRPr="001F40A6" w:rsidRDefault="00736C9F" w:rsidP="006A5CB3">
            <w:pPr>
              <w:ind w:right="283"/>
              <w:rPr>
                <w:color w:val="000000"/>
                <w:sz w:val="18"/>
                <w:szCs w:val="18"/>
                <w:lang w:val="en-US"/>
              </w:rPr>
            </w:pPr>
            <w:r w:rsidRPr="001F40A6">
              <w:rPr>
                <w:color w:val="000000"/>
                <w:sz w:val="18"/>
                <w:szCs w:val="18"/>
                <w:lang w:val="en-US"/>
              </w:rPr>
              <w:t>Serum creatinine (+ 50 µmol/L)</w:t>
            </w:r>
          </w:p>
        </w:tc>
        <w:tc>
          <w:tcPr>
            <w:tcW w:w="2370" w:type="dxa"/>
            <w:shd w:val="clear" w:color="auto" w:fill="auto"/>
            <w:noWrap/>
            <w:vAlign w:val="center"/>
          </w:tcPr>
          <w:p w14:paraId="776E5C76"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1.25 [0.97-1.66]</w:t>
            </w:r>
          </w:p>
        </w:tc>
        <w:tc>
          <w:tcPr>
            <w:tcW w:w="1271" w:type="dxa"/>
            <w:shd w:val="clear" w:color="auto" w:fill="auto"/>
            <w:noWrap/>
            <w:vAlign w:val="center"/>
          </w:tcPr>
          <w:p w14:paraId="5FDE154C"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0.09</w:t>
            </w:r>
          </w:p>
        </w:tc>
        <w:tc>
          <w:tcPr>
            <w:tcW w:w="1842" w:type="dxa"/>
            <w:shd w:val="clear" w:color="auto" w:fill="auto"/>
            <w:noWrap/>
            <w:vAlign w:val="center"/>
          </w:tcPr>
          <w:p w14:paraId="65E3FD51" w14:textId="77777777" w:rsidR="00736C9F" w:rsidRPr="001F40A6" w:rsidRDefault="00736C9F" w:rsidP="006A5CB3">
            <w:pPr>
              <w:ind w:right="205"/>
              <w:jc w:val="center"/>
              <w:rPr>
                <w:color w:val="000000"/>
                <w:sz w:val="18"/>
                <w:szCs w:val="18"/>
                <w:lang w:val="en-US"/>
              </w:rPr>
            </w:pPr>
          </w:p>
        </w:tc>
        <w:tc>
          <w:tcPr>
            <w:tcW w:w="1134" w:type="dxa"/>
            <w:shd w:val="clear" w:color="auto" w:fill="auto"/>
            <w:noWrap/>
            <w:vAlign w:val="center"/>
          </w:tcPr>
          <w:p w14:paraId="7679FE2A" w14:textId="77777777" w:rsidR="00736C9F" w:rsidRPr="001F40A6" w:rsidRDefault="00736C9F" w:rsidP="006A5CB3">
            <w:pPr>
              <w:ind w:right="283"/>
              <w:jc w:val="center"/>
              <w:rPr>
                <w:color w:val="000000"/>
                <w:sz w:val="18"/>
                <w:szCs w:val="18"/>
                <w:lang w:val="en-US"/>
              </w:rPr>
            </w:pPr>
          </w:p>
        </w:tc>
      </w:tr>
      <w:tr w:rsidR="00736C9F" w:rsidRPr="001F40A6" w14:paraId="75343440" w14:textId="77777777" w:rsidTr="006A5CB3">
        <w:trPr>
          <w:trHeight w:val="287"/>
        </w:trPr>
        <w:tc>
          <w:tcPr>
            <w:tcW w:w="4582" w:type="dxa"/>
            <w:shd w:val="clear" w:color="auto" w:fill="auto"/>
            <w:noWrap/>
            <w:vAlign w:val="center"/>
            <w:hideMark/>
          </w:tcPr>
          <w:p w14:paraId="65047F76" w14:textId="77777777" w:rsidR="00736C9F" w:rsidRPr="001F40A6" w:rsidRDefault="00736C9F" w:rsidP="006A5CB3">
            <w:pPr>
              <w:ind w:right="283"/>
              <w:rPr>
                <w:color w:val="000000"/>
                <w:sz w:val="18"/>
                <w:szCs w:val="18"/>
                <w:lang w:val="en-US"/>
              </w:rPr>
            </w:pPr>
            <w:r w:rsidRPr="001F40A6">
              <w:rPr>
                <w:color w:val="000000"/>
                <w:sz w:val="18"/>
                <w:szCs w:val="18"/>
                <w:lang w:val="en-US"/>
              </w:rPr>
              <w:t>C-reactive protein (+ 10 mg/L)</w:t>
            </w:r>
          </w:p>
        </w:tc>
        <w:tc>
          <w:tcPr>
            <w:tcW w:w="2370" w:type="dxa"/>
            <w:shd w:val="clear" w:color="auto" w:fill="auto"/>
            <w:noWrap/>
            <w:vAlign w:val="center"/>
          </w:tcPr>
          <w:p w14:paraId="789AAB7A"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1.04 [1.01-1.07]</w:t>
            </w:r>
          </w:p>
        </w:tc>
        <w:tc>
          <w:tcPr>
            <w:tcW w:w="1271" w:type="dxa"/>
            <w:shd w:val="clear" w:color="auto" w:fill="auto"/>
            <w:noWrap/>
            <w:vAlign w:val="center"/>
          </w:tcPr>
          <w:p w14:paraId="60B170D0"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0.006</w:t>
            </w:r>
          </w:p>
        </w:tc>
        <w:tc>
          <w:tcPr>
            <w:tcW w:w="1842" w:type="dxa"/>
            <w:shd w:val="clear" w:color="auto" w:fill="auto"/>
            <w:noWrap/>
            <w:vAlign w:val="center"/>
          </w:tcPr>
          <w:p w14:paraId="1241C165" w14:textId="77777777" w:rsidR="00736C9F" w:rsidRPr="001F40A6" w:rsidRDefault="00736C9F" w:rsidP="006A5CB3">
            <w:pPr>
              <w:ind w:right="283"/>
              <w:jc w:val="center"/>
              <w:rPr>
                <w:color w:val="000000"/>
                <w:sz w:val="18"/>
                <w:szCs w:val="18"/>
                <w:lang w:val="en-US"/>
              </w:rPr>
            </w:pPr>
          </w:p>
        </w:tc>
        <w:tc>
          <w:tcPr>
            <w:tcW w:w="1134" w:type="dxa"/>
            <w:shd w:val="clear" w:color="auto" w:fill="auto"/>
            <w:noWrap/>
            <w:vAlign w:val="center"/>
          </w:tcPr>
          <w:p w14:paraId="7FA4ED65" w14:textId="77777777" w:rsidR="00736C9F" w:rsidRPr="001F40A6" w:rsidRDefault="00736C9F" w:rsidP="006A5CB3">
            <w:pPr>
              <w:ind w:right="283"/>
              <w:jc w:val="center"/>
              <w:rPr>
                <w:color w:val="000000"/>
                <w:sz w:val="18"/>
                <w:szCs w:val="18"/>
                <w:lang w:val="en-US"/>
              </w:rPr>
            </w:pPr>
          </w:p>
        </w:tc>
      </w:tr>
      <w:tr w:rsidR="00736C9F" w:rsidRPr="001F40A6" w14:paraId="709ECC54" w14:textId="77777777" w:rsidTr="006A5CB3">
        <w:trPr>
          <w:trHeight w:val="287"/>
        </w:trPr>
        <w:tc>
          <w:tcPr>
            <w:tcW w:w="4582" w:type="dxa"/>
            <w:tcBorders>
              <w:bottom w:val="single" w:sz="12" w:space="0" w:color="auto"/>
            </w:tcBorders>
            <w:shd w:val="clear" w:color="auto" w:fill="auto"/>
            <w:noWrap/>
            <w:vAlign w:val="center"/>
            <w:hideMark/>
          </w:tcPr>
          <w:p w14:paraId="6EC55F20" w14:textId="77777777" w:rsidR="00736C9F" w:rsidRPr="001F40A6" w:rsidRDefault="00736C9F" w:rsidP="006A5CB3">
            <w:pPr>
              <w:ind w:right="283"/>
              <w:rPr>
                <w:color w:val="000000"/>
                <w:sz w:val="18"/>
                <w:szCs w:val="18"/>
                <w:lang w:val="en-US"/>
              </w:rPr>
            </w:pPr>
            <w:r w:rsidRPr="001F40A6">
              <w:rPr>
                <w:color w:val="000000"/>
                <w:sz w:val="18"/>
                <w:szCs w:val="18"/>
                <w:lang w:val="en-US"/>
              </w:rPr>
              <w:t>Procalcitonin (+ 1 ng/mL)</w:t>
            </w:r>
          </w:p>
        </w:tc>
        <w:tc>
          <w:tcPr>
            <w:tcW w:w="2370" w:type="dxa"/>
            <w:tcBorders>
              <w:bottom w:val="single" w:sz="12" w:space="0" w:color="auto"/>
            </w:tcBorders>
            <w:shd w:val="clear" w:color="auto" w:fill="auto"/>
            <w:noWrap/>
            <w:vAlign w:val="center"/>
          </w:tcPr>
          <w:p w14:paraId="24DF53C6"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1.03 [1.01-1.06]</w:t>
            </w:r>
          </w:p>
        </w:tc>
        <w:tc>
          <w:tcPr>
            <w:tcW w:w="1271" w:type="dxa"/>
            <w:tcBorders>
              <w:bottom w:val="single" w:sz="12" w:space="0" w:color="auto"/>
            </w:tcBorders>
            <w:shd w:val="clear" w:color="auto" w:fill="auto"/>
            <w:noWrap/>
            <w:vAlign w:val="center"/>
          </w:tcPr>
          <w:p w14:paraId="269DA43B" w14:textId="77777777" w:rsidR="00736C9F" w:rsidRPr="001F40A6" w:rsidRDefault="00736C9F" w:rsidP="006A5CB3">
            <w:pPr>
              <w:ind w:right="283"/>
              <w:jc w:val="center"/>
              <w:rPr>
                <w:color w:val="000000"/>
                <w:sz w:val="18"/>
                <w:szCs w:val="18"/>
                <w:lang w:val="en-US"/>
              </w:rPr>
            </w:pPr>
            <w:r w:rsidRPr="001F40A6">
              <w:rPr>
                <w:color w:val="000000"/>
                <w:sz w:val="18"/>
                <w:szCs w:val="18"/>
                <w:lang w:val="en-US"/>
              </w:rPr>
              <w:t>0.01</w:t>
            </w:r>
          </w:p>
        </w:tc>
        <w:tc>
          <w:tcPr>
            <w:tcW w:w="1842" w:type="dxa"/>
            <w:tcBorders>
              <w:bottom w:val="single" w:sz="12" w:space="0" w:color="auto"/>
            </w:tcBorders>
            <w:shd w:val="clear" w:color="auto" w:fill="auto"/>
            <w:noWrap/>
            <w:vAlign w:val="center"/>
          </w:tcPr>
          <w:p w14:paraId="08B221FC" w14:textId="77777777" w:rsidR="00736C9F" w:rsidRPr="001F40A6" w:rsidRDefault="00736C9F" w:rsidP="006A5CB3">
            <w:pPr>
              <w:ind w:right="283"/>
              <w:jc w:val="center"/>
              <w:rPr>
                <w:color w:val="000000"/>
                <w:sz w:val="18"/>
                <w:szCs w:val="18"/>
                <w:lang w:val="en-US"/>
              </w:rPr>
            </w:pPr>
          </w:p>
        </w:tc>
        <w:tc>
          <w:tcPr>
            <w:tcW w:w="1134" w:type="dxa"/>
            <w:tcBorders>
              <w:bottom w:val="single" w:sz="12" w:space="0" w:color="auto"/>
            </w:tcBorders>
            <w:shd w:val="clear" w:color="auto" w:fill="auto"/>
            <w:noWrap/>
            <w:vAlign w:val="center"/>
          </w:tcPr>
          <w:p w14:paraId="34CE7D04" w14:textId="77777777" w:rsidR="00736C9F" w:rsidRPr="001F40A6" w:rsidRDefault="00736C9F" w:rsidP="006A5CB3">
            <w:pPr>
              <w:ind w:right="283"/>
              <w:jc w:val="center"/>
              <w:rPr>
                <w:color w:val="000000"/>
                <w:sz w:val="18"/>
                <w:szCs w:val="18"/>
                <w:lang w:val="en-US"/>
              </w:rPr>
            </w:pPr>
          </w:p>
        </w:tc>
      </w:tr>
    </w:tbl>
    <w:p w14:paraId="40AFF91D" w14:textId="77777777" w:rsidR="00736C9F" w:rsidRPr="001F40A6" w:rsidRDefault="00736C9F" w:rsidP="00736C9F">
      <w:pPr>
        <w:ind w:right="283"/>
        <w:rPr>
          <w:color w:val="000000"/>
          <w:sz w:val="18"/>
          <w:szCs w:val="18"/>
          <w:lang w:val="en-US"/>
        </w:rPr>
      </w:pPr>
    </w:p>
    <w:p w14:paraId="4D638BA3" w14:textId="2A3EA796" w:rsidR="00736C9F" w:rsidRPr="001F40A6" w:rsidRDefault="00736C9F" w:rsidP="00736C9F">
      <w:pPr>
        <w:ind w:right="283"/>
        <w:rPr>
          <w:color w:val="000000"/>
          <w:sz w:val="18"/>
          <w:vertAlign w:val="superscript"/>
          <w:lang w:val="en-US"/>
        </w:rPr>
      </w:pPr>
      <w:r w:rsidRPr="001F40A6">
        <w:rPr>
          <w:color w:val="000000"/>
          <w:sz w:val="18"/>
          <w:szCs w:val="18"/>
          <w:lang w:val="en-US"/>
        </w:rPr>
        <w:t>Data are presented as N (%) or Median [interquartile range]</w:t>
      </w:r>
    </w:p>
    <w:p w14:paraId="7EF0CC45" w14:textId="77777777" w:rsidR="00736C9F" w:rsidRPr="001F40A6" w:rsidRDefault="00736C9F" w:rsidP="00736C9F">
      <w:pPr>
        <w:ind w:right="283"/>
        <w:rPr>
          <w:color w:val="000000"/>
          <w:sz w:val="18"/>
          <w:lang w:val="en-US"/>
        </w:rPr>
      </w:pPr>
      <w:r w:rsidRPr="001F40A6">
        <w:rPr>
          <w:color w:val="000000"/>
          <w:sz w:val="18"/>
          <w:lang w:val="en-US"/>
        </w:rPr>
        <w:t>Imputation by chains equation had been used to handle missing data.</w:t>
      </w:r>
    </w:p>
    <w:p w14:paraId="76D96E05" w14:textId="77777777" w:rsidR="00736C9F" w:rsidRPr="001F40A6" w:rsidRDefault="00736C9F" w:rsidP="00736C9F">
      <w:pPr>
        <w:ind w:right="283"/>
        <w:rPr>
          <w:color w:val="000000"/>
          <w:sz w:val="18"/>
          <w:lang w:val="en-US"/>
        </w:rPr>
      </w:pPr>
      <w:r w:rsidRPr="001F40A6">
        <w:rPr>
          <w:color w:val="000000"/>
          <w:sz w:val="18"/>
          <w:lang w:val="en-US"/>
        </w:rPr>
        <w:t>Hosmer Lemeshow test: p=0.29</w:t>
      </w:r>
    </w:p>
    <w:p w14:paraId="0E5EB8DF" w14:textId="77777777" w:rsidR="00736C9F" w:rsidRPr="001F40A6" w:rsidRDefault="00736C9F" w:rsidP="00736C9F">
      <w:pPr>
        <w:ind w:right="283"/>
        <w:rPr>
          <w:color w:val="000000"/>
          <w:sz w:val="18"/>
          <w:lang w:val="en-US"/>
        </w:rPr>
      </w:pPr>
      <w:r w:rsidRPr="001F40A6">
        <w:rPr>
          <w:color w:val="000000"/>
          <w:sz w:val="18"/>
          <w:lang w:val="en-US"/>
        </w:rPr>
        <w:t>OR: Odds ratio; 95%CI: 95% Confidence intervals</w:t>
      </w:r>
    </w:p>
    <w:p w14:paraId="0DCE6CC6" w14:textId="77777777" w:rsidR="0042118E" w:rsidRPr="001F40A6" w:rsidRDefault="0042118E">
      <w:pPr>
        <w:rPr>
          <w:color w:val="000000"/>
          <w:lang w:val="en-US"/>
        </w:rPr>
      </w:pPr>
    </w:p>
    <w:p w14:paraId="3B3BEEBE" w14:textId="77777777" w:rsidR="00043729" w:rsidRPr="001F40A6" w:rsidRDefault="00043729">
      <w:pPr>
        <w:rPr>
          <w:color w:val="000000"/>
          <w:lang w:val="en-US"/>
        </w:rPr>
      </w:pPr>
    </w:p>
    <w:p w14:paraId="6C464D4B" w14:textId="77777777" w:rsidR="00043729" w:rsidRPr="001F40A6" w:rsidRDefault="00043729">
      <w:pPr>
        <w:rPr>
          <w:color w:val="000000"/>
          <w:lang w:val="en-US"/>
        </w:rPr>
      </w:pPr>
    </w:p>
    <w:p w14:paraId="4720663D" w14:textId="77777777" w:rsidR="00043729" w:rsidRPr="001F40A6" w:rsidRDefault="00043729" w:rsidP="00043729">
      <w:pPr>
        <w:pStyle w:val="Default"/>
        <w:spacing w:line="480" w:lineRule="auto"/>
        <w:ind w:firstLine="284"/>
        <w:jc w:val="both"/>
        <w:rPr>
          <w:lang w:val="en-US"/>
        </w:rPr>
      </w:pPr>
    </w:p>
    <w:p w14:paraId="6E752B3E" w14:textId="77777777" w:rsidR="00E90088" w:rsidRPr="001F40A6" w:rsidRDefault="00E90088" w:rsidP="00043729">
      <w:pPr>
        <w:pStyle w:val="Default"/>
        <w:spacing w:line="480" w:lineRule="auto"/>
        <w:ind w:firstLine="284"/>
        <w:jc w:val="both"/>
        <w:rPr>
          <w:lang w:val="en-US"/>
        </w:rPr>
      </w:pPr>
    </w:p>
    <w:p w14:paraId="14337F53" w14:textId="77777777" w:rsidR="00E90088" w:rsidRPr="001F40A6" w:rsidRDefault="00E90088" w:rsidP="00043729">
      <w:pPr>
        <w:pStyle w:val="Default"/>
        <w:spacing w:line="480" w:lineRule="auto"/>
        <w:ind w:firstLine="284"/>
        <w:jc w:val="both"/>
        <w:rPr>
          <w:lang w:val="en-US"/>
        </w:rPr>
      </w:pPr>
    </w:p>
    <w:p w14:paraId="199A9130" w14:textId="77777777" w:rsidR="00E90088" w:rsidRPr="001F40A6" w:rsidRDefault="00E90088" w:rsidP="00043729">
      <w:pPr>
        <w:pStyle w:val="Default"/>
        <w:spacing w:line="480" w:lineRule="auto"/>
        <w:ind w:firstLine="284"/>
        <w:jc w:val="both"/>
        <w:rPr>
          <w:lang w:val="en-US"/>
        </w:rPr>
      </w:pPr>
    </w:p>
    <w:p w14:paraId="48573E13" w14:textId="77777777" w:rsidR="00E90088" w:rsidRPr="001F40A6" w:rsidRDefault="00E90088" w:rsidP="00043729">
      <w:pPr>
        <w:pStyle w:val="Default"/>
        <w:spacing w:line="480" w:lineRule="auto"/>
        <w:ind w:firstLine="284"/>
        <w:jc w:val="both"/>
        <w:rPr>
          <w:lang w:val="en-US"/>
        </w:rPr>
      </w:pPr>
    </w:p>
    <w:p w14:paraId="20771ED6" w14:textId="77777777" w:rsidR="00E90088" w:rsidRPr="001F40A6" w:rsidRDefault="00E90088" w:rsidP="00043729">
      <w:pPr>
        <w:pStyle w:val="Default"/>
        <w:spacing w:line="480" w:lineRule="auto"/>
        <w:ind w:firstLine="284"/>
        <w:jc w:val="both"/>
        <w:rPr>
          <w:lang w:val="en-US"/>
        </w:rPr>
      </w:pPr>
    </w:p>
    <w:p w14:paraId="0598433B" w14:textId="77777777" w:rsidR="00E90088" w:rsidRPr="001F40A6" w:rsidRDefault="00E90088" w:rsidP="00043729">
      <w:pPr>
        <w:pStyle w:val="Default"/>
        <w:spacing w:line="480" w:lineRule="auto"/>
        <w:ind w:firstLine="284"/>
        <w:jc w:val="both"/>
        <w:rPr>
          <w:lang w:val="en-US"/>
        </w:rPr>
      </w:pPr>
    </w:p>
    <w:p w14:paraId="101BBB22" w14:textId="77777777" w:rsidR="00E90088" w:rsidRPr="001F40A6" w:rsidRDefault="00E90088" w:rsidP="00043729">
      <w:pPr>
        <w:pStyle w:val="Default"/>
        <w:spacing w:line="480" w:lineRule="auto"/>
        <w:ind w:firstLine="284"/>
        <w:jc w:val="both"/>
        <w:rPr>
          <w:lang w:val="en-US"/>
        </w:rPr>
      </w:pPr>
    </w:p>
    <w:p w14:paraId="59801F88" w14:textId="77777777" w:rsidR="00E90088" w:rsidRPr="001F40A6" w:rsidRDefault="00E90088" w:rsidP="00043729">
      <w:pPr>
        <w:rPr>
          <w:rFonts w:asciiTheme="majorBidi" w:eastAsiaTheme="minorHAnsi" w:hAnsiTheme="majorBidi" w:cstheme="majorBidi"/>
          <w:color w:val="000000"/>
          <w:lang w:val="en-US" w:eastAsia="en-US"/>
        </w:rPr>
      </w:pPr>
    </w:p>
    <w:p w14:paraId="2CBBBD43" w14:textId="77777777" w:rsidR="00E90088" w:rsidRPr="001F40A6" w:rsidRDefault="00E90088" w:rsidP="00043729">
      <w:pPr>
        <w:rPr>
          <w:rFonts w:asciiTheme="majorBidi" w:eastAsiaTheme="minorHAnsi" w:hAnsiTheme="majorBidi" w:cstheme="majorBidi"/>
          <w:color w:val="000000"/>
          <w:lang w:val="en-US" w:eastAsia="en-US"/>
        </w:rPr>
      </w:pPr>
    </w:p>
    <w:p w14:paraId="67730501" w14:textId="77777777" w:rsidR="00E90088" w:rsidRPr="001F40A6" w:rsidRDefault="00E90088" w:rsidP="00043729">
      <w:pPr>
        <w:rPr>
          <w:rFonts w:asciiTheme="majorBidi" w:eastAsiaTheme="minorHAnsi" w:hAnsiTheme="majorBidi" w:cstheme="majorBidi"/>
          <w:color w:val="000000"/>
          <w:lang w:val="en-US" w:eastAsia="en-US"/>
        </w:rPr>
      </w:pPr>
    </w:p>
    <w:p w14:paraId="55AC7FB0" w14:textId="77777777" w:rsidR="00E90088" w:rsidRPr="001F40A6" w:rsidRDefault="00E90088" w:rsidP="00043729">
      <w:pPr>
        <w:rPr>
          <w:rFonts w:asciiTheme="majorBidi" w:eastAsiaTheme="minorHAnsi" w:hAnsiTheme="majorBidi" w:cstheme="majorBidi"/>
          <w:color w:val="000000"/>
          <w:lang w:val="en-US" w:eastAsia="en-US"/>
        </w:rPr>
      </w:pPr>
    </w:p>
    <w:p w14:paraId="191E5B67" w14:textId="77777777" w:rsidR="00E90088" w:rsidRPr="001F40A6" w:rsidRDefault="00E90088" w:rsidP="00043729">
      <w:pPr>
        <w:rPr>
          <w:rFonts w:asciiTheme="majorBidi" w:eastAsiaTheme="minorHAnsi" w:hAnsiTheme="majorBidi" w:cstheme="majorBidi"/>
          <w:color w:val="000000"/>
          <w:lang w:val="en-US" w:eastAsia="en-US"/>
        </w:rPr>
      </w:pPr>
    </w:p>
    <w:p w14:paraId="104904A6" w14:textId="77777777" w:rsidR="00E90088" w:rsidRPr="001F40A6" w:rsidRDefault="00E90088" w:rsidP="00043729">
      <w:pPr>
        <w:rPr>
          <w:rFonts w:asciiTheme="majorBidi" w:eastAsiaTheme="minorHAnsi" w:hAnsiTheme="majorBidi" w:cstheme="majorBidi"/>
          <w:color w:val="000000"/>
          <w:lang w:val="en-US" w:eastAsia="en-US"/>
        </w:rPr>
      </w:pPr>
    </w:p>
    <w:p w14:paraId="70C93C05" w14:textId="77777777" w:rsidR="00E90088" w:rsidRPr="001F40A6" w:rsidRDefault="00E90088" w:rsidP="00043729">
      <w:pPr>
        <w:rPr>
          <w:rFonts w:asciiTheme="majorBidi" w:eastAsiaTheme="minorHAnsi" w:hAnsiTheme="majorBidi" w:cstheme="majorBidi"/>
          <w:color w:val="000000"/>
          <w:lang w:val="en-US" w:eastAsia="en-US"/>
        </w:rPr>
      </w:pPr>
    </w:p>
    <w:p w14:paraId="505334D6" w14:textId="77777777" w:rsidR="00E90088" w:rsidRPr="001F40A6" w:rsidRDefault="00E90088" w:rsidP="00043729">
      <w:pPr>
        <w:rPr>
          <w:rFonts w:asciiTheme="majorBidi" w:eastAsiaTheme="minorHAnsi" w:hAnsiTheme="majorBidi" w:cstheme="majorBidi"/>
          <w:color w:val="000000"/>
          <w:lang w:val="en-US" w:eastAsia="en-US"/>
        </w:rPr>
      </w:pPr>
    </w:p>
    <w:p w14:paraId="71706082" w14:textId="77777777" w:rsidR="00E90088" w:rsidRPr="001F40A6" w:rsidRDefault="00E90088" w:rsidP="00043729">
      <w:pPr>
        <w:rPr>
          <w:rFonts w:asciiTheme="majorBidi" w:eastAsiaTheme="minorHAnsi" w:hAnsiTheme="majorBidi" w:cstheme="majorBidi"/>
          <w:color w:val="000000"/>
          <w:lang w:val="en-US" w:eastAsia="en-US"/>
        </w:rPr>
      </w:pPr>
    </w:p>
    <w:p w14:paraId="4B2CC054" w14:textId="77777777" w:rsidR="00E90088" w:rsidRPr="001F40A6" w:rsidRDefault="00E90088" w:rsidP="00043729">
      <w:pPr>
        <w:rPr>
          <w:rFonts w:asciiTheme="majorBidi" w:eastAsiaTheme="minorHAnsi" w:hAnsiTheme="majorBidi" w:cstheme="majorBidi"/>
          <w:color w:val="000000"/>
          <w:lang w:val="en-US" w:eastAsia="en-US"/>
        </w:rPr>
      </w:pPr>
    </w:p>
    <w:p w14:paraId="0977394C" w14:textId="77777777" w:rsidR="00E90088" w:rsidRPr="001F40A6" w:rsidRDefault="00E90088" w:rsidP="00043729">
      <w:pPr>
        <w:rPr>
          <w:rFonts w:asciiTheme="majorBidi" w:eastAsiaTheme="minorHAnsi" w:hAnsiTheme="majorBidi" w:cstheme="majorBidi"/>
          <w:color w:val="000000"/>
          <w:lang w:val="en-US" w:eastAsia="en-US"/>
        </w:rPr>
      </w:pPr>
    </w:p>
    <w:p w14:paraId="5E4908F7" w14:textId="77777777" w:rsidR="00E90088" w:rsidRPr="001F40A6" w:rsidRDefault="00E90088" w:rsidP="00043729">
      <w:pPr>
        <w:rPr>
          <w:rFonts w:asciiTheme="majorBidi" w:eastAsiaTheme="minorHAnsi" w:hAnsiTheme="majorBidi" w:cstheme="majorBidi"/>
          <w:color w:val="000000"/>
          <w:lang w:val="en-US" w:eastAsia="en-US"/>
        </w:rPr>
      </w:pPr>
    </w:p>
    <w:p w14:paraId="7F3C28F5" w14:textId="77777777" w:rsidR="00E90088" w:rsidRPr="001F40A6" w:rsidRDefault="00E90088" w:rsidP="00043729">
      <w:pPr>
        <w:rPr>
          <w:rFonts w:asciiTheme="majorBidi" w:eastAsiaTheme="minorHAnsi" w:hAnsiTheme="majorBidi" w:cstheme="majorBidi"/>
          <w:color w:val="000000"/>
          <w:lang w:val="en-US" w:eastAsia="en-US"/>
        </w:rPr>
      </w:pPr>
    </w:p>
    <w:p w14:paraId="449F86D1" w14:textId="77777777" w:rsidR="00E90088" w:rsidRPr="001F40A6" w:rsidRDefault="00E90088" w:rsidP="00043729">
      <w:pPr>
        <w:rPr>
          <w:rFonts w:asciiTheme="majorBidi" w:eastAsiaTheme="minorHAnsi" w:hAnsiTheme="majorBidi" w:cstheme="majorBidi"/>
          <w:color w:val="000000"/>
          <w:lang w:val="en-US" w:eastAsia="en-US"/>
        </w:rPr>
      </w:pPr>
    </w:p>
    <w:p w14:paraId="3B09A210" w14:textId="77777777" w:rsidR="00E90088" w:rsidRPr="001F40A6" w:rsidRDefault="00E90088" w:rsidP="00043729">
      <w:pPr>
        <w:rPr>
          <w:rFonts w:asciiTheme="majorBidi" w:eastAsiaTheme="minorHAnsi" w:hAnsiTheme="majorBidi" w:cstheme="majorBidi"/>
          <w:color w:val="000000"/>
          <w:lang w:val="en-US" w:eastAsia="en-US"/>
        </w:rPr>
      </w:pPr>
    </w:p>
    <w:p w14:paraId="40FF160A" w14:textId="54B48B06" w:rsidR="00043729" w:rsidRPr="001F40A6" w:rsidRDefault="00043729" w:rsidP="00043729">
      <w:pPr>
        <w:rPr>
          <w:rFonts w:asciiTheme="majorBidi" w:eastAsiaTheme="minorHAnsi" w:hAnsiTheme="majorBidi" w:cstheme="majorBidi"/>
          <w:color w:val="000000"/>
          <w:lang w:val="en-US" w:eastAsia="en-US"/>
        </w:rPr>
      </w:pPr>
      <w:r w:rsidRPr="001F40A6">
        <w:rPr>
          <w:rFonts w:asciiTheme="majorBidi" w:eastAsiaTheme="minorHAnsi" w:hAnsiTheme="majorBidi" w:cstheme="majorBidi"/>
          <w:color w:val="000000"/>
          <w:lang w:val="en-US" w:eastAsia="en-US"/>
        </w:rPr>
        <w:t>References</w:t>
      </w:r>
    </w:p>
    <w:p w14:paraId="14FD5C58" w14:textId="77777777" w:rsidR="00043729" w:rsidRPr="001F40A6" w:rsidRDefault="00043729" w:rsidP="00043729">
      <w:pPr>
        <w:rPr>
          <w:rFonts w:asciiTheme="majorBidi" w:eastAsiaTheme="minorHAnsi" w:hAnsiTheme="majorBidi" w:cstheme="majorBidi"/>
          <w:color w:val="000000"/>
          <w:lang w:val="en-US" w:eastAsia="en-US"/>
        </w:rPr>
      </w:pPr>
    </w:p>
    <w:p w14:paraId="56CC6639" w14:textId="77777777" w:rsidR="00043729" w:rsidRPr="001F40A6" w:rsidRDefault="00043729" w:rsidP="00043729">
      <w:pPr>
        <w:widowControl w:val="0"/>
        <w:autoSpaceDE w:val="0"/>
        <w:autoSpaceDN w:val="0"/>
        <w:adjustRightInd w:val="0"/>
        <w:rPr>
          <w:rFonts w:hAnsiTheme="majorHAnsi"/>
          <w:color w:val="000000"/>
          <w:lang w:val="en-US"/>
        </w:rPr>
      </w:pPr>
      <w:r w:rsidRPr="001F40A6">
        <w:rPr>
          <w:b/>
          <w:bCs/>
          <w:color w:val="000000"/>
          <w:lang w:val="en-US"/>
        </w:rPr>
        <w:fldChar w:fldCharType="begin"/>
      </w:r>
      <w:r w:rsidRPr="001F40A6">
        <w:rPr>
          <w:color w:val="000000"/>
          <w:lang w:val="en-US"/>
        </w:rPr>
        <w:instrText xml:space="preserve"> ADDIN ZOTERO_BIBL {"uncited":[],"omitted":[],"custom":[]} CSL_BIBLIOGRAPHY </w:instrText>
      </w:r>
      <w:r w:rsidRPr="001F40A6">
        <w:rPr>
          <w:b/>
          <w:bCs/>
          <w:color w:val="000000"/>
          <w:lang w:val="en-US"/>
        </w:rPr>
        <w:fldChar w:fldCharType="separate"/>
      </w:r>
      <w:r w:rsidRPr="001F40A6">
        <w:rPr>
          <w:rFonts w:hAnsiTheme="majorHAnsi"/>
          <w:color w:val="000000"/>
          <w:lang w:val="en-US"/>
        </w:rPr>
        <w:t xml:space="preserve">1. </w:t>
      </w:r>
      <w:r w:rsidRPr="001F40A6">
        <w:rPr>
          <w:rFonts w:hAnsiTheme="majorHAnsi"/>
          <w:color w:val="000000"/>
          <w:lang w:val="en-US"/>
        </w:rPr>
        <w:tab/>
        <w:t xml:space="preserve">Daubin C, Parienti J-J, Vincent S, et al.: Epidemiology and clinical outcome of virus-positive respiratory samples in ventilated patients: a prospective cohort study. </w:t>
      </w:r>
      <w:r w:rsidRPr="001F40A6">
        <w:rPr>
          <w:rFonts w:hAnsiTheme="majorHAnsi"/>
          <w:i/>
          <w:iCs/>
          <w:color w:val="000000"/>
          <w:lang w:val="en-US"/>
        </w:rPr>
        <w:t>Crit Care</w:t>
      </w:r>
      <w:r w:rsidRPr="001F40A6">
        <w:rPr>
          <w:rFonts w:hAnsiTheme="majorHAnsi"/>
          <w:color w:val="000000"/>
          <w:lang w:val="en-US"/>
        </w:rPr>
        <w:t xml:space="preserve"> 2006; 10:R142</w:t>
      </w:r>
    </w:p>
    <w:p w14:paraId="7A7A72C5" w14:textId="77777777" w:rsidR="00043729" w:rsidRPr="001F40A6" w:rsidRDefault="00043729" w:rsidP="00043729">
      <w:pPr>
        <w:widowControl w:val="0"/>
        <w:autoSpaceDE w:val="0"/>
        <w:autoSpaceDN w:val="0"/>
        <w:adjustRightInd w:val="0"/>
        <w:rPr>
          <w:rFonts w:hAnsiTheme="majorHAnsi"/>
          <w:color w:val="000000"/>
          <w:lang w:val="en-US"/>
        </w:rPr>
      </w:pPr>
      <w:r w:rsidRPr="001F40A6">
        <w:rPr>
          <w:rFonts w:hAnsiTheme="majorHAnsi"/>
          <w:color w:val="000000"/>
          <w:lang w:val="en-US"/>
        </w:rPr>
        <w:t xml:space="preserve">2. </w:t>
      </w:r>
      <w:r w:rsidRPr="001F40A6">
        <w:rPr>
          <w:rFonts w:hAnsiTheme="majorHAnsi"/>
          <w:color w:val="000000"/>
          <w:lang w:val="en-US"/>
        </w:rPr>
        <w:tab/>
        <w:t xml:space="preserve">Daubin C, Parienti J-J, Vabret A, et al.: Procalcitonin levels in acute exacerbation of COPD admitted in ICU: a prospective cohort study. </w:t>
      </w:r>
      <w:r w:rsidRPr="001F40A6">
        <w:rPr>
          <w:rFonts w:hAnsiTheme="majorHAnsi"/>
          <w:i/>
          <w:iCs/>
          <w:color w:val="000000"/>
          <w:lang w:val="en-US"/>
        </w:rPr>
        <w:t>BMC Infect Dis</w:t>
      </w:r>
      <w:r w:rsidRPr="001F40A6">
        <w:rPr>
          <w:rFonts w:hAnsiTheme="majorHAnsi"/>
          <w:color w:val="000000"/>
          <w:lang w:val="en-US"/>
        </w:rPr>
        <w:t xml:space="preserve"> 2008; 8:145</w:t>
      </w:r>
    </w:p>
    <w:p w14:paraId="4691D625" w14:textId="77777777" w:rsidR="00043729" w:rsidRPr="001F40A6" w:rsidRDefault="00043729" w:rsidP="00043729">
      <w:pPr>
        <w:widowControl w:val="0"/>
        <w:autoSpaceDE w:val="0"/>
        <w:autoSpaceDN w:val="0"/>
        <w:adjustRightInd w:val="0"/>
        <w:rPr>
          <w:rFonts w:hAnsiTheme="majorHAnsi"/>
          <w:color w:val="000000"/>
          <w:lang w:val="en-US"/>
        </w:rPr>
      </w:pPr>
      <w:r w:rsidRPr="001F40A6">
        <w:rPr>
          <w:rFonts w:hAnsiTheme="majorHAnsi"/>
          <w:color w:val="000000"/>
          <w:lang w:val="en-US"/>
        </w:rPr>
        <w:t xml:space="preserve">3. </w:t>
      </w:r>
      <w:r w:rsidRPr="001F40A6">
        <w:rPr>
          <w:rFonts w:hAnsiTheme="majorHAnsi"/>
          <w:color w:val="000000"/>
          <w:lang w:val="en-US"/>
        </w:rPr>
        <w:tab/>
        <w:t xml:space="preserve">Daubin C, Vincent S, Vabret A, et al.: Nosocomial viral ventilator-associated pneumonia in the intensive care unit: a prospective cohort study. </w:t>
      </w:r>
      <w:r w:rsidRPr="001F40A6">
        <w:rPr>
          <w:rFonts w:hAnsiTheme="majorHAnsi"/>
          <w:i/>
          <w:iCs/>
          <w:color w:val="000000"/>
          <w:lang w:val="en-US"/>
        </w:rPr>
        <w:t>Intensive Care Med</w:t>
      </w:r>
      <w:r w:rsidRPr="001F40A6">
        <w:rPr>
          <w:rFonts w:hAnsiTheme="majorHAnsi"/>
          <w:color w:val="000000"/>
          <w:lang w:val="en-US"/>
        </w:rPr>
        <w:t xml:space="preserve"> 2005; 31:1116</w:t>
      </w:r>
      <w:r w:rsidRPr="001F40A6">
        <w:rPr>
          <w:rFonts w:hAnsiTheme="majorHAnsi"/>
          <w:color w:val="000000"/>
          <w:lang w:val="en-US"/>
        </w:rPr>
        <w:t>–</w:t>
      </w:r>
      <w:r w:rsidRPr="001F40A6">
        <w:rPr>
          <w:rFonts w:hAnsiTheme="majorHAnsi"/>
          <w:color w:val="000000"/>
          <w:lang w:val="en-US"/>
        </w:rPr>
        <w:t>1122</w:t>
      </w:r>
    </w:p>
    <w:p w14:paraId="63D1168A" w14:textId="77777777" w:rsidR="00043729" w:rsidRPr="001F40A6" w:rsidRDefault="00043729" w:rsidP="00043729">
      <w:pPr>
        <w:widowControl w:val="0"/>
        <w:autoSpaceDE w:val="0"/>
        <w:autoSpaceDN w:val="0"/>
        <w:adjustRightInd w:val="0"/>
        <w:rPr>
          <w:rFonts w:hAnsiTheme="majorHAnsi"/>
          <w:color w:val="000000"/>
          <w:lang w:val="en-US"/>
        </w:rPr>
      </w:pPr>
      <w:r w:rsidRPr="001F40A6">
        <w:rPr>
          <w:rFonts w:hAnsiTheme="majorHAnsi"/>
          <w:color w:val="000000"/>
          <w:lang w:val="en-US"/>
        </w:rPr>
        <w:t xml:space="preserve">4. </w:t>
      </w:r>
      <w:r w:rsidRPr="001F40A6">
        <w:rPr>
          <w:rFonts w:hAnsiTheme="majorHAnsi"/>
          <w:color w:val="000000"/>
          <w:lang w:val="en-US"/>
        </w:rPr>
        <w:tab/>
        <w:t xml:space="preserve">Murray PR, Washington JA: Microscopic and baceriologic analysis of expectorated sputum. </w:t>
      </w:r>
      <w:r w:rsidRPr="001F40A6">
        <w:rPr>
          <w:rFonts w:hAnsiTheme="majorHAnsi"/>
          <w:i/>
          <w:iCs/>
          <w:color w:val="000000"/>
          <w:lang w:val="en-US"/>
        </w:rPr>
        <w:t>Mayo Clin Proc</w:t>
      </w:r>
      <w:r w:rsidRPr="001F40A6">
        <w:rPr>
          <w:rFonts w:hAnsiTheme="majorHAnsi"/>
          <w:color w:val="000000"/>
          <w:lang w:val="en-US"/>
        </w:rPr>
        <w:t xml:space="preserve"> 1975; 50:339</w:t>
      </w:r>
      <w:r w:rsidRPr="001F40A6">
        <w:rPr>
          <w:rFonts w:hAnsiTheme="majorHAnsi"/>
          <w:color w:val="000000"/>
          <w:lang w:val="en-US"/>
        </w:rPr>
        <w:t>–</w:t>
      </w:r>
      <w:r w:rsidRPr="001F40A6">
        <w:rPr>
          <w:rFonts w:hAnsiTheme="majorHAnsi"/>
          <w:color w:val="000000"/>
          <w:lang w:val="en-US"/>
        </w:rPr>
        <w:t>344</w:t>
      </w:r>
    </w:p>
    <w:p w14:paraId="675AA8D0" w14:textId="77777777" w:rsidR="00043729" w:rsidRPr="001F40A6" w:rsidRDefault="00043729" w:rsidP="00043729">
      <w:pPr>
        <w:widowControl w:val="0"/>
        <w:autoSpaceDE w:val="0"/>
        <w:autoSpaceDN w:val="0"/>
        <w:adjustRightInd w:val="0"/>
        <w:rPr>
          <w:rFonts w:hAnsiTheme="majorHAnsi"/>
          <w:color w:val="000000"/>
          <w:lang w:val="en-US"/>
        </w:rPr>
      </w:pPr>
      <w:r w:rsidRPr="001F40A6">
        <w:rPr>
          <w:rFonts w:hAnsiTheme="majorHAnsi"/>
          <w:color w:val="000000"/>
          <w:lang w:val="en-US"/>
        </w:rPr>
        <w:t xml:space="preserve">5. </w:t>
      </w:r>
      <w:r w:rsidRPr="001F40A6">
        <w:rPr>
          <w:rFonts w:hAnsiTheme="majorHAnsi"/>
          <w:color w:val="000000"/>
          <w:lang w:val="en-US"/>
        </w:rPr>
        <w:tab/>
        <w:t xml:space="preserve">Soler N, Torres A, Ewig S, et al.: Bronchial microbial patterns in severe exacerbations of chronic obstructive pulmonary disease (COPD) requiring mechanical ventilation. </w:t>
      </w:r>
      <w:r w:rsidRPr="001F40A6">
        <w:rPr>
          <w:rFonts w:hAnsiTheme="majorHAnsi"/>
          <w:i/>
          <w:iCs/>
          <w:color w:val="000000"/>
          <w:lang w:val="en-US"/>
        </w:rPr>
        <w:t>Am J Respir Crit Care Med</w:t>
      </w:r>
      <w:r w:rsidRPr="001F40A6">
        <w:rPr>
          <w:rFonts w:hAnsiTheme="majorHAnsi"/>
          <w:color w:val="000000"/>
          <w:lang w:val="en-US"/>
        </w:rPr>
        <w:t xml:space="preserve"> 1998; 157:1498</w:t>
      </w:r>
      <w:r w:rsidRPr="001F40A6">
        <w:rPr>
          <w:rFonts w:hAnsiTheme="majorHAnsi"/>
          <w:color w:val="000000"/>
          <w:lang w:val="en-US"/>
        </w:rPr>
        <w:t>–</w:t>
      </w:r>
      <w:r w:rsidRPr="001F40A6">
        <w:rPr>
          <w:rFonts w:hAnsiTheme="majorHAnsi"/>
          <w:color w:val="000000"/>
          <w:lang w:val="en-US"/>
        </w:rPr>
        <w:t>1505</w:t>
      </w:r>
    </w:p>
    <w:p w14:paraId="1C0B16FF" w14:textId="77777777" w:rsidR="00043729" w:rsidRPr="001F40A6" w:rsidRDefault="00043729" w:rsidP="00043729">
      <w:pPr>
        <w:widowControl w:val="0"/>
        <w:autoSpaceDE w:val="0"/>
        <w:autoSpaceDN w:val="0"/>
        <w:adjustRightInd w:val="0"/>
        <w:rPr>
          <w:rFonts w:hAnsiTheme="majorHAnsi"/>
          <w:color w:val="000000"/>
          <w:lang w:val="en-US"/>
        </w:rPr>
      </w:pPr>
      <w:r w:rsidRPr="001F40A6">
        <w:rPr>
          <w:rFonts w:hAnsiTheme="majorHAnsi"/>
          <w:color w:val="000000"/>
          <w:lang w:val="en-US"/>
        </w:rPr>
        <w:t xml:space="preserve">6. </w:t>
      </w:r>
      <w:r w:rsidRPr="001F40A6">
        <w:rPr>
          <w:rFonts w:hAnsiTheme="majorHAnsi"/>
          <w:color w:val="000000"/>
          <w:lang w:val="en-US"/>
        </w:rPr>
        <w:tab/>
        <w:t xml:space="preserve">Cantral DE, Tape TG, Reed EC, et al.: Quantitative culture of bronchoalveolar lavage fluid for the diagnosis of bacterial pneumonia. </w:t>
      </w:r>
      <w:r w:rsidRPr="001F40A6">
        <w:rPr>
          <w:rFonts w:hAnsiTheme="majorHAnsi"/>
          <w:i/>
          <w:iCs/>
          <w:color w:val="000000"/>
          <w:lang w:val="en-US"/>
        </w:rPr>
        <w:t>Am J Med</w:t>
      </w:r>
      <w:r w:rsidRPr="001F40A6">
        <w:rPr>
          <w:rFonts w:hAnsiTheme="majorHAnsi"/>
          <w:color w:val="000000"/>
          <w:lang w:val="en-US"/>
        </w:rPr>
        <w:t xml:space="preserve"> 1993; 95:601</w:t>
      </w:r>
      <w:r w:rsidRPr="001F40A6">
        <w:rPr>
          <w:rFonts w:hAnsiTheme="majorHAnsi"/>
          <w:color w:val="000000"/>
          <w:lang w:val="en-US"/>
        </w:rPr>
        <w:t>–</w:t>
      </w:r>
      <w:r w:rsidRPr="001F40A6">
        <w:rPr>
          <w:rFonts w:hAnsiTheme="majorHAnsi"/>
          <w:color w:val="000000"/>
          <w:lang w:val="en-US"/>
        </w:rPr>
        <w:t>607</w:t>
      </w:r>
    </w:p>
    <w:p w14:paraId="707DE989" w14:textId="77777777" w:rsidR="00043729" w:rsidRPr="001F40A6" w:rsidRDefault="00043729" w:rsidP="00043729">
      <w:pPr>
        <w:widowControl w:val="0"/>
        <w:autoSpaceDE w:val="0"/>
        <w:autoSpaceDN w:val="0"/>
        <w:adjustRightInd w:val="0"/>
        <w:rPr>
          <w:rFonts w:hAnsiTheme="majorHAnsi"/>
          <w:color w:val="000000"/>
          <w:lang w:val="en-US"/>
        </w:rPr>
      </w:pPr>
      <w:r w:rsidRPr="001F40A6">
        <w:rPr>
          <w:rFonts w:hAnsiTheme="majorHAnsi"/>
          <w:color w:val="000000"/>
          <w:lang w:val="en-US"/>
        </w:rPr>
        <w:t xml:space="preserve">7. </w:t>
      </w:r>
      <w:r w:rsidRPr="001F40A6">
        <w:rPr>
          <w:rFonts w:hAnsiTheme="majorHAnsi"/>
          <w:color w:val="000000"/>
          <w:lang w:val="en-US"/>
        </w:rPr>
        <w:tab/>
        <w:t xml:space="preserve">Kalil AC, Metersky ML, Klompas M, et al.: Management of Adults With Hospital-acquired and Ventilator-associated Pneumonia: 2016 Clinical Practice Guidelines by the Infectious Diseases Society of America and the American Thoracic Society. </w:t>
      </w:r>
      <w:r w:rsidRPr="001F40A6">
        <w:rPr>
          <w:rFonts w:hAnsiTheme="majorHAnsi"/>
          <w:i/>
          <w:iCs/>
          <w:color w:val="000000"/>
          <w:lang w:val="en-US"/>
        </w:rPr>
        <w:t>Clin Infect Dis</w:t>
      </w:r>
      <w:r w:rsidRPr="001F40A6">
        <w:rPr>
          <w:rFonts w:hAnsiTheme="majorHAnsi"/>
          <w:color w:val="000000"/>
          <w:lang w:val="en-US"/>
        </w:rPr>
        <w:t xml:space="preserve"> 2016; 63:e61</w:t>
      </w:r>
      <w:r w:rsidRPr="001F40A6">
        <w:rPr>
          <w:rFonts w:hAnsiTheme="majorHAnsi"/>
          <w:color w:val="000000"/>
          <w:lang w:val="en-US"/>
        </w:rPr>
        <w:t>–</w:t>
      </w:r>
      <w:r w:rsidRPr="001F40A6">
        <w:rPr>
          <w:rFonts w:hAnsiTheme="majorHAnsi"/>
          <w:color w:val="000000"/>
          <w:lang w:val="en-US"/>
        </w:rPr>
        <w:t>e111</w:t>
      </w:r>
    </w:p>
    <w:p w14:paraId="29750FC0" w14:textId="77777777" w:rsidR="00043729" w:rsidRPr="001F40A6" w:rsidRDefault="00043729" w:rsidP="00043729">
      <w:pPr>
        <w:widowControl w:val="0"/>
        <w:autoSpaceDE w:val="0"/>
        <w:autoSpaceDN w:val="0"/>
        <w:adjustRightInd w:val="0"/>
        <w:rPr>
          <w:rFonts w:hAnsiTheme="majorHAnsi"/>
          <w:color w:val="000000"/>
          <w:lang w:val="en-US"/>
        </w:rPr>
      </w:pPr>
      <w:r w:rsidRPr="001F40A6">
        <w:rPr>
          <w:rFonts w:hAnsiTheme="majorHAnsi"/>
          <w:color w:val="000000"/>
          <w:lang w:val="en-US"/>
        </w:rPr>
        <w:t xml:space="preserve">8. </w:t>
      </w:r>
      <w:r w:rsidRPr="001F40A6">
        <w:rPr>
          <w:rFonts w:hAnsiTheme="majorHAnsi"/>
          <w:color w:val="000000"/>
          <w:lang w:val="en-US"/>
        </w:rPr>
        <w:tab/>
        <w:t xml:space="preserve">Rochwerg B, Brochard L, Elliott MW, et al.: Official ERS/ATS clinical practice guidelines: noninvasive ventilation for acute respiratory </w:t>
      </w:r>
      <w:r w:rsidRPr="001F40A6">
        <w:rPr>
          <w:rFonts w:hAnsiTheme="majorHAnsi"/>
          <w:color w:val="000000"/>
          <w:lang w:val="en-US"/>
        </w:rPr>
        <w:lastRenderedPageBreak/>
        <w:t xml:space="preserve">failure. </w:t>
      </w:r>
      <w:r w:rsidRPr="001F40A6">
        <w:rPr>
          <w:rFonts w:hAnsiTheme="majorHAnsi"/>
          <w:i/>
          <w:iCs/>
          <w:color w:val="000000"/>
          <w:lang w:val="en-US"/>
        </w:rPr>
        <w:t>Eur Respir J</w:t>
      </w:r>
      <w:r w:rsidRPr="001F40A6">
        <w:rPr>
          <w:rFonts w:hAnsiTheme="majorHAnsi"/>
          <w:color w:val="000000"/>
          <w:lang w:val="en-US"/>
        </w:rPr>
        <w:t xml:space="preserve"> 2017; 50:1602426</w:t>
      </w:r>
    </w:p>
    <w:p w14:paraId="0AEA10A5" w14:textId="77777777" w:rsidR="00043729" w:rsidRPr="001F40A6" w:rsidRDefault="00043729" w:rsidP="00043729">
      <w:pPr>
        <w:widowControl w:val="0"/>
        <w:autoSpaceDE w:val="0"/>
        <w:autoSpaceDN w:val="0"/>
        <w:adjustRightInd w:val="0"/>
        <w:rPr>
          <w:rFonts w:hAnsiTheme="majorHAnsi"/>
          <w:color w:val="000000"/>
          <w:lang w:val="en-US"/>
        </w:rPr>
      </w:pPr>
      <w:r w:rsidRPr="001F40A6">
        <w:rPr>
          <w:rFonts w:hAnsiTheme="majorHAnsi"/>
          <w:color w:val="000000"/>
          <w:lang w:val="en-US"/>
        </w:rPr>
        <w:t xml:space="preserve">9. </w:t>
      </w:r>
      <w:r w:rsidRPr="001F40A6">
        <w:rPr>
          <w:rFonts w:hAnsiTheme="majorHAnsi"/>
          <w:color w:val="000000"/>
          <w:lang w:val="en-US"/>
        </w:rPr>
        <w:tab/>
        <w:t xml:space="preserve">Davidson AC, Banham S, Elliott M, et al.: BTS/ICS guideline for the ventilatory management of acute hypercapnic respiratory failure in adults. </w:t>
      </w:r>
      <w:r w:rsidRPr="001F40A6">
        <w:rPr>
          <w:rFonts w:hAnsiTheme="majorHAnsi"/>
          <w:i/>
          <w:iCs/>
          <w:color w:val="000000"/>
          <w:lang w:val="en-US"/>
        </w:rPr>
        <w:t>Thorax</w:t>
      </w:r>
      <w:r w:rsidRPr="001F40A6">
        <w:rPr>
          <w:rFonts w:hAnsiTheme="majorHAnsi"/>
          <w:color w:val="000000"/>
          <w:lang w:val="en-US"/>
        </w:rPr>
        <w:t xml:space="preserve"> 2016; 71 Suppl 2:ii1-35</w:t>
      </w:r>
    </w:p>
    <w:p w14:paraId="508D3FE4" w14:textId="77777777" w:rsidR="00043729" w:rsidRPr="001F40A6" w:rsidRDefault="00043729" w:rsidP="00043729">
      <w:pPr>
        <w:widowControl w:val="0"/>
        <w:autoSpaceDE w:val="0"/>
        <w:autoSpaceDN w:val="0"/>
        <w:adjustRightInd w:val="0"/>
        <w:rPr>
          <w:rFonts w:hAnsiTheme="majorHAnsi"/>
          <w:color w:val="000000"/>
          <w:lang w:val="en-US"/>
        </w:rPr>
      </w:pPr>
      <w:r w:rsidRPr="001F40A6">
        <w:rPr>
          <w:rFonts w:hAnsiTheme="majorHAnsi"/>
          <w:color w:val="000000"/>
          <w:lang w:val="en-US"/>
        </w:rPr>
        <w:t xml:space="preserve">10. </w:t>
      </w:r>
      <w:r w:rsidRPr="001F40A6">
        <w:rPr>
          <w:rFonts w:hAnsiTheme="majorHAnsi"/>
          <w:color w:val="000000"/>
          <w:lang w:val="en-US"/>
        </w:rPr>
        <w:tab/>
        <w:t xml:space="preserve">Ram FSF, Picot J, Lightowler J, et al.: Non-invasive positive pressure ventilation for treatment of respiratory failure due to exacerbations of chronic obstructive pulmonary disease. </w:t>
      </w:r>
      <w:r w:rsidRPr="001F40A6">
        <w:rPr>
          <w:rFonts w:hAnsiTheme="majorHAnsi"/>
          <w:i/>
          <w:iCs/>
          <w:color w:val="000000"/>
          <w:lang w:val="en-US"/>
        </w:rPr>
        <w:t>Cochrane Database Syst Rev</w:t>
      </w:r>
      <w:r w:rsidRPr="001F40A6">
        <w:rPr>
          <w:rFonts w:hAnsiTheme="majorHAnsi"/>
          <w:color w:val="000000"/>
          <w:lang w:val="en-US"/>
        </w:rPr>
        <w:t xml:space="preserve"> 2004; CD004104</w:t>
      </w:r>
    </w:p>
    <w:p w14:paraId="55D8DF46" w14:textId="77777777" w:rsidR="00043729" w:rsidRPr="001F40A6" w:rsidRDefault="00043729" w:rsidP="00043729">
      <w:pPr>
        <w:widowControl w:val="0"/>
        <w:autoSpaceDE w:val="0"/>
        <w:autoSpaceDN w:val="0"/>
        <w:adjustRightInd w:val="0"/>
        <w:rPr>
          <w:rFonts w:hAnsiTheme="majorHAnsi"/>
          <w:color w:val="000000"/>
          <w:lang w:val="en-US"/>
        </w:rPr>
      </w:pPr>
      <w:r w:rsidRPr="001F40A6">
        <w:rPr>
          <w:rFonts w:hAnsiTheme="majorHAnsi"/>
          <w:color w:val="000000"/>
          <w:lang w:val="en-US"/>
        </w:rPr>
        <w:t xml:space="preserve">11. </w:t>
      </w:r>
      <w:r w:rsidRPr="001F40A6">
        <w:rPr>
          <w:rFonts w:hAnsiTheme="majorHAnsi"/>
          <w:color w:val="000000"/>
          <w:lang w:val="en-US"/>
        </w:rPr>
        <w:tab/>
        <w:t>Devlin JW, Skrobik Y, G</w:t>
      </w:r>
      <w:r w:rsidRPr="001F40A6">
        <w:rPr>
          <w:rFonts w:hAnsiTheme="majorHAnsi"/>
          <w:color w:val="000000"/>
          <w:lang w:val="en-US"/>
        </w:rPr>
        <w:t>é</w:t>
      </w:r>
      <w:r w:rsidRPr="001F40A6">
        <w:rPr>
          <w:rFonts w:hAnsiTheme="majorHAnsi"/>
          <w:color w:val="000000"/>
          <w:lang w:val="en-US"/>
        </w:rPr>
        <w:t xml:space="preserve">linas C, et al.: Clinical Practice Guidelines for the Prevention and Management of Pain, Agitation/Sedation, Delirium, Immobility, and Sleep Disruption in Adult Patients in the ICU. </w:t>
      </w:r>
      <w:r w:rsidRPr="001F40A6">
        <w:rPr>
          <w:rFonts w:hAnsiTheme="majorHAnsi"/>
          <w:i/>
          <w:iCs/>
          <w:color w:val="000000"/>
          <w:lang w:val="en-US"/>
        </w:rPr>
        <w:t>Crit Care Med</w:t>
      </w:r>
      <w:r w:rsidRPr="001F40A6">
        <w:rPr>
          <w:rFonts w:hAnsiTheme="majorHAnsi"/>
          <w:color w:val="000000"/>
          <w:lang w:val="en-US"/>
        </w:rPr>
        <w:t xml:space="preserve"> 2018; 46:e825</w:t>
      </w:r>
      <w:r w:rsidRPr="001F40A6">
        <w:rPr>
          <w:rFonts w:hAnsiTheme="majorHAnsi"/>
          <w:color w:val="000000"/>
          <w:lang w:val="en-US"/>
        </w:rPr>
        <w:t>–</w:t>
      </w:r>
      <w:r w:rsidRPr="001F40A6">
        <w:rPr>
          <w:rFonts w:hAnsiTheme="majorHAnsi"/>
          <w:color w:val="000000"/>
          <w:lang w:val="en-US"/>
        </w:rPr>
        <w:t>e873</w:t>
      </w:r>
    </w:p>
    <w:p w14:paraId="7BFA6B46" w14:textId="77777777" w:rsidR="00043729" w:rsidRPr="001F40A6" w:rsidRDefault="00043729" w:rsidP="00043729">
      <w:pPr>
        <w:widowControl w:val="0"/>
        <w:autoSpaceDE w:val="0"/>
        <w:autoSpaceDN w:val="0"/>
        <w:adjustRightInd w:val="0"/>
        <w:rPr>
          <w:rFonts w:hAnsiTheme="majorHAnsi"/>
          <w:color w:val="000000"/>
          <w:lang w:val="en-US"/>
        </w:rPr>
      </w:pPr>
      <w:r w:rsidRPr="001F40A6">
        <w:rPr>
          <w:rFonts w:hAnsiTheme="majorHAnsi"/>
          <w:color w:val="000000"/>
          <w:lang w:val="en-US"/>
        </w:rPr>
        <w:t xml:space="preserve">12. </w:t>
      </w:r>
      <w:r w:rsidRPr="001F40A6">
        <w:rPr>
          <w:rFonts w:hAnsiTheme="majorHAnsi"/>
          <w:color w:val="000000"/>
          <w:lang w:val="en-US"/>
        </w:rPr>
        <w:tab/>
        <w:t xml:space="preserve">Boles J-M, Bion J, Connors A, et al.: Weaning from mechanical ventilation. </w:t>
      </w:r>
      <w:r w:rsidRPr="001F40A6">
        <w:rPr>
          <w:rFonts w:hAnsiTheme="majorHAnsi"/>
          <w:i/>
          <w:iCs/>
          <w:color w:val="000000"/>
          <w:lang w:val="en-US"/>
        </w:rPr>
        <w:t>Eur Respir J</w:t>
      </w:r>
      <w:r w:rsidRPr="001F40A6">
        <w:rPr>
          <w:rFonts w:hAnsiTheme="majorHAnsi"/>
          <w:color w:val="000000"/>
          <w:lang w:val="en-US"/>
        </w:rPr>
        <w:t xml:space="preserve"> 2007; 29:1033</w:t>
      </w:r>
      <w:r w:rsidRPr="001F40A6">
        <w:rPr>
          <w:rFonts w:hAnsiTheme="majorHAnsi"/>
          <w:color w:val="000000"/>
          <w:lang w:val="en-US"/>
        </w:rPr>
        <w:t>–</w:t>
      </w:r>
      <w:r w:rsidRPr="001F40A6">
        <w:rPr>
          <w:rFonts w:hAnsiTheme="majorHAnsi"/>
          <w:color w:val="000000"/>
          <w:lang w:val="en-US"/>
        </w:rPr>
        <w:t>1056</w:t>
      </w:r>
    </w:p>
    <w:p w14:paraId="50F25D61" w14:textId="77777777" w:rsidR="00043729" w:rsidRPr="001F40A6" w:rsidRDefault="00043729" w:rsidP="00043729">
      <w:pPr>
        <w:widowControl w:val="0"/>
        <w:autoSpaceDE w:val="0"/>
        <w:autoSpaceDN w:val="0"/>
        <w:adjustRightInd w:val="0"/>
        <w:rPr>
          <w:rFonts w:hAnsiTheme="majorHAnsi"/>
          <w:color w:val="000000"/>
          <w:lang w:val="en-US"/>
        </w:rPr>
      </w:pPr>
      <w:r w:rsidRPr="001F40A6">
        <w:rPr>
          <w:rFonts w:hAnsiTheme="majorHAnsi"/>
          <w:color w:val="000000"/>
          <w:lang w:val="en-US"/>
        </w:rPr>
        <w:t xml:space="preserve">13. </w:t>
      </w:r>
      <w:r w:rsidRPr="001F40A6">
        <w:rPr>
          <w:rFonts w:hAnsiTheme="majorHAnsi"/>
          <w:color w:val="000000"/>
          <w:lang w:val="en-US"/>
        </w:rPr>
        <w:tab/>
        <w:t xml:space="preserve">ARDS Definition Task Force, Ranieri VM, Rubenfeld GD, et al.: Acute respiratory distress syndrome: the Berlin Definition. </w:t>
      </w:r>
      <w:r w:rsidRPr="001F40A6">
        <w:rPr>
          <w:rFonts w:hAnsiTheme="majorHAnsi"/>
          <w:i/>
          <w:iCs/>
          <w:color w:val="000000"/>
          <w:lang w:val="en-US"/>
        </w:rPr>
        <w:t>JAMA</w:t>
      </w:r>
      <w:r w:rsidRPr="001F40A6">
        <w:rPr>
          <w:rFonts w:hAnsiTheme="majorHAnsi"/>
          <w:color w:val="000000"/>
          <w:lang w:val="en-US"/>
        </w:rPr>
        <w:t xml:space="preserve"> 2012; 307:2526</w:t>
      </w:r>
      <w:r w:rsidRPr="001F40A6">
        <w:rPr>
          <w:rFonts w:hAnsiTheme="majorHAnsi"/>
          <w:color w:val="000000"/>
          <w:lang w:val="en-US"/>
        </w:rPr>
        <w:t>–</w:t>
      </w:r>
      <w:r w:rsidRPr="001F40A6">
        <w:rPr>
          <w:rFonts w:hAnsiTheme="majorHAnsi"/>
          <w:color w:val="000000"/>
          <w:lang w:val="en-US"/>
        </w:rPr>
        <w:t>2533</w:t>
      </w:r>
    </w:p>
    <w:p w14:paraId="7CF5434D" w14:textId="77777777" w:rsidR="00043729" w:rsidRPr="001F40A6" w:rsidRDefault="00043729" w:rsidP="00043729">
      <w:pPr>
        <w:widowControl w:val="0"/>
        <w:autoSpaceDE w:val="0"/>
        <w:autoSpaceDN w:val="0"/>
        <w:adjustRightInd w:val="0"/>
        <w:rPr>
          <w:rFonts w:hAnsiTheme="majorHAnsi"/>
          <w:color w:val="000000"/>
          <w:lang w:val="en-US"/>
        </w:rPr>
      </w:pPr>
      <w:r w:rsidRPr="001F40A6">
        <w:rPr>
          <w:rFonts w:hAnsiTheme="majorHAnsi"/>
          <w:color w:val="000000"/>
          <w:lang w:val="en-US"/>
        </w:rPr>
        <w:t xml:space="preserve">14. </w:t>
      </w:r>
      <w:r w:rsidRPr="001F40A6">
        <w:rPr>
          <w:rFonts w:hAnsiTheme="majorHAnsi"/>
          <w:color w:val="000000"/>
          <w:lang w:val="en-US"/>
        </w:rPr>
        <w:tab/>
        <w:t>Quintard H, l</w:t>
      </w:r>
      <w:r w:rsidRPr="001F40A6">
        <w:rPr>
          <w:rFonts w:hAnsiTheme="majorHAnsi"/>
          <w:color w:val="000000"/>
          <w:lang w:val="en-US"/>
        </w:rPr>
        <w:t>’</w:t>
      </w:r>
      <w:r w:rsidRPr="001F40A6">
        <w:rPr>
          <w:rFonts w:hAnsiTheme="majorHAnsi"/>
          <w:color w:val="000000"/>
          <w:lang w:val="en-US"/>
        </w:rPr>
        <w:t>Her E, Pottecher J, et al.: Experts</w:t>
      </w:r>
      <w:r w:rsidRPr="001F40A6">
        <w:rPr>
          <w:rFonts w:hAnsiTheme="majorHAnsi"/>
          <w:color w:val="000000"/>
          <w:lang w:val="en-US"/>
        </w:rPr>
        <w:t>’</w:t>
      </w:r>
      <w:r w:rsidRPr="001F40A6">
        <w:rPr>
          <w:rFonts w:hAnsiTheme="majorHAnsi"/>
          <w:color w:val="000000"/>
          <w:lang w:val="en-US"/>
        </w:rPr>
        <w:t xml:space="preserve"> guidelines of intubation and extubation of the ICU patient of French Society of Anaesthesia and Intensive Care Medicine (SFAR) and French-speaking Intensive Care Society (SRLF)</w:t>
      </w:r>
      <w:r w:rsidRPr="001F40A6">
        <w:rPr>
          <w:rFonts w:hAnsiTheme="majorHAnsi"/>
          <w:color w:val="000000"/>
          <w:lang w:val="en-US"/>
        </w:rPr>
        <w:t> </w:t>
      </w:r>
      <w:r w:rsidRPr="001F40A6">
        <w:rPr>
          <w:rFonts w:hAnsiTheme="majorHAnsi"/>
          <w:color w:val="000000"/>
          <w:lang w:val="en-US"/>
        </w:rPr>
        <w:t xml:space="preserve">: In collaboration with the pediatric Association of French-speaking Anaesthetists and Intensivists (ADARPEF), French-speaking Group of Intensive Care and Paediatric emergencies (GFRUP) and Intensive Care physiotherapy society (SKR). </w:t>
      </w:r>
      <w:r w:rsidRPr="001F40A6">
        <w:rPr>
          <w:rFonts w:hAnsiTheme="majorHAnsi"/>
          <w:i/>
          <w:iCs/>
          <w:color w:val="000000"/>
          <w:lang w:val="en-US"/>
        </w:rPr>
        <w:t>Ann Intensive Care</w:t>
      </w:r>
      <w:r w:rsidRPr="001F40A6">
        <w:rPr>
          <w:rFonts w:hAnsiTheme="majorHAnsi"/>
          <w:color w:val="000000"/>
          <w:lang w:val="en-US"/>
        </w:rPr>
        <w:t xml:space="preserve"> 2019; 9:13</w:t>
      </w:r>
    </w:p>
    <w:p w14:paraId="6823E4D8" w14:textId="77777777" w:rsidR="00043729" w:rsidRPr="001F40A6" w:rsidRDefault="00043729" w:rsidP="00043729">
      <w:pPr>
        <w:widowControl w:val="0"/>
        <w:autoSpaceDE w:val="0"/>
        <w:autoSpaceDN w:val="0"/>
        <w:adjustRightInd w:val="0"/>
        <w:rPr>
          <w:rFonts w:hAnsiTheme="majorHAnsi"/>
          <w:color w:val="000000"/>
          <w:lang w:val="en-US"/>
        </w:rPr>
      </w:pPr>
      <w:r w:rsidRPr="001F40A6">
        <w:rPr>
          <w:rFonts w:hAnsiTheme="majorHAnsi"/>
          <w:color w:val="000000"/>
          <w:lang w:val="en-US"/>
        </w:rPr>
        <w:t xml:space="preserve">15. </w:t>
      </w:r>
      <w:r w:rsidRPr="001F40A6">
        <w:rPr>
          <w:rFonts w:hAnsiTheme="majorHAnsi"/>
          <w:color w:val="000000"/>
          <w:lang w:val="en-US"/>
        </w:rPr>
        <w:tab/>
        <w:t xml:space="preserve">Thille AW, Harrois A, Schortgen F, et al.: Outcomes of extubation failure in medical intensive care unit patients. </w:t>
      </w:r>
      <w:r w:rsidRPr="001F40A6">
        <w:rPr>
          <w:rFonts w:hAnsiTheme="majorHAnsi"/>
          <w:i/>
          <w:iCs/>
          <w:color w:val="000000"/>
          <w:lang w:val="en-US"/>
        </w:rPr>
        <w:t>Crit Care Med</w:t>
      </w:r>
      <w:r w:rsidRPr="001F40A6">
        <w:rPr>
          <w:rFonts w:hAnsiTheme="majorHAnsi"/>
          <w:color w:val="000000"/>
          <w:lang w:val="en-US"/>
        </w:rPr>
        <w:t xml:space="preserve"> 2011; 39:2612</w:t>
      </w:r>
      <w:r w:rsidRPr="001F40A6">
        <w:rPr>
          <w:rFonts w:hAnsiTheme="majorHAnsi"/>
          <w:color w:val="000000"/>
          <w:lang w:val="en-US"/>
        </w:rPr>
        <w:t>–</w:t>
      </w:r>
      <w:r w:rsidRPr="001F40A6">
        <w:rPr>
          <w:rFonts w:hAnsiTheme="majorHAnsi"/>
          <w:color w:val="000000"/>
          <w:lang w:val="en-US"/>
        </w:rPr>
        <w:t>2618</w:t>
      </w:r>
    </w:p>
    <w:p w14:paraId="675F1E75" w14:textId="440F26AF" w:rsidR="00043729" w:rsidRPr="001F40A6" w:rsidRDefault="00043729" w:rsidP="00043729">
      <w:pPr>
        <w:rPr>
          <w:rFonts w:asciiTheme="majorBidi" w:eastAsiaTheme="minorHAnsi" w:hAnsiTheme="majorBidi" w:cstheme="majorBidi"/>
          <w:color w:val="000000"/>
          <w:lang w:val="en-US" w:eastAsia="en-US"/>
        </w:rPr>
      </w:pPr>
      <w:r w:rsidRPr="001F40A6">
        <w:rPr>
          <w:rFonts w:asciiTheme="majorBidi" w:eastAsiaTheme="minorHAnsi" w:hAnsiTheme="majorBidi" w:cstheme="majorBidi"/>
          <w:color w:val="000000"/>
          <w:lang w:val="en-US" w:eastAsia="en-US"/>
        </w:rPr>
        <w:fldChar w:fldCharType="end"/>
      </w:r>
    </w:p>
    <w:p w14:paraId="0C7DA4A6" w14:textId="77777777" w:rsidR="00E90088" w:rsidRPr="001F40A6" w:rsidRDefault="00E90088" w:rsidP="00043729">
      <w:pPr>
        <w:rPr>
          <w:rFonts w:asciiTheme="majorBidi" w:eastAsiaTheme="minorHAnsi" w:hAnsiTheme="majorBidi" w:cstheme="majorBidi"/>
          <w:color w:val="000000"/>
          <w:lang w:val="en-US" w:eastAsia="en-US"/>
        </w:rPr>
      </w:pPr>
    </w:p>
    <w:p w14:paraId="7650F07C" w14:textId="77777777" w:rsidR="00E90088" w:rsidRPr="001F40A6" w:rsidRDefault="00E90088" w:rsidP="00043729">
      <w:pPr>
        <w:rPr>
          <w:rFonts w:asciiTheme="majorBidi" w:eastAsiaTheme="minorHAnsi" w:hAnsiTheme="majorBidi" w:cstheme="majorBidi"/>
          <w:color w:val="000000"/>
          <w:lang w:val="en-US" w:eastAsia="en-US"/>
        </w:rPr>
      </w:pPr>
    </w:p>
    <w:p w14:paraId="204E6ECA" w14:textId="77777777" w:rsidR="00E90088" w:rsidRPr="001F40A6" w:rsidRDefault="00E90088" w:rsidP="00043729">
      <w:pPr>
        <w:rPr>
          <w:rFonts w:asciiTheme="majorBidi" w:eastAsiaTheme="minorHAnsi" w:hAnsiTheme="majorBidi" w:cstheme="majorBidi"/>
          <w:color w:val="000000"/>
          <w:lang w:val="en-US" w:eastAsia="en-US"/>
        </w:rPr>
      </w:pPr>
    </w:p>
    <w:p w14:paraId="185F9E67" w14:textId="77777777" w:rsidR="00E90088" w:rsidRPr="001F40A6" w:rsidRDefault="00E90088" w:rsidP="00043729">
      <w:pPr>
        <w:rPr>
          <w:rFonts w:asciiTheme="majorBidi" w:eastAsiaTheme="minorHAnsi" w:hAnsiTheme="majorBidi" w:cstheme="majorBidi"/>
          <w:color w:val="000000"/>
          <w:lang w:val="en-US" w:eastAsia="en-US"/>
        </w:rPr>
      </w:pPr>
    </w:p>
    <w:p w14:paraId="7F2A16FA" w14:textId="77777777" w:rsidR="00E90088" w:rsidRPr="001F40A6" w:rsidRDefault="00E90088" w:rsidP="00043729">
      <w:pPr>
        <w:rPr>
          <w:rFonts w:asciiTheme="majorBidi" w:eastAsiaTheme="minorHAnsi" w:hAnsiTheme="majorBidi" w:cstheme="majorBidi"/>
          <w:color w:val="000000"/>
          <w:lang w:val="en-US" w:eastAsia="en-US"/>
        </w:rPr>
      </w:pPr>
    </w:p>
    <w:p w14:paraId="1A8D90A1" w14:textId="77777777" w:rsidR="00E90088" w:rsidRPr="001F40A6" w:rsidRDefault="00E90088" w:rsidP="00043729">
      <w:pPr>
        <w:rPr>
          <w:rFonts w:asciiTheme="majorBidi" w:eastAsiaTheme="minorHAnsi" w:hAnsiTheme="majorBidi" w:cstheme="majorBidi"/>
          <w:color w:val="000000"/>
          <w:lang w:val="en-US" w:eastAsia="en-US"/>
        </w:rPr>
      </w:pPr>
    </w:p>
    <w:p w14:paraId="31DA44D2" w14:textId="77777777" w:rsidR="00E90088" w:rsidRPr="001F40A6" w:rsidRDefault="00E90088" w:rsidP="00043729">
      <w:pPr>
        <w:rPr>
          <w:rFonts w:asciiTheme="majorBidi" w:eastAsiaTheme="minorHAnsi" w:hAnsiTheme="majorBidi" w:cstheme="majorBidi"/>
          <w:color w:val="000000"/>
          <w:lang w:val="en-US" w:eastAsia="en-US"/>
        </w:rPr>
      </w:pPr>
    </w:p>
    <w:p w14:paraId="2009B29A" w14:textId="77777777" w:rsidR="00E90088" w:rsidRPr="001F40A6" w:rsidRDefault="00E90088" w:rsidP="00043729">
      <w:pPr>
        <w:rPr>
          <w:rFonts w:asciiTheme="majorBidi" w:eastAsiaTheme="minorHAnsi" w:hAnsiTheme="majorBidi" w:cstheme="majorBidi"/>
          <w:color w:val="000000"/>
          <w:lang w:val="en-US" w:eastAsia="en-US"/>
        </w:rPr>
      </w:pPr>
    </w:p>
    <w:p w14:paraId="20BC3696" w14:textId="77777777" w:rsidR="00E90088" w:rsidRPr="001F40A6" w:rsidRDefault="00E90088" w:rsidP="00043729">
      <w:pPr>
        <w:rPr>
          <w:rFonts w:asciiTheme="majorBidi" w:eastAsiaTheme="minorHAnsi" w:hAnsiTheme="majorBidi" w:cstheme="majorBidi"/>
          <w:color w:val="000000"/>
          <w:lang w:val="en-US" w:eastAsia="en-US"/>
        </w:rPr>
      </w:pPr>
    </w:p>
    <w:p w14:paraId="5B964846" w14:textId="77777777" w:rsidR="00E90088" w:rsidRPr="001F40A6" w:rsidRDefault="00E90088" w:rsidP="00043729">
      <w:pPr>
        <w:rPr>
          <w:rFonts w:asciiTheme="majorBidi" w:eastAsiaTheme="minorHAnsi" w:hAnsiTheme="majorBidi" w:cstheme="majorBidi"/>
          <w:color w:val="000000"/>
          <w:lang w:val="en-US" w:eastAsia="en-US"/>
        </w:rPr>
      </w:pPr>
    </w:p>
    <w:p w14:paraId="324AC021" w14:textId="77777777" w:rsidR="00E90088" w:rsidRPr="001F40A6" w:rsidRDefault="00E90088" w:rsidP="00043729">
      <w:pPr>
        <w:rPr>
          <w:rFonts w:asciiTheme="majorBidi" w:eastAsiaTheme="minorHAnsi" w:hAnsiTheme="majorBidi" w:cstheme="majorBidi"/>
          <w:color w:val="000000"/>
          <w:lang w:val="en-US" w:eastAsia="en-US"/>
        </w:rPr>
      </w:pPr>
    </w:p>
    <w:p w14:paraId="2A70DBD8" w14:textId="77777777" w:rsidR="00E90088" w:rsidRPr="001F40A6" w:rsidRDefault="00E90088" w:rsidP="00043729">
      <w:pPr>
        <w:rPr>
          <w:rFonts w:asciiTheme="majorBidi" w:eastAsiaTheme="minorHAnsi" w:hAnsiTheme="majorBidi" w:cstheme="majorBidi"/>
          <w:color w:val="000000"/>
          <w:lang w:val="en-US" w:eastAsia="en-US"/>
        </w:rPr>
      </w:pPr>
    </w:p>
    <w:p w14:paraId="63A0927A" w14:textId="77777777" w:rsidR="00E90088" w:rsidRPr="001F40A6" w:rsidRDefault="00E90088" w:rsidP="00043729">
      <w:pPr>
        <w:rPr>
          <w:rFonts w:asciiTheme="majorBidi" w:eastAsiaTheme="minorHAnsi" w:hAnsiTheme="majorBidi" w:cstheme="majorBidi"/>
          <w:color w:val="000000"/>
          <w:lang w:val="en-US" w:eastAsia="en-US"/>
        </w:rPr>
      </w:pPr>
    </w:p>
    <w:p w14:paraId="0300779D" w14:textId="77777777" w:rsidR="00E90088" w:rsidRPr="001F40A6" w:rsidRDefault="00E90088" w:rsidP="00043729">
      <w:pPr>
        <w:rPr>
          <w:rFonts w:asciiTheme="majorBidi" w:eastAsiaTheme="minorHAnsi" w:hAnsiTheme="majorBidi" w:cstheme="majorBidi"/>
          <w:color w:val="000000"/>
          <w:lang w:val="en-US" w:eastAsia="en-US"/>
        </w:rPr>
      </w:pPr>
    </w:p>
    <w:p w14:paraId="243BA4A2" w14:textId="77777777" w:rsidR="00E90088" w:rsidRPr="001F40A6" w:rsidRDefault="00E90088" w:rsidP="00043729">
      <w:pPr>
        <w:rPr>
          <w:rFonts w:asciiTheme="majorBidi" w:eastAsiaTheme="minorHAnsi" w:hAnsiTheme="majorBidi" w:cstheme="majorBidi"/>
          <w:color w:val="000000"/>
          <w:lang w:val="en-US" w:eastAsia="en-US"/>
        </w:rPr>
      </w:pPr>
    </w:p>
    <w:p w14:paraId="69C91D15" w14:textId="77777777" w:rsidR="00E90088" w:rsidRPr="001F40A6" w:rsidRDefault="00E90088" w:rsidP="00043729">
      <w:pPr>
        <w:rPr>
          <w:rFonts w:asciiTheme="majorBidi" w:eastAsiaTheme="minorHAnsi" w:hAnsiTheme="majorBidi" w:cstheme="majorBidi"/>
          <w:color w:val="000000"/>
          <w:lang w:val="en-US" w:eastAsia="en-US"/>
        </w:rPr>
      </w:pPr>
    </w:p>
    <w:p w14:paraId="704C117F" w14:textId="77777777" w:rsidR="00E90088" w:rsidRPr="001F40A6" w:rsidRDefault="00E90088" w:rsidP="00043729">
      <w:pPr>
        <w:rPr>
          <w:rFonts w:asciiTheme="majorBidi" w:eastAsiaTheme="minorHAnsi" w:hAnsiTheme="majorBidi" w:cstheme="majorBidi"/>
          <w:color w:val="000000"/>
          <w:lang w:val="en-US" w:eastAsia="en-US"/>
        </w:rPr>
      </w:pPr>
    </w:p>
    <w:p w14:paraId="04014676" w14:textId="77777777" w:rsidR="00E90088" w:rsidRPr="001F40A6" w:rsidRDefault="00E90088" w:rsidP="00043729">
      <w:pPr>
        <w:rPr>
          <w:rFonts w:asciiTheme="majorBidi" w:eastAsiaTheme="minorHAnsi" w:hAnsiTheme="majorBidi" w:cstheme="majorBidi"/>
          <w:color w:val="000000"/>
          <w:lang w:val="en-US" w:eastAsia="en-US"/>
        </w:rPr>
      </w:pPr>
    </w:p>
    <w:p w14:paraId="02422488" w14:textId="77777777" w:rsidR="00E90088" w:rsidRPr="001F40A6" w:rsidRDefault="00E90088" w:rsidP="00043729">
      <w:pPr>
        <w:rPr>
          <w:rFonts w:asciiTheme="majorBidi" w:eastAsiaTheme="minorHAnsi" w:hAnsiTheme="majorBidi" w:cstheme="majorBidi"/>
          <w:color w:val="000000"/>
          <w:lang w:val="en-US" w:eastAsia="en-US"/>
        </w:rPr>
      </w:pPr>
    </w:p>
    <w:p w14:paraId="083897B6" w14:textId="77777777" w:rsidR="00E90088" w:rsidRPr="001F40A6" w:rsidRDefault="00E90088" w:rsidP="00043729">
      <w:pPr>
        <w:rPr>
          <w:rFonts w:asciiTheme="majorBidi" w:eastAsiaTheme="minorHAnsi" w:hAnsiTheme="majorBidi" w:cstheme="majorBidi"/>
          <w:color w:val="000000"/>
          <w:lang w:val="en-US" w:eastAsia="en-US"/>
        </w:rPr>
      </w:pPr>
    </w:p>
    <w:p w14:paraId="7DA5CA18" w14:textId="77777777" w:rsidR="00E90088" w:rsidRPr="001F40A6" w:rsidRDefault="00E90088" w:rsidP="00043729">
      <w:pPr>
        <w:rPr>
          <w:rFonts w:asciiTheme="majorBidi" w:eastAsiaTheme="minorHAnsi" w:hAnsiTheme="majorBidi" w:cstheme="majorBidi"/>
          <w:color w:val="000000"/>
          <w:lang w:val="en-US" w:eastAsia="en-US"/>
        </w:rPr>
      </w:pPr>
    </w:p>
    <w:p w14:paraId="24126954" w14:textId="77777777" w:rsidR="00E90088" w:rsidRPr="001F40A6" w:rsidRDefault="00E90088" w:rsidP="00043729">
      <w:pPr>
        <w:rPr>
          <w:rFonts w:asciiTheme="majorBidi" w:eastAsiaTheme="minorHAnsi" w:hAnsiTheme="majorBidi" w:cstheme="majorBidi"/>
          <w:color w:val="000000"/>
          <w:lang w:val="en-US" w:eastAsia="en-US"/>
        </w:rPr>
      </w:pPr>
    </w:p>
    <w:p w14:paraId="3051F96D" w14:textId="77777777" w:rsidR="00E90088" w:rsidRPr="001F40A6" w:rsidRDefault="00E90088" w:rsidP="00043729">
      <w:pPr>
        <w:rPr>
          <w:rFonts w:asciiTheme="majorBidi" w:eastAsiaTheme="minorHAnsi" w:hAnsiTheme="majorBidi" w:cstheme="majorBidi"/>
          <w:color w:val="000000"/>
          <w:lang w:val="en-US" w:eastAsia="en-US"/>
        </w:rPr>
      </w:pPr>
    </w:p>
    <w:p w14:paraId="6A2DE5A6" w14:textId="77777777" w:rsidR="00E90088" w:rsidRPr="001F40A6" w:rsidRDefault="00E90088" w:rsidP="00043729">
      <w:pPr>
        <w:rPr>
          <w:rFonts w:asciiTheme="majorBidi" w:eastAsiaTheme="minorHAnsi" w:hAnsiTheme="majorBidi" w:cstheme="majorBidi"/>
          <w:color w:val="000000"/>
          <w:lang w:val="en-US" w:eastAsia="en-US"/>
        </w:rPr>
      </w:pPr>
    </w:p>
    <w:p w14:paraId="6202C078" w14:textId="77777777" w:rsidR="00E90088" w:rsidRPr="001F40A6" w:rsidRDefault="00E90088" w:rsidP="00043729">
      <w:pPr>
        <w:rPr>
          <w:rFonts w:asciiTheme="majorBidi" w:eastAsiaTheme="minorHAnsi" w:hAnsiTheme="majorBidi" w:cstheme="majorBidi"/>
          <w:color w:val="000000"/>
          <w:lang w:val="en-US" w:eastAsia="en-US"/>
        </w:rPr>
      </w:pPr>
    </w:p>
    <w:p w14:paraId="1110C4AD" w14:textId="77777777" w:rsidR="00E90088" w:rsidRPr="001F40A6" w:rsidRDefault="00E90088" w:rsidP="00043729">
      <w:pPr>
        <w:rPr>
          <w:rFonts w:asciiTheme="majorBidi" w:eastAsiaTheme="minorHAnsi" w:hAnsiTheme="majorBidi" w:cstheme="majorBidi"/>
          <w:color w:val="000000"/>
          <w:lang w:val="en-US" w:eastAsia="en-US"/>
        </w:rPr>
      </w:pPr>
    </w:p>
    <w:p w14:paraId="4E325BF7" w14:textId="77777777" w:rsidR="00E90088" w:rsidRPr="001F40A6" w:rsidRDefault="00E90088" w:rsidP="00043729">
      <w:pPr>
        <w:rPr>
          <w:rFonts w:asciiTheme="majorBidi" w:eastAsiaTheme="minorHAnsi" w:hAnsiTheme="majorBidi" w:cstheme="majorBidi"/>
          <w:color w:val="000000"/>
          <w:lang w:val="en-US" w:eastAsia="en-US"/>
        </w:rPr>
      </w:pPr>
    </w:p>
    <w:p w14:paraId="3200A4E5" w14:textId="77777777" w:rsidR="00E90088" w:rsidRPr="001F40A6" w:rsidRDefault="00E90088" w:rsidP="00043729">
      <w:pPr>
        <w:rPr>
          <w:rFonts w:asciiTheme="majorBidi" w:eastAsiaTheme="minorHAnsi" w:hAnsiTheme="majorBidi" w:cstheme="majorBidi"/>
          <w:color w:val="000000"/>
          <w:lang w:val="en-US" w:eastAsia="en-US"/>
        </w:rPr>
      </w:pPr>
    </w:p>
    <w:p w14:paraId="77DE5DE1" w14:textId="77777777" w:rsidR="00E90088" w:rsidRPr="001F40A6" w:rsidRDefault="00E90088" w:rsidP="00043729">
      <w:pPr>
        <w:rPr>
          <w:color w:val="000000"/>
          <w:lang w:val="en-US"/>
        </w:rPr>
      </w:pPr>
    </w:p>
    <w:sectPr w:rsidR="00E90088" w:rsidRPr="001F40A6" w:rsidSect="006E4F60">
      <w:pgSz w:w="16817" w:h="11901" w:orient="landscape"/>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8C239" w14:textId="77777777" w:rsidR="006E4F60" w:rsidRDefault="006E4F60">
      <w:r>
        <w:separator/>
      </w:r>
    </w:p>
  </w:endnote>
  <w:endnote w:type="continuationSeparator" w:id="0">
    <w:p w14:paraId="354D3488" w14:textId="77777777" w:rsidR="006E4F60" w:rsidRDefault="006E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9FEE" w14:textId="41CEEB97" w:rsidR="008B0876" w:rsidRDefault="008B0876">
    <w:pPr>
      <w:pStyle w:val="Footer"/>
    </w:pPr>
    <w:r>
      <w:rPr>
        <w:noProof/>
      </w:rPr>
      <mc:AlternateContent>
        <mc:Choice Requires="wps">
          <w:drawing>
            <wp:anchor distT="0" distB="0" distL="0" distR="0" simplePos="0" relativeHeight="251659264" behindDoc="0" locked="0" layoutInCell="1" allowOverlap="1" wp14:anchorId="3A30CA09" wp14:editId="1329A0B8">
              <wp:simplePos x="635" y="635"/>
              <wp:positionH relativeFrom="page">
                <wp:align>left</wp:align>
              </wp:positionH>
              <wp:positionV relativeFrom="page">
                <wp:align>bottom</wp:align>
              </wp:positionV>
              <wp:extent cx="443865" cy="443865"/>
              <wp:effectExtent l="0" t="0" r="14605" b="0"/>
              <wp:wrapNone/>
              <wp:docPr id="153155777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9D11B3" w14:textId="1FBCD2FA" w:rsidR="008B0876" w:rsidRPr="008B0876" w:rsidRDefault="008B0876" w:rsidP="008B0876">
                          <w:pPr>
                            <w:rPr>
                              <w:rFonts w:ascii="Rockwell" w:eastAsia="Rockwell" w:hAnsi="Rockwell" w:cs="Rockwell"/>
                              <w:noProof/>
                              <w:color w:val="0078D7"/>
                              <w:sz w:val="18"/>
                              <w:szCs w:val="18"/>
                            </w:rPr>
                          </w:pPr>
                          <w:r w:rsidRPr="008B087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30CA0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79D11B3" w14:textId="1FBCD2FA" w:rsidR="008B0876" w:rsidRPr="008B0876" w:rsidRDefault="008B0876" w:rsidP="008B0876">
                    <w:pPr>
                      <w:rPr>
                        <w:rFonts w:ascii="Rockwell" w:eastAsia="Rockwell" w:hAnsi="Rockwell" w:cs="Rockwell"/>
                        <w:noProof/>
                        <w:color w:val="0078D7"/>
                        <w:sz w:val="18"/>
                        <w:szCs w:val="18"/>
                      </w:rPr>
                    </w:pPr>
                    <w:r w:rsidRPr="008B087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3A82" w14:textId="1A6E83A5" w:rsidR="004B55EE" w:rsidRDefault="008B0876">
    <w:pPr>
      <w:pStyle w:val="Footer"/>
      <w:jc w:val="right"/>
    </w:pPr>
    <w:r>
      <w:rPr>
        <w:noProof/>
      </w:rPr>
      <mc:AlternateContent>
        <mc:Choice Requires="wps">
          <w:drawing>
            <wp:anchor distT="0" distB="0" distL="0" distR="0" simplePos="0" relativeHeight="251660288" behindDoc="0" locked="0" layoutInCell="1" allowOverlap="1" wp14:anchorId="1CBD0A57" wp14:editId="4D5CFABA">
              <wp:simplePos x="635" y="635"/>
              <wp:positionH relativeFrom="page">
                <wp:align>left</wp:align>
              </wp:positionH>
              <wp:positionV relativeFrom="page">
                <wp:align>bottom</wp:align>
              </wp:positionV>
              <wp:extent cx="443865" cy="443865"/>
              <wp:effectExtent l="0" t="0" r="14605" b="0"/>
              <wp:wrapNone/>
              <wp:docPr id="130232406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0FA9B5" w14:textId="79EE6D33" w:rsidR="008B0876" w:rsidRPr="008B0876" w:rsidRDefault="008B0876" w:rsidP="008B0876">
                          <w:pPr>
                            <w:rPr>
                              <w:rFonts w:ascii="Rockwell" w:eastAsia="Rockwell" w:hAnsi="Rockwell" w:cs="Rockwell"/>
                              <w:noProof/>
                              <w:color w:val="0078D7"/>
                              <w:sz w:val="18"/>
                              <w:szCs w:val="18"/>
                            </w:rPr>
                          </w:pPr>
                          <w:r w:rsidRPr="008B087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BD0A57"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E0FA9B5" w14:textId="79EE6D33" w:rsidR="008B0876" w:rsidRPr="008B0876" w:rsidRDefault="008B0876" w:rsidP="008B0876">
                    <w:pPr>
                      <w:rPr>
                        <w:rFonts w:ascii="Rockwell" w:eastAsia="Rockwell" w:hAnsi="Rockwell" w:cs="Rockwell"/>
                        <w:noProof/>
                        <w:color w:val="0078D7"/>
                        <w:sz w:val="18"/>
                        <w:szCs w:val="18"/>
                      </w:rPr>
                    </w:pPr>
                    <w:r w:rsidRPr="008B087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sdt>
    <w:sdtPr>
      <w:id w:val="-795291345"/>
      <w:docPartObj>
        <w:docPartGallery w:val="Page Numbers (Bottom of Page)"/>
        <w:docPartUnique/>
      </w:docPartObj>
    </w:sdtPr>
    <w:sdtEndPr/>
    <w:sdtContent>
      <w:p w14:paraId="54C82FC1" w14:textId="77777777" w:rsidR="004B55EE" w:rsidRDefault="001F40A6">
        <w:pPr>
          <w:pStyle w:val="Footer"/>
          <w:jc w:val="right"/>
        </w:pPr>
        <w:r>
          <w:fldChar w:fldCharType="begin"/>
        </w:r>
        <w:r>
          <w:instrText>PAGE   \* MERGEFORMAT</w:instrText>
        </w:r>
        <w:r>
          <w:fldChar w:fldCharType="separate"/>
        </w:r>
        <w:r>
          <w:rPr>
            <w:noProof/>
          </w:rPr>
          <w:t>2</w:t>
        </w:r>
        <w:r>
          <w:fldChar w:fldCharType="end"/>
        </w:r>
      </w:p>
    </w:sdtContent>
  </w:sdt>
  <w:p w14:paraId="25C67228" w14:textId="77777777" w:rsidR="004B55EE" w:rsidRDefault="004B55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A8C7" w14:textId="722CCB2D" w:rsidR="008B0876" w:rsidRDefault="008B0876">
    <w:pPr>
      <w:pStyle w:val="Footer"/>
    </w:pPr>
    <w:r>
      <w:rPr>
        <w:noProof/>
      </w:rPr>
      <mc:AlternateContent>
        <mc:Choice Requires="wps">
          <w:drawing>
            <wp:anchor distT="0" distB="0" distL="0" distR="0" simplePos="0" relativeHeight="251658240" behindDoc="0" locked="0" layoutInCell="1" allowOverlap="1" wp14:anchorId="3B7B6965" wp14:editId="67F1B2F7">
              <wp:simplePos x="635" y="635"/>
              <wp:positionH relativeFrom="page">
                <wp:align>left</wp:align>
              </wp:positionH>
              <wp:positionV relativeFrom="page">
                <wp:align>bottom</wp:align>
              </wp:positionV>
              <wp:extent cx="443865" cy="443865"/>
              <wp:effectExtent l="0" t="0" r="14605" b="0"/>
              <wp:wrapNone/>
              <wp:docPr id="139087695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406497" w14:textId="1F5FDBF6" w:rsidR="008B0876" w:rsidRPr="008B0876" w:rsidRDefault="008B0876" w:rsidP="008B0876">
                          <w:pPr>
                            <w:rPr>
                              <w:rFonts w:ascii="Rockwell" w:eastAsia="Rockwell" w:hAnsi="Rockwell" w:cs="Rockwell"/>
                              <w:noProof/>
                              <w:color w:val="0078D7"/>
                              <w:sz w:val="18"/>
                              <w:szCs w:val="18"/>
                            </w:rPr>
                          </w:pPr>
                          <w:r w:rsidRPr="008B087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7B696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6406497" w14:textId="1F5FDBF6" w:rsidR="008B0876" w:rsidRPr="008B0876" w:rsidRDefault="008B0876" w:rsidP="008B0876">
                    <w:pPr>
                      <w:rPr>
                        <w:rFonts w:ascii="Rockwell" w:eastAsia="Rockwell" w:hAnsi="Rockwell" w:cs="Rockwell"/>
                        <w:noProof/>
                        <w:color w:val="0078D7"/>
                        <w:sz w:val="18"/>
                        <w:szCs w:val="18"/>
                      </w:rPr>
                    </w:pPr>
                    <w:r w:rsidRPr="008B087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6C423" w14:textId="77777777" w:rsidR="006E4F60" w:rsidRDefault="006E4F60">
      <w:r>
        <w:separator/>
      </w:r>
    </w:p>
  </w:footnote>
  <w:footnote w:type="continuationSeparator" w:id="0">
    <w:p w14:paraId="04E5275A" w14:textId="77777777" w:rsidR="006E4F60" w:rsidRDefault="006E4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hideSpellingErrors/>
  <w:hideGrammaticalError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N7E0MTM1NDA2MjVS0lEKTi0uzszPAykwrAUAkmjPnywAAAA="/>
  </w:docVars>
  <w:rsids>
    <w:rsidRoot w:val="00FF0863"/>
    <w:rsid w:val="00043729"/>
    <w:rsid w:val="00050DEF"/>
    <w:rsid w:val="000A7D5B"/>
    <w:rsid w:val="000F3B3E"/>
    <w:rsid w:val="0014454E"/>
    <w:rsid w:val="00154F19"/>
    <w:rsid w:val="00184948"/>
    <w:rsid w:val="0018607F"/>
    <w:rsid w:val="001F40A6"/>
    <w:rsid w:val="001F53CA"/>
    <w:rsid w:val="0026501F"/>
    <w:rsid w:val="002B22D5"/>
    <w:rsid w:val="002B7DC7"/>
    <w:rsid w:val="002C1F08"/>
    <w:rsid w:val="00336A42"/>
    <w:rsid w:val="00347B3D"/>
    <w:rsid w:val="00370B4B"/>
    <w:rsid w:val="003B4E44"/>
    <w:rsid w:val="00410A10"/>
    <w:rsid w:val="0042118E"/>
    <w:rsid w:val="00445B8D"/>
    <w:rsid w:val="004864A9"/>
    <w:rsid w:val="0049528F"/>
    <w:rsid w:val="004B55EE"/>
    <w:rsid w:val="005012EE"/>
    <w:rsid w:val="005247AF"/>
    <w:rsid w:val="00567507"/>
    <w:rsid w:val="00584133"/>
    <w:rsid w:val="00587B1F"/>
    <w:rsid w:val="005C3A05"/>
    <w:rsid w:val="005C4BB4"/>
    <w:rsid w:val="00600F85"/>
    <w:rsid w:val="006206A2"/>
    <w:rsid w:val="00631710"/>
    <w:rsid w:val="00632DF8"/>
    <w:rsid w:val="00696DD7"/>
    <w:rsid w:val="006B4091"/>
    <w:rsid w:val="006E4F60"/>
    <w:rsid w:val="00704C83"/>
    <w:rsid w:val="00736C9F"/>
    <w:rsid w:val="007C3485"/>
    <w:rsid w:val="008002C9"/>
    <w:rsid w:val="008A4126"/>
    <w:rsid w:val="008B0876"/>
    <w:rsid w:val="008C083A"/>
    <w:rsid w:val="008C364E"/>
    <w:rsid w:val="008D6E90"/>
    <w:rsid w:val="0092228C"/>
    <w:rsid w:val="00934A43"/>
    <w:rsid w:val="0094770D"/>
    <w:rsid w:val="009A51C8"/>
    <w:rsid w:val="00A120AC"/>
    <w:rsid w:val="00A858EB"/>
    <w:rsid w:val="00AA430B"/>
    <w:rsid w:val="00AC682B"/>
    <w:rsid w:val="00AD119B"/>
    <w:rsid w:val="00B96D29"/>
    <w:rsid w:val="00C240BE"/>
    <w:rsid w:val="00C36850"/>
    <w:rsid w:val="00C76437"/>
    <w:rsid w:val="00CC6663"/>
    <w:rsid w:val="00CD5828"/>
    <w:rsid w:val="00CD7B6A"/>
    <w:rsid w:val="00D1325E"/>
    <w:rsid w:val="00D40BE1"/>
    <w:rsid w:val="00D937C0"/>
    <w:rsid w:val="00DA096D"/>
    <w:rsid w:val="00E21DA0"/>
    <w:rsid w:val="00E33E38"/>
    <w:rsid w:val="00E752B3"/>
    <w:rsid w:val="00E809D2"/>
    <w:rsid w:val="00E90088"/>
    <w:rsid w:val="00EB23C4"/>
    <w:rsid w:val="00EC0098"/>
    <w:rsid w:val="00EF333A"/>
    <w:rsid w:val="00F31207"/>
    <w:rsid w:val="00F42F65"/>
    <w:rsid w:val="00FF08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F8D7"/>
  <w15:chartTrackingRefBased/>
  <w15:docId w15:val="{BB9276BD-35E9-4F08-B0E1-17101FB1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863"/>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0863"/>
    <w:pPr>
      <w:tabs>
        <w:tab w:val="center" w:pos="4536"/>
        <w:tab w:val="right" w:pos="9072"/>
      </w:tabs>
    </w:pPr>
  </w:style>
  <w:style w:type="character" w:customStyle="1" w:styleId="FooterChar">
    <w:name w:val="Footer Char"/>
    <w:basedOn w:val="DefaultParagraphFont"/>
    <w:link w:val="Footer"/>
    <w:uiPriority w:val="99"/>
    <w:rsid w:val="00FF0863"/>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FF0863"/>
    <w:pPr>
      <w:spacing w:before="100" w:beforeAutospacing="1" w:after="100" w:afterAutospacing="1"/>
    </w:pPr>
  </w:style>
  <w:style w:type="character" w:styleId="LineNumber">
    <w:name w:val="line number"/>
    <w:basedOn w:val="DefaultParagraphFont"/>
    <w:uiPriority w:val="99"/>
    <w:semiHidden/>
    <w:unhideWhenUsed/>
    <w:rsid w:val="00FF0863"/>
  </w:style>
  <w:style w:type="character" w:styleId="CommentReference">
    <w:name w:val="annotation reference"/>
    <w:basedOn w:val="DefaultParagraphFont"/>
    <w:uiPriority w:val="99"/>
    <w:semiHidden/>
    <w:unhideWhenUsed/>
    <w:rsid w:val="00FF0863"/>
    <w:rPr>
      <w:sz w:val="16"/>
      <w:szCs w:val="16"/>
    </w:rPr>
  </w:style>
  <w:style w:type="paragraph" w:styleId="CommentText">
    <w:name w:val="annotation text"/>
    <w:basedOn w:val="Normal"/>
    <w:link w:val="CommentTextChar"/>
    <w:uiPriority w:val="99"/>
    <w:unhideWhenUsed/>
    <w:rsid w:val="00FF0863"/>
    <w:rPr>
      <w:sz w:val="20"/>
      <w:szCs w:val="20"/>
    </w:rPr>
  </w:style>
  <w:style w:type="character" w:customStyle="1" w:styleId="CommentTextChar">
    <w:name w:val="Comment Text Char"/>
    <w:basedOn w:val="DefaultParagraphFont"/>
    <w:link w:val="CommentText"/>
    <w:uiPriority w:val="99"/>
    <w:rsid w:val="00FF0863"/>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FF0863"/>
    <w:rPr>
      <w:b/>
      <w:bCs/>
    </w:rPr>
  </w:style>
  <w:style w:type="character" w:customStyle="1" w:styleId="CommentSubjectChar">
    <w:name w:val="Comment Subject Char"/>
    <w:basedOn w:val="CommentTextChar"/>
    <w:link w:val="CommentSubject"/>
    <w:uiPriority w:val="99"/>
    <w:semiHidden/>
    <w:rsid w:val="00FF0863"/>
    <w:rPr>
      <w:rFonts w:ascii="Times New Roman" w:eastAsia="Times New Roman" w:hAnsi="Times New Roman" w:cs="Times New Roman"/>
      <w:b/>
      <w:bCs/>
      <w:sz w:val="20"/>
      <w:szCs w:val="20"/>
      <w:lang w:eastAsia="fr-FR"/>
    </w:rPr>
  </w:style>
  <w:style w:type="paragraph" w:customStyle="1" w:styleId="Default">
    <w:name w:val="Default"/>
    <w:rsid w:val="00FF08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
    <w:name w:val="EndNote Bibliography"/>
    <w:basedOn w:val="Normal"/>
    <w:link w:val="EndNoteBibliographyChar"/>
    <w:rsid w:val="00CC6663"/>
    <w:pPr>
      <w:spacing w:after="160" w:line="480" w:lineRule="auto"/>
    </w:pPr>
    <w:rPr>
      <w:rFonts w:eastAsiaTheme="minorHAnsi"/>
      <w:noProof/>
      <w:szCs w:val="22"/>
      <w:lang w:val="en-US" w:eastAsia="en-US"/>
    </w:rPr>
  </w:style>
  <w:style w:type="character" w:customStyle="1" w:styleId="EndNoteBibliographyChar">
    <w:name w:val="EndNote Bibliography Char"/>
    <w:basedOn w:val="DefaultParagraphFont"/>
    <w:link w:val="EndNoteBibliography"/>
    <w:rsid w:val="00CC6663"/>
    <w:rPr>
      <w:rFonts w:ascii="Times New Roman" w:hAnsi="Times New Roman" w:cs="Times New Roman"/>
      <w:noProof/>
      <w:sz w:val="24"/>
      <w:lang w:val="en-US"/>
    </w:rPr>
  </w:style>
  <w:style w:type="paragraph" w:customStyle="1" w:styleId="Bibliographie1">
    <w:name w:val="Bibliographie1"/>
    <w:basedOn w:val="Normal"/>
    <w:link w:val="BibliographyCar"/>
    <w:rsid w:val="00600F85"/>
    <w:pPr>
      <w:tabs>
        <w:tab w:val="left" w:pos="260"/>
      </w:tabs>
      <w:spacing w:line="480" w:lineRule="auto"/>
      <w:ind w:left="264" w:hanging="264"/>
    </w:pPr>
    <w:rPr>
      <w:rFonts w:asciiTheme="majorBidi" w:eastAsiaTheme="minorHAnsi" w:hAnsiTheme="majorBidi" w:cstheme="majorBidi"/>
      <w:b/>
      <w:bCs/>
      <w:lang w:val="en-GB" w:eastAsia="en-US"/>
    </w:rPr>
  </w:style>
  <w:style w:type="character" w:customStyle="1" w:styleId="BibliographyCar">
    <w:name w:val="Bibliography Car"/>
    <w:basedOn w:val="DefaultParagraphFont"/>
    <w:link w:val="Bibliographie1"/>
    <w:rsid w:val="00600F85"/>
    <w:rPr>
      <w:rFonts w:asciiTheme="majorBidi" w:hAnsiTheme="majorBidi" w:cstheme="majorBidi"/>
      <w:b/>
      <w:bCs/>
      <w:sz w:val="24"/>
      <w:szCs w:val="24"/>
      <w:lang w:val="en-GB"/>
    </w:rPr>
  </w:style>
  <w:style w:type="paragraph" w:styleId="Revision">
    <w:name w:val="Revision"/>
    <w:hidden/>
    <w:uiPriority w:val="99"/>
    <w:semiHidden/>
    <w:rsid w:val="00631710"/>
    <w:pPr>
      <w:spacing w:after="0" w:line="240" w:lineRule="auto"/>
    </w:pPr>
    <w:rPr>
      <w:rFonts w:ascii="Times New Roman" w:eastAsia="Times New Roman" w:hAnsi="Times New Roman" w:cs="Times New Roman"/>
      <w:sz w:val="24"/>
      <w:szCs w:val="24"/>
      <w:lang w:eastAsia="fr-FR"/>
    </w:rPr>
  </w:style>
  <w:style w:type="paragraph" w:customStyle="1" w:styleId="Bibliographie2">
    <w:name w:val="Bibliographie2"/>
    <w:basedOn w:val="Normal"/>
    <w:link w:val="BibliographyCar1"/>
    <w:rsid w:val="00050DEF"/>
    <w:pPr>
      <w:tabs>
        <w:tab w:val="left" w:pos="500"/>
      </w:tabs>
      <w:spacing w:after="240"/>
      <w:ind w:left="504" w:hanging="504"/>
    </w:pPr>
    <w:rPr>
      <w:rFonts w:asciiTheme="majorBidi" w:eastAsiaTheme="minorHAnsi" w:hAnsiTheme="majorBidi" w:cstheme="majorBidi"/>
      <w:b/>
      <w:bCs/>
      <w:lang w:val="en-GB" w:eastAsia="en-US"/>
    </w:rPr>
  </w:style>
  <w:style w:type="character" w:customStyle="1" w:styleId="BibliographyCar1">
    <w:name w:val="Bibliography Car1"/>
    <w:basedOn w:val="DefaultParagraphFont"/>
    <w:link w:val="Bibliographie2"/>
    <w:rsid w:val="00050DEF"/>
    <w:rPr>
      <w:rFonts w:asciiTheme="majorBidi" w:hAnsiTheme="majorBidi" w:cstheme="majorBidi"/>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12525">
      <w:bodyDiv w:val="1"/>
      <w:marLeft w:val="0"/>
      <w:marRight w:val="0"/>
      <w:marTop w:val="0"/>
      <w:marBottom w:val="0"/>
      <w:divBdr>
        <w:top w:val="none" w:sz="0" w:space="0" w:color="auto"/>
        <w:left w:val="none" w:sz="0" w:space="0" w:color="auto"/>
        <w:bottom w:val="none" w:sz="0" w:space="0" w:color="auto"/>
        <w:right w:val="none" w:sz="0" w:space="0" w:color="auto"/>
      </w:divBdr>
    </w:div>
    <w:div w:id="159659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249C2-D381-F845-82B4-1EAAE9E9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10740</Words>
  <Characters>61219</Characters>
  <Application>Microsoft Office Word</Application>
  <DocSecurity>0</DocSecurity>
  <Lines>510</Lines>
  <Paragraphs>143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FERRE</dc:creator>
  <cp:keywords/>
  <dc:description/>
  <cp:lastModifiedBy>Khanapur, Soumya</cp:lastModifiedBy>
  <cp:revision>2</cp:revision>
  <cp:lastPrinted>2023-04-06T16:54:00Z</cp:lastPrinted>
  <dcterms:created xsi:type="dcterms:W3CDTF">2024-02-03T23:08:00Z</dcterms:created>
  <dcterms:modified xsi:type="dcterms:W3CDTF">2024-02-03T23:08:00Z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id="fEa490qX"/&gt;&lt;style id="http://www.zotero.org/styles/critical-care-medicine" hasBibliography="1" bibliographyStyleHasBeenSet="1"/&gt;&lt;prefs&gt;&lt;pref name="fieldType" value="Field"/&gt;&lt;/prefs&gt;&lt;/data&gt;</vt:lpwstr>
  </property>
  <property fmtid="{D5CDD505-2E9C-101B-9397-08002B2CF9AE}" pid="3" name="ZOTERO_PREF_2">
    <vt:lpwstr/>
  </property>
  <property fmtid="{D5CDD505-2E9C-101B-9397-08002B2CF9AE}" pid="4" name="ClassificationContentMarkingFooterShapeIds">
    <vt:lpwstr>52e7191f,5b49b78d,4d9fe365</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2024-01-30T00:31:43Z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3003c219-5f10-4383-bed7-89be7e51a9a3</vt:lpwstr>
  </property>
  <property fmtid="{D5CDD505-2E9C-101B-9397-08002B2CF9AE}" pid="13" name="MSIP_Label_2bbab825-a111-45e4-86a1-18cee0005896_ContentBits">
    <vt:lpwstr>2</vt:lpwstr>
  </property>
</Properties>
</file>