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828A" w14:textId="3A4A5E5E" w:rsidR="0060131B" w:rsidRDefault="00921BC1">
      <w:r>
        <w:rPr>
          <w:noProof/>
        </w:rPr>
        <w:drawing>
          <wp:inline distT="0" distB="0" distL="0" distR="0" wp14:anchorId="47496D7C" wp14:editId="4916D00D">
            <wp:extent cx="5262245" cy="7330440"/>
            <wp:effectExtent l="0" t="0" r="0" b="3810"/>
            <wp:docPr id="46224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2245" cy="7330440"/>
                    </a:xfrm>
                    <a:prstGeom prst="rect">
                      <a:avLst/>
                    </a:prstGeom>
                    <a:noFill/>
                    <a:ln>
                      <a:noFill/>
                    </a:ln>
                  </pic:spPr>
                </pic:pic>
              </a:graphicData>
            </a:graphic>
          </wp:inline>
        </w:drawing>
      </w:r>
    </w:p>
    <w:p w14:paraId="0F506AF6" w14:textId="20673328" w:rsidR="00921BC1" w:rsidRDefault="00921BC1">
      <w:r w:rsidRPr="00921BC1">
        <w:t>Supplementary Figure 1 Merging and de-batching effects for the GSE55235, GSE55457, GSE82107 and GSE12021 datasets. (</w:t>
      </w:r>
      <w:proofErr w:type="gramStart"/>
      <w:r w:rsidRPr="00921BC1">
        <w:t>A,B</w:t>
      </w:r>
      <w:proofErr w:type="gramEnd"/>
      <w:r w:rsidRPr="00921BC1">
        <w:t>) The expression of genes in each sample before (A) and after (B) removal of the batch effect. (</w:t>
      </w:r>
      <w:proofErr w:type="gramStart"/>
      <w:r w:rsidRPr="00921BC1">
        <w:t>C,D</w:t>
      </w:r>
      <w:proofErr w:type="gramEnd"/>
      <w:r w:rsidRPr="00921BC1">
        <w:t xml:space="preserve">) The Principal Components Analysis (PCA) results for osteoarthritis (OA) and control samples before (C) and after (D) de-batching effect. (E) The density plots and QQ plots before and after elimination of the </w:t>
      </w:r>
      <w:r w:rsidRPr="00921BC1">
        <w:lastRenderedPageBreak/>
        <w:t>batch effect for the merged dataset.</w:t>
      </w:r>
    </w:p>
    <w:p w14:paraId="69056FF6" w14:textId="77777777" w:rsidR="00921BC1" w:rsidRDefault="00921BC1"/>
    <w:p w14:paraId="29B5C033" w14:textId="19558230" w:rsidR="00921BC1" w:rsidRDefault="00921BC1">
      <w:r>
        <w:rPr>
          <w:noProof/>
        </w:rPr>
        <w:drawing>
          <wp:inline distT="0" distB="0" distL="0" distR="0" wp14:anchorId="13A67719" wp14:editId="2F2F6A89">
            <wp:extent cx="5274310" cy="4006215"/>
            <wp:effectExtent l="0" t="0" r="2540" b="0"/>
            <wp:docPr id="6086647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006215"/>
                    </a:xfrm>
                    <a:prstGeom prst="rect">
                      <a:avLst/>
                    </a:prstGeom>
                    <a:noFill/>
                    <a:ln>
                      <a:noFill/>
                    </a:ln>
                  </pic:spPr>
                </pic:pic>
              </a:graphicData>
            </a:graphic>
          </wp:inline>
        </w:drawing>
      </w:r>
    </w:p>
    <w:p w14:paraId="63C7EC45" w14:textId="0CF29120" w:rsidR="00921BC1" w:rsidRDefault="00921BC1">
      <w:r w:rsidRPr="00921BC1">
        <w:t>Supplementary Figure 2 Identification of OA-related genes by Weighted Gene Co-expression Network Analysis (WGCNA). (A) The dendrogram and trait heatmap of samples in the combined dataset. (B) The clustering map of module eigengenes. (C) Scatterplot of correlation between key modules (turquoise, brown, and yellow) and OA trait.</w:t>
      </w:r>
    </w:p>
    <w:p w14:paraId="75B00B2B" w14:textId="5874312F" w:rsidR="00921BC1" w:rsidRDefault="00921BC1">
      <w:r>
        <w:rPr>
          <w:noProof/>
        </w:rPr>
        <w:lastRenderedPageBreak/>
        <w:drawing>
          <wp:inline distT="0" distB="0" distL="0" distR="0" wp14:anchorId="5A0691E5" wp14:editId="1D891676">
            <wp:extent cx="5274310" cy="7378065"/>
            <wp:effectExtent l="0" t="0" r="2540" b="0"/>
            <wp:docPr id="204042453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4536" name="图片 3"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378065"/>
                    </a:xfrm>
                    <a:prstGeom prst="rect">
                      <a:avLst/>
                    </a:prstGeom>
                    <a:noFill/>
                    <a:ln>
                      <a:noFill/>
                    </a:ln>
                  </pic:spPr>
                </pic:pic>
              </a:graphicData>
            </a:graphic>
          </wp:inline>
        </w:drawing>
      </w:r>
    </w:p>
    <w:p w14:paraId="564C36DB" w14:textId="54784BAE" w:rsidR="00921BC1" w:rsidRDefault="00921BC1">
      <w:r w:rsidRPr="00921BC1">
        <w:t>Supplementary Figure 3 Gene Set Enrichment Analysis (GSEA) of cellular senescence-associated biomarkers in OA. A: BCL6; B: EPHA3; C: MCL1; D: PIM1; E: SLC16A7.</w:t>
      </w:r>
    </w:p>
    <w:p w14:paraId="6184366A" w14:textId="77777777" w:rsidR="00921BC1" w:rsidRDefault="00921BC1"/>
    <w:p w14:paraId="302A2DFA" w14:textId="77777777" w:rsidR="00921BC1" w:rsidRDefault="00921BC1"/>
    <w:p w14:paraId="7BA0AA31" w14:textId="29085055" w:rsidR="00921BC1" w:rsidRDefault="00921BC1">
      <w:r>
        <w:rPr>
          <w:noProof/>
        </w:rPr>
        <w:lastRenderedPageBreak/>
        <w:drawing>
          <wp:inline distT="0" distB="0" distL="0" distR="0" wp14:anchorId="73F2F94C" wp14:editId="493BFDEC">
            <wp:extent cx="5274310" cy="2839085"/>
            <wp:effectExtent l="0" t="0" r="2540" b="0"/>
            <wp:docPr id="350513351" name="图片 4"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3351" name="图片 4" descr="图表, 雷达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39085"/>
                    </a:xfrm>
                    <a:prstGeom prst="rect">
                      <a:avLst/>
                    </a:prstGeom>
                    <a:noFill/>
                    <a:ln>
                      <a:noFill/>
                    </a:ln>
                  </pic:spPr>
                </pic:pic>
              </a:graphicData>
            </a:graphic>
          </wp:inline>
        </w:drawing>
      </w:r>
    </w:p>
    <w:p w14:paraId="0B3B7131" w14:textId="12FE150B" w:rsidR="00921BC1" w:rsidRDefault="00921BC1">
      <w:r w:rsidRPr="00921BC1">
        <w:t>Supplementary Figure 4 Prediction of microRNAs (miRNAs) and long non-coding RNAs (</w:t>
      </w:r>
      <w:proofErr w:type="spellStart"/>
      <w:r w:rsidRPr="00921BC1">
        <w:t>lncRNAs</w:t>
      </w:r>
      <w:proofErr w:type="spellEnd"/>
      <w:r w:rsidRPr="00921BC1">
        <w:t xml:space="preserve">) targeting biomarkers. (A) The </w:t>
      </w:r>
      <w:r w:rsidR="00BD36AD" w:rsidRPr="00921BC1">
        <w:t>Venn</w:t>
      </w:r>
      <w:r w:rsidRPr="00921BC1">
        <w:t xml:space="preserve"> diagram of 15 shared miRNAs targeting five biomarkers. (B) The </w:t>
      </w:r>
      <w:r w:rsidR="00BD36AD" w:rsidRPr="00921BC1">
        <w:t>Venn</w:t>
      </w:r>
      <w:r w:rsidRPr="00921BC1">
        <w:t xml:space="preserve"> diagram of 323 shared </w:t>
      </w:r>
      <w:proofErr w:type="spellStart"/>
      <w:r w:rsidRPr="00921BC1">
        <w:t>lncRNAs</w:t>
      </w:r>
      <w:proofErr w:type="spellEnd"/>
      <w:r w:rsidRPr="00921BC1">
        <w:t xml:space="preserve"> targeting 15 miRNAs.</w:t>
      </w:r>
    </w:p>
    <w:p w14:paraId="532C1362" w14:textId="77777777" w:rsidR="00921BC1" w:rsidRDefault="00921BC1"/>
    <w:p w14:paraId="11389827" w14:textId="79C808DA" w:rsidR="00921BC1" w:rsidRDefault="00921BC1">
      <w:r>
        <w:rPr>
          <w:noProof/>
        </w:rPr>
        <w:drawing>
          <wp:inline distT="0" distB="0" distL="0" distR="0" wp14:anchorId="57E8ED7C" wp14:editId="587630D3">
            <wp:extent cx="5274310" cy="4507865"/>
            <wp:effectExtent l="0" t="0" r="2540" b="6985"/>
            <wp:docPr id="426819036"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19036" name="图片 5" descr="图表, 散点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507865"/>
                    </a:xfrm>
                    <a:prstGeom prst="rect">
                      <a:avLst/>
                    </a:prstGeom>
                    <a:noFill/>
                    <a:ln>
                      <a:noFill/>
                    </a:ln>
                  </pic:spPr>
                </pic:pic>
              </a:graphicData>
            </a:graphic>
          </wp:inline>
        </w:drawing>
      </w:r>
    </w:p>
    <w:p w14:paraId="5B0DBEAE" w14:textId="1F1A8BE9" w:rsidR="00921BC1" w:rsidRDefault="00921BC1">
      <w:r w:rsidRPr="00921BC1">
        <w:lastRenderedPageBreak/>
        <w:t xml:space="preserve">Supplementary Figure 5 The subcellular localization results of </w:t>
      </w:r>
      <w:proofErr w:type="spellStart"/>
      <w:r w:rsidRPr="00921BC1">
        <w:t>lncRNAs</w:t>
      </w:r>
      <w:proofErr w:type="spellEnd"/>
      <w:r w:rsidRPr="00921BC1">
        <w:t xml:space="preserve">. Blue circles indicate </w:t>
      </w:r>
      <w:proofErr w:type="spellStart"/>
      <w:r w:rsidRPr="00921BC1">
        <w:t>lncRNAs</w:t>
      </w:r>
      <w:proofErr w:type="spellEnd"/>
      <w:r w:rsidRPr="00921BC1">
        <w:t xml:space="preserve"> and red rectangles indicate specific locations of subcellular localization.  </w:t>
      </w:r>
    </w:p>
    <w:sectPr w:rsidR="00921BC1">
      <w:footerReference w:type="even" r:id="rId11"/>
      <w:footerReference w:type="defaul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08477" w14:textId="77777777" w:rsidR="00AD0CE7" w:rsidRDefault="00AD0CE7" w:rsidP="00BD36AD">
      <w:pPr>
        <w:spacing w:after="0" w:line="240" w:lineRule="auto"/>
      </w:pPr>
      <w:r>
        <w:separator/>
      </w:r>
    </w:p>
  </w:endnote>
  <w:endnote w:type="continuationSeparator" w:id="0">
    <w:p w14:paraId="46A6E8BC" w14:textId="77777777" w:rsidR="00AD0CE7" w:rsidRDefault="00AD0CE7" w:rsidP="00BD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1DB5" w14:textId="107C8730" w:rsidR="00BD36AD" w:rsidRDefault="00BD36AD">
    <w:pPr>
      <w:pStyle w:val="Footer"/>
    </w:pPr>
    <w:r>
      <w:rPr>
        <w:noProof/>
      </w:rPr>
      <mc:AlternateContent>
        <mc:Choice Requires="wps">
          <w:drawing>
            <wp:anchor distT="0" distB="0" distL="0" distR="0" simplePos="0" relativeHeight="251659264" behindDoc="0" locked="0" layoutInCell="1" allowOverlap="1" wp14:anchorId="145AF370" wp14:editId="49391C20">
              <wp:simplePos x="635" y="635"/>
              <wp:positionH relativeFrom="page">
                <wp:align>left</wp:align>
              </wp:positionH>
              <wp:positionV relativeFrom="page">
                <wp:align>bottom</wp:align>
              </wp:positionV>
              <wp:extent cx="443865" cy="443865"/>
              <wp:effectExtent l="0" t="0" r="9525" b="0"/>
              <wp:wrapNone/>
              <wp:docPr id="24000135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4374B4" w14:textId="6EE0EB77"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5AF370"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184374B4" w14:textId="6EE0EB77"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FE1" w14:textId="1CBEDA6D" w:rsidR="00BD36AD" w:rsidRDefault="00BD36AD">
    <w:pPr>
      <w:pStyle w:val="Footer"/>
    </w:pPr>
    <w:r>
      <w:rPr>
        <w:noProof/>
      </w:rPr>
      <mc:AlternateContent>
        <mc:Choice Requires="wps">
          <w:drawing>
            <wp:anchor distT="0" distB="0" distL="0" distR="0" simplePos="0" relativeHeight="251660288" behindDoc="0" locked="0" layoutInCell="1" allowOverlap="1" wp14:anchorId="60CE5AC4" wp14:editId="416CA03A">
              <wp:simplePos x="1144988" y="9875520"/>
              <wp:positionH relativeFrom="page">
                <wp:align>left</wp:align>
              </wp:positionH>
              <wp:positionV relativeFrom="page">
                <wp:align>bottom</wp:align>
              </wp:positionV>
              <wp:extent cx="443865" cy="443865"/>
              <wp:effectExtent l="0" t="0" r="9525" b="0"/>
              <wp:wrapNone/>
              <wp:docPr id="101892722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1CC0BD" w14:textId="4A1B0B4B"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CE5AC4"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601CC0BD" w14:textId="4A1B0B4B"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C138" w14:textId="0DE5C00A" w:rsidR="00BD36AD" w:rsidRDefault="00BD36AD">
    <w:pPr>
      <w:pStyle w:val="Footer"/>
    </w:pPr>
    <w:r>
      <w:rPr>
        <w:noProof/>
      </w:rPr>
      <mc:AlternateContent>
        <mc:Choice Requires="wps">
          <w:drawing>
            <wp:anchor distT="0" distB="0" distL="0" distR="0" simplePos="0" relativeHeight="251658240" behindDoc="0" locked="0" layoutInCell="1" allowOverlap="1" wp14:anchorId="4204E6F8" wp14:editId="27B9C2A3">
              <wp:simplePos x="635" y="635"/>
              <wp:positionH relativeFrom="page">
                <wp:align>left</wp:align>
              </wp:positionH>
              <wp:positionV relativeFrom="page">
                <wp:align>bottom</wp:align>
              </wp:positionV>
              <wp:extent cx="443865" cy="443865"/>
              <wp:effectExtent l="0" t="0" r="9525" b="0"/>
              <wp:wrapNone/>
              <wp:docPr id="98222165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D1A4D" w14:textId="63E6C2EE"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04E6F8"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7FD1A4D" w14:textId="63E6C2EE" w:rsidR="00BD36AD" w:rsidRPr="00BD36AD" w:rsidRDefault="00BD36AD" w:rsidP="00BD36AD">
                    <w:pPr>
                      <w:spacing w:after="0"/>
                      <w:rPr>
                        <w:rFonts w:ascii="Rockwell" w:eastAsia="Rockwell" w:hAnsi="Rockwell" w:cs="Rockwell"/>
                        <w:noProof/>
                        <w:color w:val="0078D7"/>
                        <w:sz w:val="18"/>
                        <w:szCs w:val="18"/>
                      </w:rPr>
                    </w:pPr>
                    <w:r w:rsidRPr="00BD36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FB637" w14:textId="77777777" w:rsidR="00AD0CE7" w:rsidRDefault="00AD0CE7" w:rsidP="00BD36AD">
      <w:pPr>
        <w:spacing w:after="0" w:line="240" w:lineRule="auto"/>
      </w:pPr>
      <w:r>
        <w:separator/>
      </w:r>
    </w:p>
  </w:footnote>
  <w:footnote w:type="continuationSeparator" w:id="0">
    <w:p w14:paraId="4C8A4376" w14:textId="77777777" w:rsidR="00AD0CE7" w:rsidRDefault="00AD0CE7" w:rsidP="00BD36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2CF399C6-C6A4-4CA5-B409-1264A0282657}"/>
    <w:docVar w:name="KY_MEDREF_VERSION" w:val="3"/>
  </w:docVars>
  <w:rsids>
    <w:rsidRoot w:val="0060131B"/>
    <w:rsid w:val="0060131B"/>
    <w:rsid w:val="00684EA5"/>
    <w:rsid w:val="00921BC1"/>
    <w:rsid w:val="0094359C"/>
    <w:rsid w:val="00AD0CE7"/>
    <w:rsid w:val="00BD36AD"/>
    <w:rsid w:val="00FA4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1A7B"/>
  <w15:chartTrackingRefBased/>
  <w15:docId w15:val="{C5A82FF7-2CE7-4589-BADE-535D9F17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60131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60131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60131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60131B"/>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60131B"/>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60131B"/>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60131B"/>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60131B"/>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60131B"/>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31B"/>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60131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60131B"/>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60131B"/>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60131B"/>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60131B"/>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60131B"/>
    <w:rPr>
      <w:rFonts w:cstheme="majorBidi"/>
      <w:b/>
      <w:bCs/>
      <w:color w:val="595959" w:themeColor="text1" w:themeTint="A6"/>
    </w:rPr>
  </w:style>
  <w:style w:type="character" w:customStyle="1" w:styleId="Heading8Char">
    <w:name w:val="Heading 8 Char"/>
    <w:basedOn w:val="DefaultParagraphFont"/>
    <w:link w:val="Heading8"/>
    <w:uiPriority w:val="9"/>
    <w:semiHidden/>
    <w:rsid w:val="0060131B"/>
    <w:rPr>
      <w:rFonts w:cstheme="majorBidi"/>
      <w:color w:val="595959" w:themeColor="text1" w:themeTint="A6"/>
    </w:rPr>
  </w:style>
  <w:style w:type="character" w:customStyle="1" w:styleId="Heading9Char">
    <w:name w:val="Heading 9 Char"/>
    <w:basedOn w:val="DefaultParagraphFont"/>
    <w:link w:val="Heading9"/>
    <w:uiPriority w:val="9"/>
    <w:semiHidden/>
    <w:rsid w:val="0060131B"/>
    <w:rPr>
      <w:rFonts w:eastAsiaTheme="majorEastAsia" w:cstheme="majorBidi"/>
      <w:color w:val="595959" w:themeColor="text1" w:themeTint="A6"/>
    </w:rPr>
  </w:style>
  <w:style w:type="paragraph" w:styleId="Title">
    <w:name w:val="Title"/>
    <w:basedOn w:val="Normal"/>
    <w:next w:val="Normal"/>
    <w:link w:val="TitleChar"/>
    <w:uiPriority w:val="10"/>
    <w:qFormat/>
    <w:rsid w:val="0060131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31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31B"/>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60131B"/>
    <w:pPr>
      <w:spacing w:before="160"/>
      <w:jc w:val="center"/>
    </w:pPr>
    <w:rPr>
      <w:i/>
      <w:iCs/>
      <w:color w:val="404040" w:themeColor="text1" w:themeTint="BF"/>
    </w:rPr>
  </w:style>
  <w:style w:type="character" w:customStyle="1" w:styleId="QuoteChar">
    <w:name w:val="Quote Char"/>
    <w:basedOn w:val="DefaultParagraphFont"/>
    <w:link w:val="Quote"/>
    <w:uiPriority w:val="29"/>
    <w:rsid w:val="0060131B"/>
    <w:rPr>
      <w:i/>
      <w:iCs/>
      <w:color w:val="404040" w:themeColor="text1" w:themeTint="BF"/>
    </w:rPr>
  </w:style>
  <w:style w:type="paragraph" w:styleId="ListParagraph">
    <w:name w:val="List Paragraph"/>
    <w:basedOn w:val="Normal"/>
    <w:uiPriority w:val="34"/>
    <w:qFormat/>
    <w:rsid w:val="0060131B"/>
    <w:pPr>
      <w:ind w:left="720"/>
      <w:contextualSpacing/>
    </w:pPr>
  </w:style>
  <w:style w:type="character" w:styleId="IntenseEmphasis">
    <w:name w:val="Intense Emphasis"/>
    <w:basedOn w:val="DefaultParagraphFont"/>
    <w:uiPriority w:val="21"/>
    <w:qFormat/>
    <w:rsid w:val="0060131B"/>
    <w:rPr>
      <w:i/>
      <w:iCs/>
      <w:color w:val="0F4761" w:themeColor="accent1" w:themeShade="BF"/>
    </w:rPr>
  </w:style>
  <w:style w:type="paragraph" w:styleId="IntenseQuote">
    <w:name w:val="Intense Quote"/>
    <w:basedOn w:val="Normal"/>
    <w:next w:val="Normal"/>
    <w:link w:val="IntenseQuoteChar"/>
    <w:uiPriority w:val="30"/>
    <w:qFormat/>
    <w:rsid w:val="006013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31B"/>
    <w:rPr>
      <w:i/>
      <w:iCs/>
      <w:color w:val="0F4761" w:themeColor="accent1" w:themeShade="BF"/>
    </w:rPr>
  </w:style>
  <w:style w:type="character" w:styleId="IntenseReference">
    <w:name w:val="Intense Reference"/>
    <w:basedOn w:val="DefaultParagraphFont"/>
    <w:uiPriority w:val="32"/>
    <w:qFormat/>
    <w:rsid w:val="0060131B"/>
    <w:rPr>
      <w:b/>
      <w:bCs/>
      <w:smallCaps/>
      <w:color w:val="0F4761" w:themeColor="accent1" w:themeShade="BF"/>
      <w:spacing w:val="5"/>
    </w:rPr>
  </w:style>
  <w:style w:type="character" w:styleId="CommentReference">
    <w:name w:val="annotation reference"/>
    <w:basedOn w:val="DefaultParagraphFont"/>
    <w:uiPriority w:val="99"/>
    <w:semiHidden/>
    <w:unhideWhenUsed/>
    <w:rsid w:val="00BD36AD"/>
    <w:rPr>
      <w:sz w:val="16"/>
      <w:szCs w:val="16"/>
    </w:rPr>
  </w:style>
  <w:style w:type="paragraph" w:styleId="CommentText">
    <w:name w:val="annotation text"/>
    <w:basedOn w:val="Normal"/>
    <w:link w:val="CommentTextChar"/>
    <w:uiPriority w:val="99"/>
    <w:unhideWhenUsed/>
    <w:rsid w:val="00BD36AD"/>
    <w:pPr>
      <w:spacing w:line="240" w:lineRule="auto"/>
    </w:pPr>
    <w:rPr>
      <w:sz w:val="20"/>
      <w:szCs w:val="20"/>
    </w:rPr>
  </w:style>
  <w:style w:type="character" w:customStyle="1" w:styleId="CommentTextChar">
    <w:name w:val="Comment Text Char"/>
    <w:basedOn w:val="DefaultParagraphFont"/>
    <w:link w:val="CommentText"/>
    <w:uiPriority w:val="99"/>
    <w:rsid w:val="00BD36AD"/>
    <w:rPr>
      <w:sz w:val="20"/>
      <w:szCs w:val="20"/>
    </w:rPr>
  </w:style>
  <w:style w:type="paragraph" w:styleId="CommentSubject">
    <w:name w:val="annotation subject"/>
    <w:basedOn w:val="CommentText"/>
    <w:next w:val="CommentText"/>
    <w:link w:val="CommentSubjectChar"/>
    <w:uiPriority w:val="99"/>
    <w:semiHidden/>
    <w:unhideWhenUsed/>
    <w:rsid w:val="00BD36AD"/>
    <w:rPr>
      <w:b/>
      <w:bCs/>
    </w:rPr>
  </w:style>
  <w:style w:type="character" w:customStyle="1" w:styleId="CommentSubjectChar">
    <w:name w:val="Comment Subject Char"/>
    <w:basedOn w:val="CommentTextChar"/>
    <w:link w:val="CommentSubject"/>
    <w:uiPriority w:val="99"/>
    <w:semiHidden/>
    <w:rsid w:val="00BD36AD"/>
    <w:rPr>
      <w:b/>
      <w:bCs/>
      <w:sz w:val="20"/>
      <w:szCs w:val="20"/>
    </w:rPr>
  </w:style>
  <w:style w:type="paragraph" w:styleId="Footer">
    <w:name w:val="footer"/>
    <w:basedOn w:val="Normal"/>
    <w:link w:val="FooterChar"/>
    <w:uiPriority w:val="99"/>
    <w:unhideWhenUsed/>
    <w:rsid w:val="00BD3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207</Words>
  <Characters>1186</Characters>
  <Application>Microsoft Office Word</Application>
  <DocSecurity>0</DocSecurity>
  <Lines>9</Lines>
  <Paragraphs>2</Paragraphs>
  <ScaleCrop>false</ScaleCrop>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wang</dc:creator>
  <cp:keywords/>
  <dc:description/>
  <cp:lastModifiedBy>Lawrence, Shani</cp:lastModifiedBy>
  <cp:revision>4</cp:revision>
  <dcterms:created xsi:type="dcterms:W3CDTF">2023-12-20T13:25:00Z</dcterms:created>
  <dcterms:modified xsi:type="dcterms:W3CDTF">2024-01-08T21:40:00Z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3a8b8352,e4e2149,3cbb9878</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2024-01-04T01:41:48Z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2f3b3973-8cf9-487e-800b-763fbf5b4908</vt:lpwstr>
  </property>
  <property fmtid="{D5CDD505-2E9C-101B-9397-08002B2CF9AE}" pid="11" name="MSIP_Label_2bbab825-a111-45e4-86a1-18cee0005896_ContentBits">
    <vt:lpwstr>2</vt:lpwstr>
  </property>
</Properties>
</file>