
<file path=[Content_Types].xml><?xml version="1.0" encoding="utf-8"?>
<Types xmlns="http://schemas.openxmlformats.org/package/2006/content-types">
  <Default Extension="jpeg" ContentType="image/jpeg"/>
  <Default Extension="JPG" ContentType="image/.jpg"/>
  <Default Extension="tiff" ContentType="image/tiff"/>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2241" w:firstLineChars="700"/>
        <w:rPr>
          <w:rFonts w:ascii="Times New Roman" w:hAnsi="Times New Roman" w:cs="Times New Roman"/>
          <w:b/>
          <w:bCs/>
          <w:sz w:val="32"/>
          <w:szCs w:val="32"/>
        </w:rPr>
      </w:pPr>
      <w:r>
        <w:rPr>
          <w:rFonts w:ascii="Times New Roman" w:hAnsi="Times New Roman" w:cs="Times New Roman"/>
          <w:b/>
          <w:bCs/>
          <w:sz w:val="32"/>
          <w:szCs w:val="32"/>
        </w:rPr>
        <w:t>Supplementary Material</w:t>
      </w:r>
    </w:p>
    <w:p>
      <w:pPr>
        <w:ind w:firstLine="480"/>
        <w:rPr>
          <w:rFonts w:ascii="Times New Roman" w:hAnsi="Times New Roman" w:cs="Times New Roman"/>
          <w:sz w:val="24"/>
        </w:rPr>
      </w:pPr>
    </w:p>
    <w:p>
      <w:pPr>
        <w:spacing w:line="480" w:lineRule="auto"/>
        <w:rPr>
          <w:rFonts w:ascii="Times New Roman" w:hAnsi="Times New Roman" w:cs="Times New Roman"/>
          <w:b/>
          <w:bCs/>
          <w:color w:val="000000"/>
          <w:sz w:val="24"/>
        </w:rPr>
      </w:pPr>
      <w:r>
        <w:rPr>
          <w:rFonts w:ascii="Times New Roman" w:hAnsi="Times New Roman" w:cs="Times New Roman"/>
          <w:b/>
          <w:bCs/>
          <w:color w:val="000000"/>
          <w:sz w:val="24"/>
        </w:rPr>
        <w:t>Supplementary Figures legends</w:t>
      </w:r>
    </w:p>
    <w:p>
      <w:pPr>
        <w:rPr>
          <w:rFonts w:ascii="Times New Roman" w:hAnsi="Times New Roman" w:cs="Times New Roman"/>
          <w:sz w:val="24"/>
        </w:rPr>
      </w:pPr>
      <w:r>
        <w:rPr>
          <w:rFonts w:ascii="Times New Roman" w:hAnsi="Times New Roman" w:cs="Times New Roman"/>
          <w:b/>
          <w:bCs/>
          <w:sz w:val="24"/>
        </w:rPr>
        <w:t>Fig. S1.</w:t>
      </w:r>
      <w:r>
        <w:rPr>
          <w:rFonts w:ascii="Times New Roman" w:hAnsi="Times New Roman" w:cs="Times New Roman"/>
          <w:sz w:val="24"/>
        </w:rPr>
        <w:t xml:space="preserve"> Cellular communication of different cells. </w:t>
      </w:r>
    </w:p>
    <w:p>
      <w:pPr>
        <w:rPr>
          <w:rFonts w:ascii="Times New Roman" w:hAnsi="Times New Roman" w:cs="Times New Roman"/>
          <w:sz w:val="24"/>
        </w:rPr>
      </w:pPr>
      <w:r>
        <w:rPr>
          <w:rFonts w:ascii="Times New Roman" w:hAnsi="Times New Roman" w:cs="Times New Roman"/>
          <w:b/>
          <w:bCs/>
          <w:sz w:val="24"/>
        </w:rPr>
        <w:t xml:space="preserve">Fig. S2. </w:t>
      </w:r>
      <w:r>
        <w:rPr>
          <w:rFonts w:ascii="Times New Roman" w:hAnsi="Times New Roman" w:cs="Times New Roman"/>
          <w:sz w:val="24"/>
        </w:rPr>
        <w:t xml:space="preserve">Analysis of epithelial cell signaling pathways. </w:t>
      </w:r>
    </w:p>
    <w:p>
      <w:pPr>
        <w:rPr>
          <w:rFonts w:ascii="Times New Roman" w:hAnsi="Times New Roman" w:cs="Times New Roman"/>
          <w:sz w:val="24"/>
        </w:rPr>
      </w:pPr>
      <w:r>
        <w:rPr>
          <w:rFonts w:ascii="Times New Roman" w:hAnsi="Times New Roman" w:cs="Times New Roman"/>
          <w:b/>
          <w:bCs/>
          <w:sz w:val="24"/>
        </w:rPr>
        <w:t xml:space="preserve">Fig. S3. </w:t>
      </w:r>
      <w:r>
        <w:rPr>
          <w:rFonts w:ascii="Times New Roman" w:hAnsi="Times New Roman" w:cs="Times New Roman"/>
          <w:sz w:val="24"/>
        </w:rPr>
        <w:t xml:space="preserve">Enrichment analysis of intersecting genes. </w:t>
      </w:r>
    </w:p>
    <w:p>
      <w:pPr>
        <w:rPr>
          <w:rFonts w:ascii="Times New Roman" w:hAnsi="Times New Roman" w:cs="Times New Roman"/>
          <w:sz w:val="24"/>
        </w:rPr>
      </w:pPr>
      <w:r>
        <w:rPr>
          <w:rFonts w:ascii="Times New Roman" w:hAnsi="Times New Roman" w:cs="Times New Roman"/>
          <w:b/>
          <w:bCs/>
          <w:sz w:val="24"/>
        </w:rPr>
        <w:t>Fig. S4.</w:t>
      </w:r>
      <w:r>
        <w:rPr>
          <w:rFonts w:ascii="Times New Roman" w:hAnsi="Times New Roman" w:cs="Times New Roman"/>
          <w:sz w:val="24"/>
        </w:rPr>
        <w:t xml:space="preserve"> Pseudo-timing analysis. </w:t>
      </w:r>
    </w:p>
    <w:p>
      <w:pPr>
        <w:rPr>
          <w:rFonts w:ascii="Times New Roman" w:hAnsi="Times New Roman" w:cs="Times New Roman"/>
          <w:sz w:val="24"/>
        </w:rPr>
      </w:pPr>
      <w:r>
        <w:rPr>
          <w:rFonts w:ascii="Times New Roman" w:hAnsi="Times New Roman" w:cs="Times New Roman"/>
          <w:b/>
          <w:bCs/>
          <w:sz w:val="24"/>
        </w:rPr>
        <w:t>Fig. S5.</w:t>
      </w:r>
      <w:r>
        <w:rPr>
          <w:rFonts w:ascii="Times New Roman" w:hAnsi="Times New Roman" w:cs="Times New Roman"/>
          <w:sz w:val="24"/>
        </w:rPr>
        <w:t xml:space="preserve"> Correlation of risk factors and clinical information. </w:t>
      </w:r>
    </w:p>
    <w:p>
      <w:pPr>
        <w:rPr>
          <w:rFonts w:ascii="Times New Roman" w:hAnsi="Times New Roman" w:cs="Times New Roman"/>
          <w:sz w:val="24"/>
        </w:rPr>
      </w:pPr>
      <w:r>
        <w:rPr>
          <w:rFonts w:ascii="Times New Roman" w:hAnsi="Times New Roman" w:cs="Times New Roman"/>
          <w:b/>
          <w:bCs/>
          <w:sz w:val="24"/>
        </w:rPr>
        <w:t>Fig. S6</w:t>
      </w:r>
      <w:r>
        <w:rPr>
          <w:rFonts w:ascii="Times New Roman" w:hAnsi="Times New Roman" w:cs="Times New Roman"/>
          <w:sz w:val="24"/>
        </w:rPr>
        <w:t xml:space="preserve">. DCA analysis for predicting survival in ESCC patients. </w:t>
      </w:r>
    </w:p>
    <w:p>
      <w:pPr>
        <w:rPr>
          <w:rFonts w:ascii="Times New Roman" w:hAnsi="Times New Roman" w:cs="Times New Roman"/>
          <w:sz w:val="24"/>
        </w:rPr>
      </w:pPr>
      <w:r>
        <w:rPr>
          <w:rFonts w:ascii="Times New Roman" w:hAnsi="Times New Roman" w:cs="Times New Roman"/>
          <w:b/>
          <w:bCs/>
          <w:sz w:val="24"/>
        </w:rPr>
        <w:t xml:space="preserve">Fig. S7. </w:t>
      </w:r>
      <w:r>
        <w:rPr>
          <w:rFonts w:ascii="Times New Roman" w:hAnsi="Times New Roman" w:cs="Times New Roman"/>
          <w:sz w:val="24"/>
        </w:rPr>
        <w:t xml:space="preserve">Immune checkpoint analysis. </w:t>
      </w:r>
    </w:p>
    <w:p>
      <w:pPr>
        <w:ind w:firstLine="480"/>
        <w:rPr>
          <w:rFonts w:ascii="Times New Roman" w:hAnsi="Times New Roman" w:cs="Times New Roman"/>
          <w:sz w:val="24"/>
        </w:rPr>
      </w:pPr>
    </w:p>
    <w:p>
      <w:pPr>
        <w:rPr>
          <w:rFonts w:ascii="Times New Roman" w:hAnsi="Times New Roman" w:cs="Times New Roman"/>
          <w:b/>
          <w:bCs/>
          <w:color w:val="000000"/>
          <w:sz w:val="24"/>
        </w:rPr>
      </w:pPr>
      <w:r>
        <w:rPr>
          <w:rFonts w:ascii="Times New Roman" w:hAnsi="Times New Roman" w:cs="Times New Roman"/>
          <w:b/>
          <w:bCs/>
          <w:color w:val="000000"/>
          <w:sz w:val="24"/>
        </w:rPr>
        <w:t>Supplementary tables Legends</w:t>
      </w:r>
    </w:p>
    <w:p>
      <w:pPr>
        <w:ind w:firstLine="482"/>
        <w:rPr>
          <w:rFonts w:ascii="Times New Roman" w:hAnsi="Times New Roman" w:cs="Times New Roman"/>
          <w:b/>
          <w:bCs/>
          <w:color w:val="000000"/>
          <w:sz w:val="24"/>
        </w:rPr>
      </w:pPr>
    </w:p>
    <w:p>
      <w:pPr>
        <w:rPr>
          <w:rFonts w:ascii="Times New Roman" w:hAnsi="Times New Roman" w:cs="Times New Roman"/>
          <w:sz w:val="24"/>
        </w:rPr>
      </w:pPr>
      <w:r>
        <w:rPr>
          <w:rFonts w:ascii="Times New Roman" w:hAnsi="Times New Roman" w:cs="Times New Roman"/>
          <w:b/>
          <w:bCs/>
          <w:sz w:val="24"/>
        </w:rPr>
        <w:t>Table. S1:</w:t>
      </w:r>
      <w:r>
        <w:rPr>
          <w:rFonts w:ascii="Times New Roman" w:hAnsi="Times New Roman" w:cs="Times New Roman"/>
          <w:sz w:val="24"/>
        </w:rPr>
        <w:t xml:space="preserve"> Clinical information.</w:t>
      </w:r>
    </w:p>
    <w:p>
      <w:pPr>
        <w:ind w:firstLine="480"/>
        <w:rPr>
          <w:rFonts w:ascii="Times New Roman" w:hAnsi="Times New Roman" w:cs="Times New Roman"/>
          <w:sz w:val="24"/>
        </w:rPr>
      </w:pPr>
    </w:p>
    <w:p>
      <w:pPr>
        <w:rPr>
          <w:rFonts w:ascii="Times New Roman" w:hAnsi="Times New Roman" w:cs="Times New Roman"/>
          <w:sz w:val="24"/>
        </w:rPr>
      </w:pPr>
      <w:r>
        <w:rPr>
          <w:rFonts w:ascii="Times New Roman" w:hAnsi="Times New Roman" w:cs="Times New Roman"/>
          <w:b/>
          <w:bCs/>
          <w:color w:val="000000"/>
          <w:sz w:val="24"/>
        </w:rPr>
        <w:t>Supplementary Figures</w:t>
      </w:r>
    </w:p>
    <w:p>
      <w:pPr>
        <w:ind w:firstLine="480"/>
      </w:pPr>
      <w:r>
        <w:drawing>
          <wp:inline distT="0" distB="0" distL="0" distR="0">
            <wp:extent cx="5274310" cy="6516370"/>
            <wp:effectExtent l="0" t="0" r="0" b="0"/>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10;&#10;描述已自动生成"/>
                    <pic:cNvPicPr>
                      <a:picLocks noChangeAspect="1"/>
                    </pic:cNvPicPr>
                  </pic:nvPicPr>
                  <pic:blipFill>
                    <a:blip r:embed="rId4"/>
                    <a:stretch>
                      <a:fillRect/>
                    </a:stretch>
                  </pic:blipFill>
                  <pic:spPr>
                    <a:xfrm>
                      <a:off x="0" y="0"/>
                      <a:ext cx="5274310" cy="6516370"/>
                    </a:xfrm>
                    <a:prstGeom prst="rect">
                      <a:avLst/>
                    </a:prstGeom>
                  </pic:spPr>
                </pic:pic>
              </a:graphicData>
            </a:graphic>
          </wp:inline>
        </w:drawing>
      </w:r>
    </w:p>
    <w:p>
      <w:pPr>
        <w:rPr>
          <w:rFonts w:ascii="Times New Roman" w:hAnsi="Times New Roman" w:cs="Times New Roman"/>
          <w:sz w:val="24"/>
        </w:rPr>
      </w:pPr>
      <w:r>
        <w:rPr>
          <w:rFonts w:ascii="Times New Roman" w:hAnsi="Times New Roman" w:cs="Times New Roman"/>
          <w:b/>
          <w:bCs/>
          <w:sz w:val="24"/>
        </w:rPr>
        <w:t>Fig. S1.</w:t>
      </w:r>
      <w:r>
        <w:rPr>
          <w:rFonts w:ascii="Times New Roman" w:hAnsi="Times New Roman" w:cs="Times New Roman"/>
          <w:sz w:val="24"/>
        </w:rPr>
        <w:t xml:space="preserve"> Cellular communication of different cells. (A) The number of cellular communications. (B) Strength of cellular communication. (C) Receptor–ligand interactions between epithelial and other cells.</w:t>
      </w:r>
    </w:p>
    <w:p>
      <w:pPr>
        <w:ind w:firstLine="480"/>
        <w:rPr>
          <w:rFonts w:ascii="Times New Roman" w:hAnsi="Times New Roman" w:cs="Times New Roman"/>
          <w:sz w:val="24"/>
        </w:rPr>
      </w:pPr>
    </w:p>
    <w:p>
      <w:pPr>
        <w:ind w:firstLine="480"/>
        <w:rPr>
          <w:rFonts w:ascii="Times New Roman" w:hAnsi="Times New Roman" w:cs="Times New Roman"/>
          <w:sz w:val="24"/>
        </w:rPr>
      </w:pPr>
      <w:r>
        <w:rPr>
          <w:rFonts w:ascii="Times New Roman" w:hAnsi="Times New Roman" w:cs="Times New Roman"/>
          <w:sz w:val="24"/>
        </w:rPr>
        <w:drawing>
          <wp:inline distT="0" distB="0" distL="0" distR="0">
            <wp:extent cx="5274310" cy="372808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74310" cy="3728085"/>
                    </a:xfrm>
                    <a:prstGeom prst="rect">
                      <a:avLst/>
                    </a:prstGeom>
                  </pic:spPr>
                </pic:pic>
              </a:graphicData>
            </a:graphic>
          </wp:inline>
        </w:drawing>
      </w:r>
    </w:p>
    <w:p>
      <w:pPr>
        <w:rPr>
          <w:rFonts w:ascii="Times New Roman" w:hAnsi="Times New Roman" w:cs="Times New Roman"/>
          <w:sz w:val="24"/>
        </w:rPr>
      </w:pPr>
      <w:r>
        <w:rPr>
          <w:rFonts w:ascii="Times New Roman" w:hAnsi="Times New Roman" w:cs="Times New Roman"/>
          <w:b/>
          <w:bCs/>
          <w:sz w:val="24"/>
        </w:rPr>
        <w:t>Fig. S2.</w:t>
      </w:r>
      <w:r>
        <w:rPr>
          <w:rFonts w:ascii="Times New Roman" w:hAnsi="Times New Roman" w:cs="Times New Roman"/>
          <w:sz w:val="24"/>
        </w:rPr>
        <w:t xml:space="preserve"> Analysis of epithelial cell signaling pathways. (A-C</w:t>
      </w:r>
      <w:r>
        <w:rPr>
          <w:rFonts w:hint="eastAsia" w:ascii="Times New Roman" w:hAnsi="Times New Roman" w:cs="Times New Roman"/>
          <w:sz w:val="24"/>
        </w:rPr>
        <w:t>)</w:t>
      </w:r>
      <w:r>
        <w:t xml:space="preserve"> </w:t>
      </w:r>
      <w:r>
        <w:rPr>
          <w:rFonts w:ascii="Times New Roman" w:hAnsi="Times New Roman" w:cs="Times New Roman"/>
          <w:sz w:val="24"/>
        </w:rPr>
        <w:t>Receptor and ligand diagrams for epithelial and other cell types.</w:t>
      </w:r>
    </w:p>
    <w:p>
      <w:pPr>
        <w:ind w:firstLine="480"/>
        <w:rPr>
          <w:rFonts w:ascii="Times New Roman" w:hAnsi="Times New Roman" w:cs="Times New Roman"/>
          <w:sz w:val="24"/>
        </w:rPr>
      </w:pPr>
    </w:p>
    <w:p>
      <w:pPr>
        <w:ind w:firstLine="480"/>
        <w:rPr>
          <w:rFonts w:ascii="Times New Roman" w:hAnsi="Times New Roman" w:cs="Times New Roman"/>
          <w:sz w:val="24"/>
        </w:rPr>
      </w:pPr>
    </w:p>
    <w:p>
      <w:pPr>
        <w:ind w:firstLine="480"/>
        <w:rPr>
          <w:rFonts w:ascii="Times New Roman" w:hAnsi="Times New Roman" w:cs="Times New Roman"/>
          <w:sz w:val="24"/>
        </w:rPr>
      </w:pPr>
      <w:r>
        <w:rPr>
          <w:rFonts w:ascii="Times New Roman" w:hAnsi="Times New Roman" w:cs="Times New Roman"/>
          <w:sz w:val="24"/>
        </w:rPr>
        <w:drawing>
          <wp:inline distT="0" distB="0" distL="0" distR="0">
            <wp:extent cx="5274310" cy="22872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5274310" cy="2287270"/>
                    </a:xfrm>
                    <a:prstGeom prst="rect">
                      <a:avLst/>
                    </a:prstGeom>
                  </pic:spPr>
                </pic:pic>
              </a:graphicData>
            </a:graphic>
          </wp:inline>
        </w:drawing>
      </w:r>
    </w:p>
    <w:p>
      <w:pPr>
        <w:rPr>
          <w:rFonts w:ascii="Times New Roman" w:hAnsi="Times New Roman" w:cs="Times New Roman"/>
          <w:sz w:val="24"/>
        </w:rPr>
      </w:pPr>
      <w:r>
        <w:rPr>
          <w:rFonts w:ascii="Times New Roman" w:hAnsi="Times New Roman" w:cs="Times New Roman"/>
          <w:b/>
          <w:bCs/>
          <w:sz w:val="24"/>
        </w:rPr>
        <w:t>Fig. S3.</w:t>
      </w:r>
      <w:r>
        <w:rPr>
          <w:rFonts w:ascii="Times New Roman" w:hAnsi="Times New Roman" w:cs="Times New Roman"/>
          <w:sz w:val="24"/>
        </w:rPr>
        <w:t xml:space="preserve"> Enrichment analysis of intersecting genes. (A) Gene Ontology enrichment analysis circle graph. (B) Kyoto Encyclopedia of Genes and Genomes enrichment analysis histogram.</w:t>
      </w:r>
    </w:p>
    <w:p>
      <w:pPr>
        <w:ind w:firstLine="480"/>
        <w:rPr>
          <w:rFonts w:ascii="Times New Roman" w:hAnsi="Times New Roman" w:cs="Times New Roman"/>
          <w:sz w:val="24"/>
        </w:rPr>
      </w:pPr>
    </w:p>
    <w:p>
      <w:pPr>
        <w:ind w:firstLine="480"/>
        <w:rPr>
          <w:rFonts w:ascii="Times New Roman" w:hAnsi="Times New Roman" w:cs="Times New Roman"/>
          <w:sz w:val="24"/>
        </w:rPr>
      </w:pPr>
      <w:r>
        <w:rPr>
          <w:rFonts w:ascii="Times New Roman" w:hAnsi="Times New Roman" w:cs="Times New Roman"/>
          <w:sz w:val="24"/>
        </w:rPr>
        <w:drawing>
          <wp:inline distT="0" distB="0" distL="0" distR="0">
            <wp:extent cx="5274310" cy="34455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7"/>
                    <a:stretch>
                      <a:fillRect/>
                    </a:stretch>
                  </pic:blipFill>
                  <pic:spPr>
                    <a:xfrm>
                      <a:off x="0" y="0"/>
                      <a:ext cx="5274310" cy="3445510"/>
                    </a:xfrm>
                    <a:prstGeom prst="rect">
                      <a:avLst/>
                    </a:prstGeom>
                  </pic:spPr>
                </pic:pic>
              </a:graphicData>
            </a:graphic>
          </wp:inline>
        </w:drawing>
      </w:r>
    </w:p>
    <w:p>
      <w:pPr>
        <w:rPr>
          <w:rFonts w:ascii="Times New Roman" w:hAnsi="Times New Roman" w:cs="Times New Roman"/>
          <w:sz w:val="24"/>
        </w:rPr>
      </w:pPr>
      <w:r>
        <w:rPr>
          <w:rFonts w:ascii="Times New Roman" w:hAnsi="Times New Roman" w:cs="Times New Roman"/>
          <w:b/>
          <w:bCs/>
          <w:sz w:val="24"/>
        </w:rPr>
        <w:t>Fig. S4.</w:t>
      </w:r>
      <w:r>
        <w:rPr>
          <w:rFonts w:ascii="Times New Roman" w:hAnsi="Times New Roman" w:cs="Times New Roman"/>
          <w:sz w:val="24"/>
        </w:rPr>
        <w:t xml:space="preserve"> Pseudo-timing analysis. (A) Pseudo-temporal maps of different cell subpopulations. (B) Pseudo-temporal plot of different differentiation states. (C) A graph of the pseudo-time trajectory, with darker to lighter colors denoting differentiation states from early to late, respectively. (D) Selection of the top 50 core genes using the Degree parameter. (E) Heatmap of the core gene dynamics.</w:t>
      </w:r>
    </w:p>
    <w:p>
      <w:pPr>
        <w:ind w:firstLine="480"/>
        <w:rPr>
          <w:rFonts w:ascii="Times New Roman" w:hAnsi="Times New Roman" w:cs="Times New Roman"/>
          <w:sz w:val="24"/>
        </w:rPr>
      </w:pPr>
    </w:p>
    <w:p>
      <w:pPr>
        <w:ind w:firstLine="480"/>
        <w:rPr>
          <w:rFonts w:ascii="Times New Roman" w:hAnsi="Times New Roman" w:cs="Times New Roman"/>
          <w:sz w:val="24"/>
        </w:rPr>
      </w:pPr>
      <w:r>
        <w:rPr>
          <w:rFonts w:hint="eastAsia" w:ascii="Times New Roman" w:hAnsi="Times New Roman" w:cs="Times New Roman"/>
          <w:sz w:val="24"/>
        </w:rPr>
        <w:drawing>
          <wp:inline distT="0" distB="0" distL="0" distR="0">
            <wp:extent cx="5274310" cy="52584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5258435"/>
                    </a:xfrm>
                    <a:prstGeom prst="rect">
                      <a:avLst/>
                    </a:prstGeom>
                  </pic:spPr>
                </pic:pic>
              </a:graphicData>
            </a:graphic>
          </wp:inline>
        </w:drawing>
      </w:r>
    </w:p>
    <w:p>
      <w:pPr>
        <w:rPr>
          <w:rFonts w:ascii="Times New Roman" w:hAnsi="Times New Roman" w:cs="Times New Roman"/>
          <w:sz w:val="24"/>
        </w:rPr>
      </w:pPr>
      <w:r>
        <w:rPr>
          <w:rFonts w:ascii="Times New Roman" w:hAnsi="Times New Roman" w:cs="Times New Roman"/>
          <w:b/>
          <w:bCs/>
          <w:sz w:val="24"/>
        </w:rPr>
        <w:t>Fig. S5.</w:t>
      </w:r>
      <w:r>
        <w:rPr>
          <w:rFonts w:ascii="Times New Roman" w:hAnsi="Times New Roman" w:cs="Times New Roman"/>
          <w:sz w:val="24"/>
        </w:rPr>
        <w:t xml:space="preserve"> Correlation of risk factors and clinical information. (A) Heatmaps related to clinical information. (B) Proportion of each sex in the high- and low-risk groups. (C) Proportion of various tumor stages in the high- and low-risk groups. (D) Proportion of T stages in the high- and low-risk groups. (E) Proportion of age classes in the high- and low-risk groups.</w:t>
      </w:r>
    </w:p>
    <w:p>
      <w:pPr>
        <w:ind w:firstLine="480"/>
        <w:rPr>
          <w:rFonts w:ascii="Times New Roman" w:hAnsi="Times New Roman" w:cs="Times New Roman"/>
          <w:sz w:val="24"/>
        </w:rPr>
      </w:pPr>
    </w:p>
    <w:p>
      <w:pPr>
        <w:ind w:firstLine="480"/>
        <w:rPr>
          <w:rFonts w:ascii="Times New Roman" w:hAnsi="Times New Roman" w:cs="Times New Roman"/>
          <w:sz w:val="24"/>
        </w:rPr>
      </w:pPr>
      <w:r>
        <w:rPr>
          <w:rFonts w:hint="eastAsia" w:ascii="Times New Roman" w:hAnsi="Times New Roman" w:cs="Times New Roman"/>
          <w:sz w:val="24"/>
        </w:rPr>
        <w:drawing>
          <wp:inline distT="0" distB="0" distL="0" distR="0">
            <wp:extent cx="5274310" cy="39185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918585"/>
                    </a:xfrm>
                    <a:prstGeom prst="rect">
                      <a:avLst/>
                    </a:prstGeom>
                  </pic:spPr>
                </pic:pic>
              </a:graphicData>
            </a:graphic>
          </wp:inline>
        </w:drawing>
      </w:r>
    </w:p>
    <w:p>
      <w:pPr>
        <w:rPr>
          <w:rFonts w:ascii="Times New Roman" w:hAnsi="Times New Roman" w:cs="Times New Roman"/>
          <w:sz w:val="24"/>
        </w:rPr>
      </w:pPr>
      <w:r>
        <w:rPr>
          <w:rFonts w:ascii="Times New Roman" w:hAnsi="Times New Roman" w:cs="Times New Roman"/>
          <w:b/>
          <w:bCs/>
          <w:sz w:val="24"/>
        </w:rPr>
        <w:t>Fig. S6.</w:t>
      </w:r>
      <w:r>
        <w:rPr>
          <w:rFonts w:ascii="Times New Roman" w:hAnsi="Times New Roman" w:cs="Times New Roman"/>
          <w:sz w:val="24"/>
        </w:rPr>
        <w:t xml:space="preserve"> DCA analysis for predicting survival in ESCC patients. (A) Decision analysis curves for 1, 2, and 3 years in the training group. (B) Decision analysis curves for the validation group at 1, 2, and 3 years.</w:t>
      </w:r>
    </w:p>
    <w:p>
      <w:pPr>
        <w:ind w:firstLine="480"/>
        <w:rPr>
          <w:rFonts w:ascii="Times New Roman" w:hAnsi="Times New Roman" w:cs="Times New Roman"/>
          <w:sz w:val="24"/>
        </w:rPr>
      </w:pPr>
      <w:r>
        <w:rPr>
          <w:rFonts w:ascii="Times New Roman" w:hAnsi="Times New Roman" w:cs="Times New Roman"/>
          <w:sz w:val="24"/>
        </w:rPr>
        <w:drawing>
          <wp:inline distT="0" distB="0" distL="0" distR="0">
            <wp:extent cx="5274310" cy="19342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1934210"/>
                    </a:xfrm>
                    <a:prstGeom prst="rect">
                      <a:avLst/>
                    </a:prstGeom>
                  </pic:spPr>
                </pic:pic>
              </a:graphicData>
            </a:graphic>
          </wp:inline>
        </w:drawing>
      </w:r>
    </w:p>
    <w:p>
      <w:pPr>
        <w:rPr>
          <w:rFonts w:ascii="Times New Roman" w:hAnsi="Times New Roman" w:cs="Times New Roman"/>
          <w:sz w:val="24"/>
        </w:rPr>
      </w:pPr>
      <w:r>
        <w:rPr>
          <w:rFonts w:ascii="Times New Roman" w:hAnsi="Times New Roman" w:cs="Times New Roman"/>
          <w:b/>
          <w:bCs/>
          <w:sz w:val="24"/>
        </w:rPr>
        <w:t>Fig. S7.</w:t>
      </w:r>
      <w:r>
        <w:rPr>
          <w:rFonts w:ascii="Times New Roman" w:hAnsi="Times New Roman" w:cs="Times New Roman"/>
          <w:sz w:val="24"/>
        </w:rPr>
        <w:t xml:space="preserve"> Immune checkpoint analysis. (A) Correlation plot of Risk score with immune checkpoints; (B) Correlation of PD-L1 with Risk score; (C) Correlation analysis of MSI with Risk score.</w:t>
      </w: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rPr>
          <w:rFonts w:ascii="Times New Roman" w:hAnsi="Times New Roman" w:cs="Times New Roman"/>
          <w:sz w:val="24"/>
        </w:rPr>
      </w:pPr>
    </w:p>
    <w:p>
      <w:pPr>
        <w:ind w:firstLine="480"/>
        <w:rPr>
          <w:rFonts w:ascii="Times New Roman" w:hAnsi="Times New Roman" w:cs="Times New Roman"/>
          <w:sz w:val="24"/>
        </w:rPr>
      </w:pPr>
    </w:p>
    <w:p>
      <w:pPr>
        <w:ind w:firstLine="480"/>
        <w:rPr>
          <w:rFonts w:ascii="Times New Roman" w:hAnsi="Times New Roman" w:cs="Times New Roman"/>
          <w:sz w:val="24"/>
        </w:rPr>
      </w:pPr>
    </w:p>
    <w:p>
      <w:pPr>
        <w:rPr>
          <w:rFonts w:ascii="Times New Roman" w:hAnsi="Times New Roman" w:cs="Times New Roman"/>
          <w:b/>
          <w:bCs/>
          <w:sz w:val="24"/>
        </w:rPr>
      </w:pPr>
      <w:r>
        <w:rPr>
          <w:rFonts w:ascii="Times New Roman" w:hAnsi="Times New Roman" w:cs="Times New Roman"/>
          <w:b/>
          <w:bCs/>
          <w:sz w:val="24"/>
        </w:rPr>
        <w:t>Table</w:t>
      </w:r>
      <w:bookmarkStart w:id="0" w:name="_GoBack"/>
      <w:bookmarkEnd w:id="0"/>
      <w:r>
        <w:rPr>
          <w:rFonts w:ascii="Times New Roman" w:hAnsi="Times New Roman" w:cs="Times New Roman"/>
          <w:b/>
          <w:bCs/>
          <w:sz w:val="24"/>
        </w:rPr>
        <w:t xml:space="preserve"> S1:</w:t>
      </w:r>
      <w:r>
        <w:rPr>
          <w:rFonts w:ascii="Times New Roman" w:hAnsi="Times New Roman" w:cs="Times New Roman"/>
          <w:sz w:val="24"/>
        </w:rPr>
        <w:t xml:space="preserve"> </w:t>
      </w:r>
      <w:r>
        <w:rPr>
          <w:rFonts w:ascii="Times New Roman" w:hAnsi="Times New Roman" w:cs="Times New Roman"/>
          <w:b/>
          <w:bCs/>
          <w:sz w:val="24"/>
        </w:rPr>
        <w:t>Clinical information.</w:t>
      </w:r>
    </w:p>
    <w:p>
      <w:pPr>
        <w:rPr>
          <w:rFonts w:hint="eastAsia" w:ascii="Times New Roman" w:hAnsi="Times New Roman" w:cs="Times New Roman"/>
          <w:sz w:val="24"/>
        </w:rPr>
      </w:pPr>
    </w:p>
    <w:tbl>
      <w:tblPr>
        <w:tblStyle w:val="2"/>
        <w:tblW w:w="0" w:type="auto"/>
        <w:jc w:val="center"/>
        <w:tblLayout w:type="fixed"/>
        <w:tblCellMar>
          <w:top w:w="0" w:type="dxa"/>
          <w:left w:w="108" w:type="dxa"/>
          <w:bottom w:w="0" w:type="dxa"/>
          <w:right w:w="108" w:type="dxa"/>
        </w:tblCellMar>
      </w:tblPr>
      <w:tblGrid>
        <w:gridCol w:w="1731"/>
        <w:gridCol w:w="1291"/>
        <w:gridCol w:w="1291"/>
        <w:gridCol w:w="1016"/>
      </w:tblGrid>
      <w:tr>
        <w:trPr>
          <w:tblHeader/>
          <w:jc w:val="center"/>
        </w:trPr>
        <w:tc>
          <w:tcPr>
            <w:tcW w:w="1731" w:type="dxa"/>
            <w:tcBorders>
              <w:top w:val="single" w:color="000000" w:sz="6" w:space="0"/>
              <w:left w:val="nil"/>
              <w:bottom w:val="single" w:color="000000" w:sz="6" w:space="0"/>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firstLine="360"/>
              <w:jc w:val="center"/>
              <w:rPr>
                <w:rFonts w:ascii="宋体" w:hAnsi="宋体" w:eastAsia="宋体" w:cs="宋体"/>
                <w:kern w:val="0"/>
                <w:sz w:val="24"/>
              </w:rPr>
            </w:pPr>
            <w:r>
              <w:rPr>
                <w:rFonts w:ascii="Arial" w:hAnsi="Arial" w:eastAsia="Arial" w:cs="Arial"/>
                <w:color w:val="000000"/>
                <w:kern w:val="0"/>
                <w:sz w:val="18"/>
                <w:szCs w:val="18"/>
              </w:rPr>
              <w:t>Characteristics</w:t>
            </w:r>
          </w:p>
        </w:tc>
        <w:tc>
          <w:tcPr>
            <w:tcW w:w="1291" w:type="dxa"/>
            <w:tcBorders>
              <w:top w:val="single" w:color="000000" w:sz="6" w:space="0"/>
              <w:left w:val="nil"/>
              <w:bottom w:val="single" w:color="000000" w:sz="6" w:space="0"/>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firstLine="360"/>
              <w:jc w:val="center"/>
              <w:rPr>
                <w:rFonts w:ascii="宋体" w:hAnsi="宋体" w:eastAsia="宋体" w:cs="宋体"/>
                <w:kern w:val="0"/>
                <w:sz w:val="24"/>
              </w:rPr>
            </w:pPr>
            <w:r>
              <w:rPr>
                <w:rFonts w:ascii="Arial" w:hAnsi="Arial" w:eastAsia="Arial" w:cs="Arial"/>
                <w:color w:val="000000"/>
                <w:kern w:val="0"/>
                <w:sz w:val="18"/>
                <w:szCs w:val="18"/>
              </w:rPr>
              <w:t>Dead</w:t>
            </w:r>
          </w:p>
        </w:tc>
        <w:tc>
          <w:tcPr>
            <w:tcW w:w="1291" w:type="dxa"/>
            <w:tcBorders>
              <w:top w:val="single" w:color="000000" w:sz="6" w:space="0"/>
              <w:left w:val="nil"/>
              <w:bottom w:val="single" w:color="000000" w:sz="6" w:space="0"/>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firstLine="360"/>
              <w:jc w:val="center"/>
              <w:rPr>
                <w:rFonts w:ascii="宋体" w:hAnsi="宋体" w:eastAsia="宋体" w:cs="宋体"/>
                <w:kern w:val="0"/>
                <w:sz w:val="24"/>
              </w:rPr>
            </w:pPr>
            <w:r>
              <w:rPr>
                <w:rFonts w:ascii="Arial" w:hAnsi="Arial" w:eastAsia="Arial" w:cs="Arial"/>
                <w:color w:val="000000"/>
                <w:kern w:val="0"/>
                <w:sz w:val="18"/>
                <w:szCs w:val="18"/>
              </w:rPr>
              <w:t>Alive</w:t>
            </w:r>
          </w:p>
        </w:tc>
        <w:tc>
          <w:tcPr>
            <w:tcW w:w="1016" w:type="dxa"/>
            <w:tcBorders>
              <w:top w:val="single" w:color="000000" w:sz="6" w:space="0"/>
              <w:left w:val="nil"/>
              <w:bottom w:val="single" w:color="000000" w:sz="6" w:space="0"/>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firstLine="360"/>
              <w:jc w:val="center"/>
              <w:rPr>
                <w:rFonts w:ascii="宋体" w:hAnsi="宋体" w:eastAsia="宋体" w:cs="宋体"/>
                <w:kern w:val="0"/>
                <w:sz w:val="24"/>
              </w:rPr>
            </w:pPr>
            <w:r>
              <w:rPr>
                <w:rFonts w:ascii="Arial" w:hAnsi="Arial" w:eastAsia="Arial" w:cs="Arial"/>
                <w:color w:val="000000"/>
                <w:kern w:val="0"/>
                <w:sz w:val="18"/>
                <w:szCs w:val="18"/>
              </w:rPr>
              <w:t>P value</w:t>
            </w:r>
          </w:p>
        </w:tc>
      </w:tr>
      <w:tr>
        <w:trPr>
          <w:jc w:val="center"/>
        </w:trPr>
        <w:tc>
          <w:tcPr>
            <w:tcW w:w="1731" w:type="dxa"/>
            <w:tcBorders>
              <w:top w:val="single" w:color="000000" w:sz="6" w:space="0"/>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n</w:t>
            </w:r>
          </w:p>
        </w:tc>
        <w:tc>
          <w:tcPr>
            <w:tcW w:w="1291" w:type="dxa"/>
            <w:tcBorders>
              <w:top w:val="single" w:color="000000" w:sz="6" w:space="0"/>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30</w:t>
            </w:r>
          </w:p>
        </w:tc>
        <w:tc>
          <w:tcPr>
            <w:tcW w:w="1291" w:type="dxa"/>
            <w:tcBorders>
              <w:top w:val="single" w:color="000000" w:sz="6" w:space="0"/>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63</w:t>
            </w:r>
          </w:p>
        </w:tc>
        <w:tc>
          <w:tcPr>
            <w:tcW w:w="1016" w:type="dxa"/>
            <w:tcBorders>
              <w:top w:val="single" w:color="000000" w:sz="6" w:space="0"/>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r>
      <w:tr>
        <w:trPr>
          <w:jc w:val="center"/>
        </w:trPr>
        <w:tc>
          <w:tcPr>
            <w:tcW w:w="173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Gender, n (%)</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c>
          <w:tcPr>
            <w:tcW w:w="1016"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0.211</w:t>
            </w:r>
          </w:p>
        </w:tc>
      </w:tr>
      <w:tr>
        <w:trPr>
          <w:jc w:val="center"/>
        </w:trPr>
        <w:tc>
          <w:tcPr>
            <w:tcW w:w="173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male</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28 (30.1%)</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51 (54.8%)</w:t>
            </w:r>
          </w:p>
        </w:tc>
        <w:tc>
          <w:tcPr>
            <w:tcW w:w="1016"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r>
      <w:tr>
        <w:trPr>
          <w:jc w:val="center"/>
        </w:trPr>
        <w:tc>
          <w:tcPr>
            <w:tcW w:w="173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female</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2 (2.2%)</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12 (12.9%)</w:t>
            </w:r>
          </w:p>
        </w:tc>
        <w:tc>
          <w:tcPr>
            <w:tcW w:w="1016"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r>
      <w:tr>
        <w:trPr>
          <w:jc w:val="center"/>
        </w:trPr>
        <w:tc>
          <w:tcPr>
            <w:tcW w:w="173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Age, n (%)</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c>
          <w:tcPr>
            <w:tcW w:w="1016"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0.765</w:t>
            </w:r>
          </w:p>
        </w:tc>
      </w:tr>
      <w:tr>
        <w:trPr>
          <w:jc w:val="center"/>
        </w:trPr>
        <w:tc>
          <w:tcPr>
            <w:tcW w:w="173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&lt;65</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22 (23.7%)</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48 (51.6%)</w:t>
            </w:r>
          </w:p>
        </w:tc>
        <w:tc>
          <w:tcPr>
            <w:tcW w:w="1016"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r>
      <w:tr>
        <w:trPr>
          <w:jc w:val="center"/>
        </w:trPr>
        <w:tc>
          <w:tcPr>
            <w:tcW w:w="173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&gt;=65</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8 (8.6%)</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15 (16.1%)</w:t>
            </w:r>
          </w:p>
        </w:tc>
        <w:tc>
          <w:tcPr>
            <w:tcW w:w="1016"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r>
      <w:tr>
        <w:trPr>
          <w:jc w:val="center"/>
        </w:trPr>
        <w:tc>
          <w:tcPr>
            <w:tcW w:w="173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Stage, n (%)</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c>
          <w:tcPr>
            <w:tcW w:w="1016"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0.051</w:t>
            </w:r>
          </w:p>
        </w:tc>
      </w:tr>
      <w:tr>
        <w:trPr>
          <w:jc w:val="center"/>
        </w:trPr>
        <w:tc>
          <w:tcPr>
            <w:tcW w:w="173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Stage II</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12 (13%)</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42 (45.7%)</w:t>
            </w:r>
          </w:p>
        </w:tc>
        <w:tc>
          <w:tcPr>
            <w:tcW w:w="1016"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r>
      <w:tr>
        <w:trPr>
          <w:jc w:val="center"/>
        </w:trPr>
        <w:tc>
          <w:tcPr>
            <w:tcW w:w="173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Stage IV</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3 (3.3%)</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1 (1.1%)</w:t>
            </w:r>
          </w:p>
        </w:tc>
        <w:tc>
          <w:tcPr>
            <w:tcW w:w="1016"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r>
      <w:tr>
        <w:trPr>
          <w:jc w:val="center"/>
        </w:trPr>
        <w:tc>
          <w:tcPr>
            <w:tcW w:w="173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Stage III</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12 (13%)</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15 (16.3%)</w:t>
            </w:r>
          </w:p>
        </w:tc>
        <w:tc>
          <w:tcPr>
            <w:tcW w:w="1016"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r>
      <w:tr>
        <w:trPr>
          <w:jc w:val="center"/>
        </w:trPr>
        <w:tc>
          <w:tcPr>
            <w:tcW w:w="173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Stage I</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2 (2.2%)</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5 (5.4%)</w:t>
            </w:r>
          </w:p>
        </w:tc>
        <w:tc>
          <w:tcPr>
            <w:tcW w:w="1016"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r>
      <w:tr>
        <w:trPr>
          <w:jc w:val="center"/>
        </w:trPr>
        <w:tc>
          <w:tcPr>
            <w:tcW w:w="173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T_stage, n (%)</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c>
          <w:tcPr>
            <w:tcW w:w="1016"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0.270</w:t>
            </w:r>
          </w:p>
        </w:tc>
      </w:tr>
      <w:tr>
        <w:trPr>
          <w:jc w:val="center"/>
        </w:trPr>
        <w:tc>
          <w:tcPr>
            <w:tcW w:w="173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T3</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14 (15.2%)</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35 (38%)</w:t>
            </w:r>
          </w:p>
        </w:tc>
        <w:tc>
          <w:tcPr>
            <w:tcW w:w="1016"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r>
      <w:tr>
        <w:trPr>
          <w:jc w:val="center"/>
        </w:trPr>
        <w:tc>
          <w:tcPr>
            <w:tcW w:w="173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T1</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3 (3.3%)</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5 (5.4%)</w:t>
            </w:r>
          </w:p>
        </w:tc>
        <w:tc>
          <w:tcPr>
            <w:tcW w:w="1016"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r>
      <w:tr>
        <w:trPr>
          <w:jc w:val="center"/>
        </w:trPr>
        <w:tc>
          <w:tcPr>
            <w:tcW w:w="173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T2</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9 (9.8%)</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22 (23.9%)</w:t>
            </w:r>
          </w:p>
        </w:tc>
        <w:tc>
          <w:tcPr>
            <w:tcW w:w="1016"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r>
      <w:tr>
        <w:trPr>
          <w:jc w:val="center"/>
        </w:trPr>
        <w:tc>
          <w:tcPr>
            <w:tcW w:w="173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T4</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3 (3.3%)</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1 (1.1%)</w:t>
            </w:r>
          </w:p>
        </w:tc>
        <w:tc>
          <w:tcPr>
            <w:tcW w:w="1016"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r>
      <w:tr>
        <w:trPr>
          <w:jc w:val="center"/>
        </w:trPr>
        <w:tc>
          <w:tcPr>
            <w:tcW w:w="173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r</w:t>
            </w:r>
            <w:r>
              <w:rPr>
                <w:rFonts w:hint="eastAsia" w:ascii="Arial" w:hAnsi="Arial" w:eastAsia="Arial" w:cs="Arial"/>
                <w:color w:val="000000"/>
                <w:kern w:val="0"/>
                <w:sz w:val="18"/>
                <w:szCs w:val="18"/>
              </w:rPr>
              <w:t>i</w:t>
            </w:r>
            <w:r>
              <w:rPr>
                <w:rFonts w:ascii="Arial" w:hAnsi="Arial" w:eastAsia="Arial" w:cs="Arial"/>
                <w:color w:val="000000"/>
                <w:kern w:val="0"/>
                <w:sz w:val="18"/>
                <w:szCs w:val="18"/>
              </w:rPr>
              <w:t>skScore, n (%)</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c>
          <w:tcPr>
            <w:tcW w:w="1016"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&lt; 0.001</w:t>
            </w:r>
          </w:p>
        </w:tc>
      </w:tr>
      <w:tr>
        <w:trPr>
          <w:jc w:val="center"/>
        </w:trPr>
        <w:tc>
          <w:tcPr>
            <w:tcW w:w="173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High</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23 (24.7%)</w:t>
            </w:r>
          </w:p>
        </w:tc>
        <w:tc>
          <w:tcPr>
            <w:tcW w:w="1291"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23 (24.7%)</w:t>
            </w:r>
          </w:p>
        </w:tc>
        <w:tc>
          <w:tcPr>
            <w:tcW w:w="1016" w:type="dxa"/>
            <w:tcBorders>
              <w:top w:val="nil"/>
              <w:left w:val="nil"/>
              <w:bottom w:val="nil"/>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r>
      <w:tr>
        <w:trPr>
          <w:jc w:val="center"/>
        </w:trPr>
        <w:tc>
          <w:tcPr>
            <w:tcW w:w="1731" w:type="dxa"/>
            <w:tcBorders>
              <w:top w:val="nil"/>
              <w:left w:val="nil"/>
              <w:bottom w:val="single" w:color="000000" w:sz="6" w:space="0"/>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Low</w:t>
            </w:r>
          </w:p>
        </w:tc>
        <w:tc>
          <w:tcPr>
            <w:tcW w:w="1291" w:type="dxa"/>
            <w:tcBorders>
              <w:top w:val="nil"/>
              <w:left w:val="nil"/>
              <w:bottom w:val="single" w:color="000000" w:sz="6" w:space="0"/>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7 (7.5%)</w:t>
            </w:r>
          </w:p>
        </w:tc>
        <w:tc>
          <w:tcPr>
            <w:tcW w:w="1291" w:type="dxa"/>
            <w:tcBorders>
              <w:top w:val="nil"/>
              <w:left w:val="nil"/>
              <w:bottom w:val="single" w:color="000000" w:sz="6" w:space="0"/>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r>
              <w:rPr>
                <w:rFonts w:ascii="Arial" w:hAnsi="Arial" w:eastAsia="Arial" w:cs="Arial"/>
                <w:color w:val="000000"/>
                <w:kern w:val="0"/>
                <w:sz w:val="18"/>
                <w:szCs w:val="18"/>
              </w:rPr>
              <w:t>40 (43%)</w:t>
            </w:r>
          </w:p>
        </w:tc>
        <w:tc>
          <w:tcPr>
            <w:tcW w:w="1016" w:type="dxa"/>
            <w:tcBorders>
              <w:top w:val="nil"/>
              <w:left w:val="nil"/>
              <w:bottom w:val="single" w:color="000000" w:sz="6" w:space="0"/>
              <w:right w:val="nil"/>
            </w:tcBorders>
            <w:shd w:val="clear" w:color="auto" w:fill="FFFFFF"/>
            <w:tcMar>
              <w:top w:w="0" w:type="dxa"/>
              <w:left w:w="0" w:type="dxa"/>
              <w:bottom w:w="0" w:type="dxa"/>
              <w:right w:w="0" w:type="dxa"/>
            </w:tcMar>
            <w:vAlign w:val="center"/>
          </w:tcPr>
          <w:p>
            <w:pPr>
              <w:widowControl/>
              <w:pBdr>
                <w:top w:val="none" w:color="000000" w:sz="0" w:space="0"/>
                <w:left w:val="none" w:color="000000" w:sz="0" w:space="0"/>
                <w:bottom w:val="none" w:color="000000" w:sz="0" w:space="0"/>
                <w:right w:val="none" w:color="000000" w:sz="0" w:space="0"/>
              </w:pBdr>
              <w:spacing w:before="100" w:after="100"/>
              <w:ind w:left="100" w:right="100"/>
              <w:jc w:val="center"/>
              <w:rPr>
                <w:rFonts w:ascii="宋体" w:hAnsi="宋体" w:eastAsia="宋体" w:cs="宋体"/>
                <w:kern w:val="0"/>
                <w:sz w:val="24"/>
              </w:rPr>
            </w:pPr>
          </w:p>
        </w:tc>
      </w:tr>
    </w:tbl>
    <w:p>
      <w:pPr>
        <w:ind w:firstLine="480"/>
        <w:rPr>
          <w:rFonts w:ascii="Times New Roman" w:hAnsi="Times New Roman" w:cs="Times New Roman"/>
          <w:sz w:val="24"/>
        </w:rPr>
      </w:pPr>
    </w:p>
    <w:p>
      <w:pPr>
        <w:ind w:firstLine="480"/>
        <w:rPr>
          <w:rFonts w:ascii="Times New Roman" w:hAnsi="Times New Roman" w:cs="Times New Roman"/>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等线">
    <w:altName w:val="汉仪中等线KW"/>
    <w:panose1 w:val="00000000000000000000"/>
    <w:charset w:val="86"/>
    <w:family w:val="auto"/>
    <w:pitch w:val="default"/>
    <w:sig w:usb0="00000000" w:usb1="00000000" w:usb2="00000000" w:usb3="00000000" w:csb0="00000000" w:csb1="00000000"/>
  </w:font>
  <w:font w:name="汉仪中等线KW">
    <w:panose1 w:val="01010104010101010101"/>
    <w:charset w:val="86"/>
    <w:family w:val="auto"/>
    <w:pitch w:val="default"/>
    <w:sig w:usb0="00000000" w:usb1="00000000" w:usb2="00000000" w:usb3="00000000" w:csb0="00160000" w:csb1="00000000"/>
  </w:font>
  <w:font w:name="等线">
    <w:altName w:val="汉仪中等线KW"/>
    <w:panose1 w:val="00000000000000000000"/>
    <w:charset w:val="00"/>
    <w:family w:val="auto"/>
    <w:pitch w:val="default"/>
    <w:sig w:usb0="00000000" w:usb1="00000000" w:usb2="00000000" w:usb3="00000000" w:csb0="00000000" w:csb1="00000000"/>
  </w:font>
  <w:font w:name="Arial">
    <w:panose1 w:val="020B0604020202020204"/>
    <w:charset w:val="00"/>
    <w:family w:val="swiss"/>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6"/>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AF6"/>
    <w:rsid w:val="0000399C"/>
    <w:rsid w:val="00017B0B"/>
    <w:rsid w:val="0002227E"/>
    <w:rsid w:val="00034D09"/>
    <w:rsid w:val="000E1EA7"/>
    <w:rsid w:val="00102711"/>
    <w:rsid w:val="0011296E"/>
    <w:rsid w:val="001322ED"/>
    <w:rsid w:val="00136827"/>
    <w:rsid w:val="001475B5"/>
    <w:rsid w:val="00153589"/>
    <w:rsid w:val="0017147A"/>
    <w:rsid w:val="001721A2"/>
    <w:rsid w:val="00184785"/>
    <w:rsid w:val="001976FB"/>
    <w:rsid w:val="001C2653"/>
    <w:rsid w:val="001D575F"/>
    <w:rsid w:val="001E778A"/>
    <w:rsid w:val="0022191C"/>
    <w:rsid w:val="00221C1E"/>
    <w:rsid w:val="0023384A"/>
    <w:rsid w:val="00264F68"/>
    <w:rsid w:val="002A63D5"/>
    <w:rsid w:val="002E7B73"/>
    <w:rsid w:val="00317807"/>
    <w:rsid w:val="00383607"/>
    <w:rsid w:val="00392093"/>
    <w:rsid w:val="003F0BA6"/>
    <w:rsid w:val="00401C77"/>
    <w:rsid w:val="00460D7F"/>
    <w:rsid w:val="00474E97"/>
    <w:rsid w:val="004B0F68"/>
    <w:rsid w:val="004B1AB1"/>
    <w:rsid w:val="004D5E2E"/>
    <w:rsid w:val="004E040B"/>
    <w:rsid w:val="004F0054"/>
    <w:rsid w:val="00533B9B"/>
    <w:rsid w:val="0053594A"/>
    <w:rsid w:val="00542D9F"/>
    <w:rsid w:val="00582B6A"/>
    <w:rsid w:val="005A2DCE"/>
    <w:rsid w:val="005A7B42"/>
    <w:rsid w:val="005C6F03"/>
    <w:rsid w:val="005D1266"/>
    <w:rsid w:val="005F12F5"/>
    <w:rsid w:val="006068AF"/>
    <w:rsid w:val="0061201E"/>
    <w:rsid w:val="00662DED"/>
    <w:rsid w:val="00671AF6"/>
    <w:rsid w:val="006876F2"/>
    <w:rsid w:val="00687B16"/>
    <w:rsid w:val="006D2545"/>
    <w:rsid w:val="006D7FCE"/>
    <w:rsid w:val="00727A6E"/>
    <w:rsid w:val="00764CDB"/>
    <w:rsid w:val="007703E3"/>
    <w:rsid w:val="00785B30"/>
    <w:rsid w:val="007864F6"/>
    <w:rsid w:val="00786C7D"/>
    <w:rsid w:val="007E7D20"/>
    <w:rsid w:val="007F0D1E"/>
    <w:rsid w:val="0080592A"/>
    <w:rsid w:val="00813FD6"/>
    <w:rsid w:val="008168AF"/>
    <w:rsid w:val="0081759B"/>
    <w:rsid w:val="00821C0D"/>
    <w:rsid w:val="00834CEB"/>
    <w:rsid w:val="00853ACC"/>
    <w:rsid w:val="008576F6"/>
    <w:rsid w:val="00897B81"/>
    <w:rsid w:val="008B3A78"/>
    <w:rsid w:val="008B4522"/>
    <w:rsid w:val="009473ED"/>
    <w:rsid w:val="00956214"/>
    <w:rsid w:val="00964935"/>
    <w:rsid w:val="009C0B31"/>
    <w:rsid w:val="009F01CE"/>
    <w:rsid w:val="009F4579"/>
    <w:rsid w:val="00A04685"/>
    <w:rsid w:val="00A21306"/>
    <w:rsid w:val="00A52BC4"/>
    <w:rsid w:val="00A62466"/>
    <w:rsid w:val="00A64BE3"/>
    <w:rsid w:val="00A83791"/>
    <w:rsid w:val="00AE6F1C"/>
    <w:rsid w:val="00B20F6C"/>
    <w:rsid w:val="00B67C9A"/>
    <w:rsid w:val="00B70ED1"/>
    <w:rsid w:val="00B86ABC"/>
    <w:rsid w:val="00BA3ADF"/>
    <w:rsid w:val="00BB0A5B"/>
    <w:rsid w:val="00BB304C"/>
    <w:rsid w:val="00BF7F99"/>
    <w:rsid w:val="00C24CD5"/>
    <w:rsid w:val="00C3123C"/>
    <w:rsid w:val="00C750F9"/>
    <w:rsid w:val="00C966AD"/>
    <w:rsid w:val="00CB26FB"/>
    <w:rsid w:val="00CE163E"/>
    <w:rsid w:val="00D069E4"/>
    <w:rsid w:val="00D105E8"/>
    <w:rsid w:val="00D16125"/>
    <w:rsid w:val="00D562BD"/>
    <w:rsid w:val="00D84962"/>
    <w:rsid w:val="00D85446"/>
    <w:rsid w:val="00D90B4B"/>
    <w:rsid w:val="00DB006C"/>
    <w:rsid w:val="00DC21FA"/>
    <w:rsid w:val="00DD1ACA"/>
    <w:rsid w:val="00E061CC"/>
    <w:rsid w:val="00E3169A"/>
    <w:rsid w:val="00E42C54"/>
    <w:rsid w:val="00E47BA5"/>
    <w:rsid w:val="00E76A52"/>
    <w:rsid w:val="00E77173"/>
    <w:rsid w:val="00E969EF"/>
    <w:rsid w:val="00EB035C"/>
    <w:rsid w:val="00EC1165"/>
    <w:rsid w:val="00ED0C02"/>
    <w:rsid w:val="00ED1EF3"/>
    <w:rsid w:val="00ED4014"/>
    <w:rsid w:val="00F12310"/>
    <w:rsid w:val="00F24FE7"/>
    <w:rsid w:val="00F40CBD"/>
    <w:rsid w:val="00F55944"/>
    <w:rsid w:val="00F56654"/>
    <w:rsid w:val="00F728CA"/>
    <w:rsid w:val="00F76EBD"/>
    <w:rsid w:val="00F87571"/>
    <w:rsid w:val="00FB2FB8"/>
    <w:rsid w:val="00FC153A"/>
    <w:rsid w:val="00FD34F7"/>
    <w:rsid w:val="00FE1593"/>
    <w:rsid w:val="00FE50B2"/>
    <w:rsid w:val="00FE58BE"/>
    <w:rsid w:val="F9E6346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qFormat/>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table" w:customStyle="1" w:styleId="4">
    <w:name w:val="三线表"/>
    <w:basedOn w:val="2"/>
    <w:qFormat/>
    <w:uiPriority w:val="99"/>
    <w:rPr>
      <w:rFonts w:ascii="Times New Roman" w:hAnsi="Times New Roman" w:eastAsia="Times New Roman"/>
    </w:rPr>
    <w:tblPr>
      <w:tblBorders>
        <w:top w:val="single" w:color="auto" w:sz="12" w:space="0"/>
        <w:bottom w:val="single" w:color="auto" w:sz="12" w:space="0"/>
      </w:tblBorders>
    </w:tblPr>
    <w:tblStylePr w:type="firstRow">
      <w:pPr>
        <w:wordWrap/>
        <w:spacing w:line="360" w:lineRule="exact"/>
        <w:jc w:val="center"/>
      </w:pPr>
      <w:rPr>
        <w:rFonts w:ascii="Times New Roman" w:hAnsi="Times New Roman" w:eastAsia="宋体"/>
        <w:b w:val="0"/>
        <w:i w:val="0"/>
        <w:sz w:val="21"/>
      </w:rPr>
      <w:tcPr>
        <w:tcBorders>
          <w:top w:val="single" w:color="auto" w:sz="12" w:space="0"/>
          <w:left w:val="nil"/>
          <w:bottom w:val="single" w:color="auto" w:sz="6" w:space="0"/>
          <w:right w:val="nil"/>
          <w:insideH w:val="nil"/>
          <w:insideV w:val="nil"/>
          <w:tl2br w:val="nil"/>
          <w:tr2bl w:val="nil"/>
        </w:tcBorders>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emf"/><Relationship Id="rId5" Type="http://schemas.openxmlformats.org/officeDocument/2006/relationships/image" Target="media/image1.tif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416</Words>
  <Characters>2374</Characters>
  <Lines>19</Lines>
  <Paragraphs>5</Paragraphs>
  <TotalTime>15</TotalTime>
  <ScaleCrop>false</ScaleCrop>
  <LinksUpToDate>false</LinksUpToDate>
  <CharactersWithSpaces>2785</CharactersWithSpaces>
  <Application>WPS Office_5.5.1.7991_F1E327BC-269C-435d-A152-05C5408002CA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2024-03-02T20:15:00Z</dcterms:created>
  <dc:creator>office</dc:creator>
  <cp:lastModifiedBy>踩虫工</cp:lastModifiedBy>
  <dcterms:modified xsi:type="dcterms:W3CDTF">2024-03-13T14:03:55Z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ICV">
    <vt:lpwstr>E7B9D31116224B4ECB41F1658F977E81_42</vt:lpwstr>
  </property>
</Properties>
</file>