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Arial"/>
          <w:b/>
          <w:bCs w:val="0"/>
          <w:sz w:val="28"/>
          <w:szCs w:val="40"/>
        </w:rPr>
      </w:pPr>
      <w:r>
        <w:rPr>
          <w:rFonts w:cs="Arial"/>
          <w:b/>
          <w:bCs w:val="0"/>
          <w:sz w:val="28"/>
          <w:szCs w:val="40"/>
        </w:rPr>
        <w:t>Supplementary file</w:t>
      </w:r>
    </w:p>
    <w:p>
      <w:pPr>
        <w:jc w:val="center"/>
        <w:rPr>
          <w:rFonts w:cs="Arial"/>
          <w:b/>
          <w:bCs w:val="0"/>
          <w:sz w:val="28"/>
          <w:szCs w:val="40"/>
        </w:rPr>
      </w:pPr>
    </w:p>
    <w:p>
      <w:pPr>
        <w:jc w:val="center"/>
        <w:rPr>
          <w:rFonts w:cs="Arial"/>
          <w:b/>
          <w:bCs w:val="0"/>
          <w:sz w:val="28"/>
          <w:szCs w:val="40"/>
        </w:rPr>
      </w:pPr>
    </w:p>
    <w:p>
      <w:pPr>
        <w:rPr>
          <w:rFonts w:cs="Arial"/>
        </w:rPr>
      </w:pPr>
      <w:r>
        <w:rPr>
          <w:rFonts w:cs="Arial"/>
          <w:lang w:val="en-IN" w:eastAsia="en-IN"/>
        </w:rPr>
        <w:drawing>
          <wp:inline distT="0" distB="0" distL="114300" distR="114300">
            <wp:extent cx="4872355" cy="3532505"/>
            <wp:effectExtent l="0" t="0" r="4445" b="10795"/>
            <wp:docPr id="7" name="图片 7" descr="C:\Users\caojiamin\Desktop\aptamer and TSHR\appendix figure 2.tifappendix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aojiamin\Desktop\aptamer and TSHR\appendix figure 2.tifappendix figure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</w:rPr>
      </w:pPr>
      <w:r>
        <w:rPr>
          <w:rFonts w:cs="Arial"/>
        </w:rPr>
        <w:t xml:space="preserve">Supplementary Figure 1. SPR determination of the binding affinity of aptamers 1-80 to TSHR. </w:t>
      </w:r>
    </w:p>
    <w:p>
      <w:pPr>
        <w:rPr>
          <w:rFonts w:cs="Arial"/>
        </w:rPr>
      </w:pPr>
    </w:p>
    <w:p>
      <w:pPr>
        <w:rPr>
          <w:rFonts w:cs="Arial"/>
        </w:rPr>
      </w:pPr>
    </w:p>
    <w:p>
      <w:pPr>
        <w:rPr>
          <w:rFonts w:cs="Arial"/>
        </w:rPr>
      </w:pPr>
      <w:r>
        <w:rPr>
          <w:rFonts w:cs="Arial"/>
          <w:lang w:val="en-IN" w:eastAsia="en-IN"/>
        </w:rPr>
        <w:drawing>
          <wp:inline distT="0" distB="0" distL="114300" distR="114300">
            <wp:extent cx="5267960" cy="2952115"/>
            <wp:effectExtent l="0" t="0" r="2540" b="6985"/>
            <wp:docPr id="8" name="图片 8" descr="appendix figure3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ppendix figure3_画板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</w:rPr>
      </w:pPr>
    </w:p>
    <w:p>
      <w:pPr>
        <w:rPr>
          <w:rFonts w:cs="Arial"/>
        </w:rPr>
      </w:pPr>
      <w:r>
        <w:rPr>
          <w:rFonts w:cs="Arial"/>
          <w:color w:val="323232"/>
        </w:rPr>
        <w:t xml:space="preserve">Supplementary </w:t>
      </w:r>
      <w:r>
        <w:rPr>
          <w:rFonts w:cs="Arial"/>
        </w:rPr>
        <w:t>Figure 2. Identification of fibrocytes by immunofluorescence staining.</w:t>
      </w:r>
    </w:p>
    <w:p>
      <w:pPr>
        <w:rPr>
          <w:rFonts w:cs="Arial"/>
        </w:rPr>
      </w:pPr>
    </w:p>
    <w:p>
      <w:pPr>
        <w:jc w:val="center"/>
        <w:rPr>
          <w:rFonts w:cs="Arial"/>
        </w:rPr>
      </w:pPr>
      <w:r>
        <w:rPr>
          <w:rFonts w:cs="Arial"/>
          <w:lang w:val="en-IN" w:eastAsia="en-IN"/>
        </w:rPr>
        <w:drawing>
          <wp:inline distT="0" distB="0" distL="114300" distR="114300">
            <wp:extent cx="3950335" cy="2950210"/>
            <wp:effectExtent l="0" t="0" r="0" b="0"/>
            <wp:docPr id="9" name="图片 9" descr="图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5d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</w:rPr>
      </w:pPr>
      <w:r>
        <w:rPr>
          <w:rFonts w:cs="Arial"/>
          <w:color w:val="323232"/>
        </w:rPr>
        <w:t xml:space="preserve">Supplementary </w:t>
      </w:r>
      <w:r>
        <w:rPr>
          <w:rFonts w:cs="Arial"/>
        </w:rPr>
        <w:t>Figure 3. Determination of the equilibrium dissociation constant of TSHR-21-42 to fibrocytes.</w:t>
      </w:r>
    </w:p>
    <w:p>
      <w:pPr>
        <w:rPr>
          <w:rFonts w:cs="Arial"/>
        </w:rPr>
      </w:pPr>
    </w:p>
    <w:p>
      <w:pPr>
        <w:jc w:val="center"/>
        <w:rPr>
          <w:rFonts w:cs="Arial"/>
        </w:rPr>
      </w:pPr>
      <w:r>
        <w:rPr>
          <w:rFonts w:cs="Arial"/>
          <w:lang w:val="en-IN" w:eastAsia="en-IN"/>
        </w:rPr>
        <w:drawing>
          <wp:inline distT="0" distB="0" distL="114300" distR="114300">
            <wp:extent cx="3157855" cy="1572260"/>
            <wp:effectExtent l="0" t="0" r="4445" b="2540"/>
            <wp:docPr id="10" name="图片 10" descr="appendix figure5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ppendix figure5_画板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</w:rPr>
      </w:pPr>
      <w:r>
        <w:rPr>
          <w:rFonts w:cs="Arial"/>
          <w:color w:val="323232"/>
        </w:rPr>
        <w:t xml:space="preserve">Supplementary </w:t>
      </w:r>
      <w:r>
        <w:rPr>
          <w:rFonts w:cs="Arial"/>
        </w:rPr>
        <w:t xml:space="preserve">Figure 4. Determination of the affinity of TSHR-21-42 to TSHR on fibrocytes mixed with total protein. </w:t>
      </w:r>
    </w:p>
    <w:p>
      <w:pPr>
        <w:rPr>
          <w:rFonts w:cs="Arial"/>
        </w:rPr>
      </w:pPr>
    </w:p>
    <w:p>
      <w:pPr>
        <w:rPr>
          <w:rFonts w:cs="Arial"/>
        </w:rPr>
      </w:pPr>
      <w:r>
        <w:rPr>
          <w:rFonts w:cs="Arial"/>
          <w:lang w:val="en-IN" w:eastAsia="en-IN"/>
        </w:rPr>
        <w:drawing>
          <wp:inline distT="0" distB="0" distL="114300" distR="114300">
            <wp:extent cx="5274310" cy="3192780"/>
            <wp:effectExtent l="0" t="0" r="8890" b="7620"/>
            <wp:docPr id="11" name="图片 11" descr="appendix figure6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ppendix figure6_画板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</w:rPr>
      </w:pPr>
      <w:bookmarkStart w:id="0" w:name="OLE_LINK1"/>
      <w:r>
        <w:rPr>
          <w:rFonts w:cs="Arial"/>
          <w:color w:val="323232"/>
        </w:rPr>
        <w:t xml:space="preserve">Supplementary </w:t>
      </w:r>
      <w:r>
        <w:rPr>
          <w:rFonts w:cs="Arial"/>
        </w:rPr>
        <w:t xml:space="preserve">Figure 5. Flow cytometry determination of the binding affinity of TSHR-21-42 to fibrocytes. </w:t>
      </w:r>
    </w:p>
    <w:bookmarkEnd w:id="0"/>
    <w:p>
      <w:pPr>
        <w:rPr>
          <w:rFonts w:cs="Arial"/>
        </w:rPr>
      </w:pPr>
    </w:p>
    <w:p>
      <w:pPr>
        <w:rPr>
          <w:rFonts w:cs="Arial"/>
        </w:rPr>
      </w:pPr>
      <w:r>
        <w:rPr>
          <w:rFonts w:cs="Arial"/>
          <w:lang w:val="en-IN" w:eastAsia="en-IN"/>
        </w:rPr>
        <w:drawing>
          <wp:inline distT="0" distB="0" distL="114300" distR="114300">
            <wp:extent cx="3901440" cy="3060065"/>
            <wp:effectExtent l="0" t="0" r="10160" b="635"/>
            <wp:docPr id="12" name="图片 12" descr="fibrocy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brocytes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</w:rPr>
      </w:pPr>
      <w:r>
        <w:rPr>
          <w:rFonts w:cs="Arial"/>
          <w:color w:val="323232"/>
        </w:rPr>
        <w:t xml:space="preserve">Supplementary </w:t>
      </w:r>
      <w:r>
        <w:rPr>
          <w:rFonts w:cs="Arial"/>
        </w:rPr>
        <w:t>Figure 6. Determination of the ratios of fibrocytes to total WBCs using the aptamer TSHR-21-42 and anti-TSHR antibody.</w:t>
      </w:r>
    </w:p>
    <w:p>
      <w:pPr>
        <w:rPr>
          <w:rFonts w:cs="Arial"/>
        </w:rPr>
      </w:pPr>
    </w:p>
    <w:p>
      <w:pPr>
        <w:rPr>
          <w:rFonts w:cs="Arial"/>
        </w:rPr>
      </w:pPr>
      <w:r>
        <w:rPr>
          <w:rFonts w:cs="Arial"/>
          <w:lang w:val="en-IN" w:eastAsia="en-IN"/>
        </w:rPr>
        <w:drawing>
          <wp:inline distT="0" distB="0" distL="114300" distR="114300">
            <wp:extent cx="5271770" cy="5257165"/>
            <wp:effectExtent l="0" t="0" r="11430" b="635"/>
            <wp:docPr id="13" name="图片 13" descr="appendix figure7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ppendix figure7_画板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</w:rPr>
        <w:sectPr>
          <w:footerReference r:id="rId3" w:type="default"/>
          <w:pgSz w:w="11906" w:h="16838"/>
          <w:pgMar w:top="1701" w:right="1701" w:bottom="1701" w:left="1701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cs="Arial"/>
          <w:color w:val="323232"/>
        </w:rPr>
        <w:t xml:space="preserve">Supplementary </w:t>
      </w:r>
      <w:r>
        <w:rPr>
          <w:rFonts w:cs="Arial"/>
        </w:rPr>
        <w:t xml:space="preserve">Figure 7. Flow cytometry determination of the affinity of TSHR-21-42 to (A) leukocytes, (b) monocytes, (C) granulocytes and (D) lymphocytes. </w:t>
      </w:r>
    </w:p>
    <w:p>
      <w:pPr>
        <w:rPr>
          <w:rFonts w:cs="Arial"/>
        </w:rPr>
      </w:pPr>
    </w:p>
    <w:p>
      <w:pPr>
        <w:rPr>
          <w:rFonts w:cs="Arial"/>
        </w:rPr>
      </w:pPr>
    </w:p>
    <w:p>
      <w:pPr>
        <w:rPr>
          <w:rFonts w:cs="Arial"/>
        </w:rPr>
      </w:pPr>
    </w:p>
    <w:p>
      <w:pPr>
        <w:rPr>
          <w:rFonts w:cs="Arial"/>
        </w:rPr>
      </w:pPr>
    </w:p>
    <w:p>
      <w:pPr>
        <w:rPr>
          <w:rFonts w:hint="eastAsia" w:eastAsia="宋体" w:cs="Arial"/>
          <w:lang w:eastAsia="zh-CN"/>
        </w:rPr>
      </w:pPr>
      <w:r>
        <w:rPr>
          <w:rFonts w:hint="eastAsia" w:eastAsia="宋体" w:cs="Arial"/>
          <w:lang w:eastAsia="zh-CN"/>
        </w:rPr>
        <w:drawing>
          <wp:inline distT="0" distB="0" distL="114300" distR="114300">
            <wp:extent cx="5269230" cy="4339590"/>
            <wp:effectExtent l="0" t="0" r="1270" b="3810"/>
            <wp:docPr id="1" name="图片 1" descr="active and in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tive and inactiv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</w:rPr>
      </w:pPr>
      <w:r>
        <w:rPr>
          <w:rFonts w:cs="Arial"/>
          <w:color w:val="323232"/>
        </w:rPr>
        <w:t xml:space="preserve">Supplementary </w:t>
      </w:r>
      <w:r>
        <w:rPr>
          <w:rFonts w:cs="Arial"/>
        </w:rPr>
        <w:t>Figure 8. Ratio of TSHR positive monocytes to total monocytes from patients with active and inactive TAO, as determined by binding of TSHR-21-42.</w:t>
      </w:r>
      <w:bookmarkStart w:id="1" w:name="_GoBack"/>
      <w:bookmarkEnd w:id="1"/>
      <w:r>
        <w:rPr>
          <w:rFonts w:cs="Arial"/>
        </w:rPr>
        <w:t xml:space="preserve"> *</w:t>
      </w:r>
      <w:r>
        <w:rPr>
          <w:rFonts w:hint="eastAsia" w:cs="Arial"/>
          <w:lang w:val="en-US" w:eastAsia="zh-CN"/>
        </w:rPr>
        <w:t xml:space="preserve">: </w:t>
      </w:r>
      <w:r>
        <w:rPr>
          <w:rFonts w:cs="Arial"/>
        </w:rPr>
        <w:t>p&lt;0.05.</w:t>
      </w:r>
    </w:p>
    <w:p>
      <w:pPr>
        <w:rPr>
          <w:rFonts w:cs="Arial"/>
        </w:rPr>
      </w:pPr>
    </w:p>
    <w:p>
      <w:pPr>
        <w:rPr>
          <w:rFonts w:hint="eastAsia" w:eastAsia="宋体" w:cs="Arial"/>
          <w:lang w:eastAsia="zh-CN"/>
        </w:rPr>
      </w:pPr>
      <w:r>
        <w:rPr>
          <w:rFonts w:hint="eastAsia" w:eastAsia="宋体" w:cs="Arial"/>
          <w:lang w:eastAsia="zh-CN"/>
        </w:rPr>
        <w:drawing>
          <wp:inline distT="0" distB="0" distL="114300" distR="114300">
            <wp:extent cx="5273040" cy="4033520"/>
            <wp:effectExtent l="0" t="0" r="10160" b="5080"/>
            <wp:docPr id="2" name="图片 2" descr="sevirity and apta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evirity and aptame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</w:rPr>
      </w:pPr>
      <w:r>
        <w:rPr>
          <w:rFonts w:cs="Arial"/>
          <w:color w:val="323232"/>
        </w:rPr>
        <w:t xml:space="preserve">Supplementary </w:t>
      </w:r>
      <w:r>
        <w:rPr>
          <w:rFonts w:cs="Arial"/>
        </w:rPr>
        <w:t>Figure 9. Relationship of the percentage of TSHR positive monocytes, as determined by TSHR-21-42 binding, with the severity of TAO.</w:t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r>
        <w:rPr>
          <w:rFonts w:hint="default" w:ascii="Times New Roman" w:hAnsi="Times New Roman" w:cs="Times New Roman"/>
          <w:i w:val="0"/>
          <w:iCs w:val="0"/>
          <w:color w:val="323232"/>
        </w:rPr>
        <w:t xml:space="preserve">Supplementary </w:t>
      </w:r>
      <w:r>
        <w:rPr>
          <w:rFonts w:hint="eastAsia"/>
        </w:rPr>
        <w:t>Table 1 The information o</w:t>
      </w:r>
      <w:r>
        <w:t>n</w:t>
      </w:r>
      <w:r>
        <w:rPr>
          <w:rFonts w:hint="eastAsia"/>
        </w:rPr>
        <w:t xml:space="preserve"> </w:t>
      </w:r>
      <w:r>
        <w:t xml:space="preserve">the </w:t>
      </w:r>
      <w:r>
        <w:rPr>
          <w:rFonts w:hint="eastAsia"/>
        </w:rPr>
        <w:t>sequence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6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9" w:type="pct"/>
            <w:vAlign w:val="center"/>
          </w:tcPr>
          <w:p>
            <w:pPr>
              <w:jc w:val="left"/>
              <w:rPr>
                <w:rFonts w:ascii="Helvetica" w:hAnsi="Helvetica" w:cs="Helvetica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Helvetica" w:hAnsi="Helvetica" w:cs="Helvetica"/>
                <w:color w:val="000000"/>
                <w:kern w:val="0"/>
                <w:sz w:val="19"/>
                <w:szCs w:val="19"/>
                <w:lang w:bidi="ar"/>
              </w:rPr>
              <w:t>Aptamer</w:t>
            </w:r>
          </w:p>
        </w:tc>
        <w:tc>
          <w:tcPr>
            <w:tcW w:w="3700" w:type="pct"/>
            <w:vAlign w:val="center"/>
          </w:tcPr>
          <w:p>
            <w:pPr>
              <w:jc w:val="left"/>
              <w:rPr>
                <w:rFonts w:ascii="Helvetica" w:hAnsi="Helvetica" w:cs="Helvetica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Helvetica" w:hAnsi="Helvetica" w:cs="Helvetica"/>
                <w:color w:val="000000"/>
                <w:kern w:val="0"/>
                <w:sz w:val="19"/>
                <w:szCs w:val="19"/>
                <w:lang w:bidi="ar"/>
              </w:rPr>
              <w:t>Sequencing information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9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TSHR-18-</w:t>
            </w:r>
            <w:r>
              <w:rPr>
                <w:rFonts w:hint="eastAsia" w:ascii="Helvetica" w:hAnsi="Helvetica" w:cs="Helvetica"/>
                <w:color w:val="000000"/>
                <w:kern w:val="0"/>
                <w:sz w:val="19"/>
                <w:szCs w:val="19"/>
                <w:lang w:bidi="ar"/>
              </w:rPr>
              <w:t>56</w:t>
            </w:r>
          </w:p>
        </w:tc>
        <w:tc>
          <w:tcPr>
            <w:tcW w:w="3700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CACGCATAACTTAGCGGGGGACTGCTCGGGATTGCGGATACGATGTGTTATGCGTG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9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TSHR-18-34</w:t>
            </w:r>
          </w:p>
        </w:tc>
        <w:tc>
          <w:tcPr>
            <w:tcW w:w="3700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TTAGCGGGGGACTGCTCGGGATTGCGGATACGAT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9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TSHR-18-24</w:t>
            </w:r>
          </w:p>
        </w:tc>
        <w:tc>
          <w:tcPr>
            <w:tcW w:w="3700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TTAGCGGGGGACTGCTCGGGATTG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9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TSHR-21-</w:t>
            </w:r>
            <w:r>
              <w:rPr>
                <w:rFonts w:hint="eastAsia" w:ascii="Helvetica" w:hAnsi="Helvetica" w:cs="Helvetica"/>
                <w:color w:val="000000"/>
                <w:kern w:val="0"/>
                <w:sz w:val="19"/>
                <w:szCs w:val="19"/>
                <w:lang w:bidi="ar"/>
              </w:rPr>
              <w:t>56</w:t>
            </w:r>
          </w:p>
        </w:tc>
        <w:tc>
          <w:tcPr>
            <w:tcW w:w="3700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CACGCATAACATTTCGGGGGACTGCTCGGGATTGCGGATACGATGTGTTATGCGTG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9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TSHR-21-34</w:t>
            </w:r>
          </w:p>
        </w:tc>
        <w:tc>
          <w:tcPr>
            <w:tcW w:w="3700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ATTTCGGGGGACTGCTCGGGATTGCGGATACGAT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9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TSHR-21-42</w:t>
            </w:r>
          </w:p>
        </w:tc>
        <w:tc>
          <w:tcPr>
            <w:tcW w:w="3700" w:type="pct"/>
            <w:vAlign w:val="center"/>
          </w:tcPr>
          <w:p>
            <w:pPr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AACATTTCGGGGGACTGCTCGGGATTGCGGATACGATGTGTT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9" w:type="pct"/>
            <w:vAlign w:val="center"/>
          </w:tcPr>
          <w:p>
            <w:pPr>
              <w:jc w:val="left"/>
              <w:rPr>
                <w:rFonts w:ascii="Helvetica" w:hAnsi="Helvetica" w:cs="Helvetica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Helvetica" w:hAnsi="Helvetica" w:cs="Helvetica"/>
                <w:color w:val="000000"/>
                <w:kern w:val="0"/>
                <w:sz w:val="19"/>
                <w:szCs w:val="19"/>
                <w:lang w:bidi="ar"/>
              </w:rPr>
              <w:t>Library</w:t>
            </w:r>
          </w:p>
        </w:tc>
        <w:tc>
          <w:tcPr>
            <w:tcW w:w="3700" w:type="pct"/>
            <w:vAlign w:val="center"/>
          </w:tcPr>
          <w:p>
            <w:pPr>
              <w:jc w:val="left"/>
              <w:rPr>
                <w:rFonts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Helvetica" w:hAnsi="Helvetica" w:eastAsia="Helvetica" w:cs="Helvetica"/>
                <w:color w:val="000000"/>
                <w:kern w:val="0"/>
                <w:sz w:val="19"/>
                <w:szCs w:val="19"/>
                <w:lang w:bidi="ar"/>
              </w:rPr>
              <w:t>AACNNNNNNNNNNNNNNNNNNNNNNNNNNNNNNNNNNGTGTT</w:t>
            </w:r>
          </w:p>
        </w:tc>
      </w:tr>
    </w:tbl>
    <w:p/>
    <w:p>
      <w:pPr>
        <w:rPr>
          <w:rFonts w:hint="default" w:ascii="Times New Roman" w:hAnsi="Times New Roman" w:cs="Times New Roman"/>
          <w:i w:val="0"/>
          <w:iCs w:val="0"/>
          <w:color w:val="3232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rFonts w:hint="default" w:ascii="Times New Roman" w:hAnsi="Times New Roman" w:cs="Times New Roman"/>
          <w:i w:val="0"/>
          <w:iCs w:val="0"/>
          <w:color w:val="323232"/>
        </w:rPr>
        <w:t xml:space="preserve">Supplementary </w:t>
      </w:r>
      <w:r>
        <w:rPr>
          <w:rFonts w:hint="eastAsia"/>
        </w:rPr>
        <w:t xml:space="preserve">Table 2 The basic clinical information of </w:t>
      </w:r>
      <w:r>
        <w:t xml:space="preserve">the </w:t>
      </w:r>
      <w:r>
        <w:rPr>
          <w:rFonts w:hint="eastAsia"/>
        </w:rPr>
        <w:t>sample</w:t>
      </w:r>
    </w:p>
    <w:tbl>
      <w:tblPr>
        <w:tblStyle w:val="3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819"/>
        <w:gridCol w:w="1620"/>
        <w:gridCol w:w="820"/>
        <w:gridCol w:w="820"/>
        <w:gridCol w:w="820"/>
        <w:gridCol w:w="820"/>
        <w:gridCol w:w="1659"/>
        <w:gridCol w:w="1563"/>
        <w:gridCol w:w="2695"/>
        <w:gridCol w:w="16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8" w:hRule="atLeast"/>
        </w:trPr>
        <w:tc>
          <w:tcPr>
            <w:tcW w:w="300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Number</w:t>
            </w:r>
          </w:p>
        </w:tc>
        <w:tc>
          <w:tcPr>
            <w:tcW w:w="289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</w:t>
            </w:r>
          </w:p>
        </w:tc>
        <w:tc>
          <w:tcPr>
            <w:tcW w:w="571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Data processing</w:t>
            </w:r>
          </w:p>
        </w:tc>
        <w:tc>
          <w:tcPr>
            <w:tcW w:w="289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Age</w:t>
            </w:r>
          </w:p>
        </w:tc>
        <w:tc>
          <w:tcPr>
            <w:tcW w:w="289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Gender</w:t>
            </w:r>
          </w:p>
        </w:tc>
        <w:tc>
          <w:tcPr>
            <w:tcW w:w="289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Race</w:t>
            </w:r>
          </w:p>
        </w:tc>
        <w:tc>
          <w:tcPr>
            <w:tcW w:w="289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CAS</w:t>
            </w:r>
          </w:p>
        </w:tc>
        <w:tc>
          <w:tcPr>
            <w:tcW w:w="585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Severity</w:t>
            </w:r>
          </w:p>
        </w:tc>
        <w:tc>
          <w:tcPr>
            <w:tcW w:w="551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Duration(month)</w:t>
            </w:r>
          </w:p>
        </w:tc>
        <w:tc>
          <w:tcPr>
            <w:tcW w:w="950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323232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323232"/>
                <w:kern w:val="0"/>
                <w:sz w:val="15"/>
                <w:szCs w:val="15"/>
                <w:u w:val="none"/>
                <w:lang w:val="en-US" w:eastAsia="zh-CN" w:bidi="ar"/>
              </w:rPr>
              <w:t>Autoimmune thyroid disorder</w:t>
            </w:r>
          </w:p>
        </w:tc>
        <w:tc>
          <w:tcPr>
            <w:tcW w:w="593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Glucocorticoid use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 vs TAO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 vs TAO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 vs TAO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 vs TAO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 vs TAO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 vs TAO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 vs TAO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 vs TAO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 vs TAO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aptamer vs antibody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aptamer vs antibody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aptamer vs antibody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55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sight-threatening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aptamer vs antibody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aptamer vs antibody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aptamer vs antibody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aptamer vs antibody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aptamer vs antibody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aptamer vs antibody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aptamer vs antibody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mild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sight-therating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moderate-to-severe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300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</w:t>
            </w:r>
          </w:p>
        </w:tc>
        <w:tc>
          <w:tcPr>
            <w:tcW w:w="289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TAO</w:t>
            </w:r>
          </w:p>
        </w:tc>
        <w:tc>
          <w:tcPr>
            <w:tcW w:w="57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Related with CAS</w:t>
            </w:r>
          </w:p>
        </w:tc>
        <w:tc>
          <w:tcPr>
            <w:tcW w:w="289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45</w:t>
            </w:r>
          </w:p>
        </w:tc>
        <w:tc>
          <w:tcPr>
            <w:tcW w:w="289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  <w:tc>
          <w:tcPr>
            <w:tcW w:w="289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Asian</w:t>
            </w:r>
          </w:p>
        </w:tc>
        <w:tc>
          <w:tcPr>
            <w:tcW w:w="289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mild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</w:t>
            </w:r>
          </w:p>
        </w:tc>
        <w:tc>
          <w:tcPr>
            <w:tcW w:w="950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Graves' disease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</w:p>
        </w:tc>
      </w:tr>
    </w:tbl>
    <w:p>
      <w:pPr>
        <w:jc w:val="center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12587999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2MzcyMDIxMDQ2MTdU0lEKTi0uzszPAykwrAUASW2N5SwAAAA="/>
    <w:docVar w:name="commondata" w:val="eyJoZGlkIjoiZDM0MzIyNTFjYzhjNzk5YmFmMjdlYWM4ZDMyNjRmNzkifQ=="/>
  </w:docVars>
  <w:rsids>
    <w:rsidRoot w:val="06F81852"/>
    <w:rsid w:val="0024031A"/>
    <w:rsid w:val="0097499B"/>
    <w:rsid w:val="06F81852"/>
    <w:rsid w:val="08604CB2"/>
    <w:rsid w:val="0E357177"/>
    <w:rsid w:val="0F0D13AE"/>
    <w:rsid w:val="1BCE1464"/>
    <w:rsid w:val="29780C39"/>
    <w:rsid w:val="2BC82546"/>
    <w:rsid w:val="34297EFF"/>
    <w:rsid w:val="41816442"/>
    <w:rsid w:val="438530C8"/>
    <w:rsid w:val="47263259"/>
    <w:rsid w:val="59722B3A"/>
    <w:rsid w:val="5D05538F"/>
    <w:rsid w:val="64C01D7E"/>
    <w:rsid w:val="66CF2882"/>
    <w:rsid w:val="67145A12"/>
    <w:rsid w:val="679F6490"/>
    <w:rsid w:val="6B332385"/>
    <w:rsid w:val="6CB92FD6"/>
    <w:rsid w:val="73314160"/>
    <w:rsid w:val="7420640E"/>
    <w:rsid w:val="7E4D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黑体"/>
      <w:bCs/>
      <w:kern w:val="2"/>
      <w:sz w:val="21"/>
      <w:szCs w:val="28"/>
      <w:lang w:val="en-US" w:eastAsia="zh-CN" w:bidi="ar-SA"/>
    </w:rPr>
  </w:style>
  <w:style w:type="character" w:default="1" w:styleId="5">
    <w:name w:val="Default Paragraph Font"/>
    <w:autoRedefine/>
    <w:semiHidden/>
    <w:unhideWhenUsed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320"/>
        <w:tab w:val="right" w:pos="8640"/>
      </w:tabs>
    </w:pPr>
  </w:style>
  <w:style w:type="table" w:styleId="4">
    <w:name w:val="Table Grid"/>
    <w:basedOn w:val="3"/>
    <w:autoRedefine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tiff"/><Relationship Id="rId12" Type="http://schemas.openxmlformats.org/officeDocument/2006/relationships/image" Target="media/image8.tiff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284</Words>
  <Characters>1623</Characters>
  <Lines>13</Lines>
  <Paragraphs>3</Paragraphs>
  <TotalTime>6</TotalTime>
  <ScaleCrop>false</ScaleCrop>
  <LinksUpToDate>false</LinksUpToDate>
  <CharactersWithSpaces>1904</CharactersWithSpaces>
  <Application>WPS Office_12.1.0.16364_F1E327BC-269C-435d-A152-05C5408002CA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2023-07-19T12:53:00Z</dcterms:created>
  <dc:creator>曹家敏</dc:creator>
  <cp:lastModifiedBy>曹家敏</cp:lastModifiedBy>
  <dcterms:modified xsi:type="dcterms:W3CDTF">2024-02-27T09:48:47Z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2052-12.1.0.16364</vt:lpwstr>
  </property>
  <property fmtid="{D5CDD505-2E9C-101B-9397-08002B2CF9AE}" pid="3" name="ICV">
    <vt:lpwstr>1D143DB48511481787B902019BD724B8_11</vt:lpwstr>
  </property>
</Properties>
</file>