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7A4E" w14:textId="23B40367" w:rsidR="00F342EF" w:rsidRPr="00F342EF" w:rsidRDefault="00F342EF" w:rsidP="00F342EF">
      <w:pPr>
        <w:spacing w:line="276" w:lineRule="auto"/>
        <w:jc w:val="both"/>
        <w:rPr>
          <w:rFonts w:asciiTheme="majorBidi" w:hAnsiTheme="majorBidi" w:cstheme="majorBidi"/>
          <w:sz w:val="24"/>
          <w:szCs w:val="24"/>
        </w:rPr>
      </w:pPr>
      <w:r w:rsidRPr="005C6AF7">
        <w:rPr>
          <w:rFonts w:asciiTheme="majorBidi" w:hAnsiTheme="majorBidi" w:cstheme="majorBidi"/>
          <w:sz w:val="24"/>
          <w:szCs w:val="24"/>
        </w:rPr>
        <w:t xml:space="preserve">Table </w:t>
      </w:r>
      <w:r w:rsidR="00B84357" w:rsidRPr="005C6AF7">
        <w:rPr>
          <w:rFonts w:asciiTheme="majorBidi" w:hAnsiTheme="majorBidi" w:cstheme="majorBidi"/>
          <w:sz w:val="24"/>
          <w:szCs w:val="24"/>
        </w:rPr>
        <w:t>S1:</w:t>
      </w:r>
      <w:r w:rsidRPr="005C6AF7">
        <w:rPr>
          <w:rFonts w:asciiTheme="majorBidi" w:hAnsiTheme="majorBidi" w:cstheme="majorBidi"/>
          <w:sz w:val="24"/>
          <w:szCs w:val="24"/>
        </w:rPr>
        <w:t xml:space="preserve"> </w:t>
      </w:r>
      <w:r w:rsidRPr="005C6AF7">
        <w:rPr>
          <w:rFonts w:asciiTheme="majorBidi" w:hAnsiTheme="majorBidi" w:cstheme="majorBidi"/>
          <w:b/>
          <w:bCs/>
          <w:sz w:val="24"/>
          <w:szCs w:val="24"/>
        </w:rPr>
        <w:t xml:space="preserve">Literature </w:t>
      </w:r>
      <w:r w:rsidRPr="00373C7B">
        <w:rPr>
          <w:rFonts w:asciiTheme="majorBidi" w:hAnsiTheme="majorBidi" w:cstheme="majorBidi"/>
          <w:b/>
          <w:bCs/>
          <w:sz w:val="24"/>
          <w:szCs w:val="24"/>
        </w:rPr>
        <w:t>Review</w:t>
      </w:r>
    </w:p>
    <w:tbl>
      <w:tblPr>
        <w:tblStyle w:val="TableGrid"/>
        <w:tblpPr w:leftFromText="180" w:rightFromText="180" w:vertAnchor="text" w:tblpY="133"/>
        <w:tblW w:w="13036" w:type="dxa"/>
        <w:shd w:val="clear" w:color="auto" w:fill="BFBFBF" w:themeFill="background1" w:themeFillShade="BF"/>
        <w:tblLayout w:type="fixed"/>
        <w:tblLook w:val="04A0" w:firstRow="1" w:lastRow="0" w:firstColumn="1" w:lastColumn="0" w:noHBand="0" w:noVBand="1"/>
      </w:tblPr>
      <w:tblGrid>
        <w:gridCol w:w="562"/>
        <w:gridCol w:w="1134"/>
        <w:gridCol w:w="1985"/>
        <w:gridCol w:w="2693"/>
        <w:gridCol w:w="1271"/>
        <w:gridCol w:w="5391"/>
      </w:tblGrid>
      <w:tr w:rsidR="00F342EF" w:rsidRPr="00373C7B" w14:paraId="0377F047" w14:textId="77777777" w:rsidTr="002C4DF7">
        <w:trPr>
          <w:trHeight w:val="348"/>
        </w:trPr>
        <w:tc>
          <w:tcPr>
            <w:tcW w:w="562" w:type="dxa"/>
            <w:shd w:val="clear" w:color="auto" w:fill="C5E0B3" w:themeFill="accent6" w:themeFillTint="66"/>
            <w:vAlign w:val="center"/>
          </w:tcPr>
          <w:p w14:paraId="655BE7A3" w14:textId="77777777" w:rsidR="00F342EF" w:rsidRPr="00373C7B" w:rsidRDefault="00F342EF" w:rsidP="002C4DF7">
            <w:pPr>
              <w:jc w:val="center"/>
              <w:rPr>
                <w:rFonts w:asciiTheme="majorBidi" w:hAnsiTheme="majorBidi" w:cstheme="majorBidi"/>
                <w:b/>
                <w:bCs/>
                <w:sz w:val="24"/>
                <w:szCs w:val="24"/>
              </w:rPr>
            </w:pPr>
            <w:r w:rsidRPr="00373C7B">
              <w:rPr>
                <w:rFonts w:asciiTheme="majorBidi" w:hAnsiTheme="majorBidi" w:cstheme="majorBidi"/>
                <w:b/>
                <w:bCs/>
                <w:sz w:val="24"/>
                <w:szCs w:val="24"/>
              </w:rPr>
              <w:t>#</w:t>
            </w:r>
          </w:p>
        </w:tc>
        <w:tc>
          <w:tcPr>
            <w:tcW w:w="1134" w:type="dxa"/>
            <w:shd w:val="clear" w:color="auto" w:fill="C5E0B3" w:themeFill="accent6" w:themeFillTint="66"/>
            <w:vAlign w:val="center"/>
          </w:tcPr>
          <w:p w14:paraId="11D2483C" w14:textId="77777777" w:rsidR="00F342EF" w:rsidRPr="00373C7B" w:rsidRDefault="00F342EF" w:rsidP="002C4DF7">
            <w:pPr>
              <w:jc w:val="center"/>
              <w:rPr>
                <w:rFonts w:asciiTheme="majorBidi" w:hAnsiTheme="majorBidi" w:cstheme="majorBidi"/>
                <w:b/>
                <w:bCs/>
                <w:sz w:val="24"/>
                <w:szCs w:val="24"/>
              </w:rPr>
            </w:pPr>
            <w:r w:rsidRPr="00373C7B">
              <w:rPr>
                <w:rFonts w:asciiTheme="majorBidi" w:hAnsiTheme="majorBidi" w:cstheme="majorBidi"/>
                <w:b/>
                <w:bCs/>
                <w:sz w:val="24"/>
                <w:szCs w:val="24"/>
              </w:rPr>
              <w:t>Authors</w:t>
            </w:r>
          </w:p>
        </w:tc>
        <w:tc>
          <w:tcPr>
            <w:tcW w:w="1985" w:type="dxa"/>
            <w:shd w:val="clear" w:color="auto" w:fill="C5E0B3" w:themeFill="accent6" w:themeFillTint="66"/>
            <w:vAlign w:val="center"/>
          </w:tcPr>
          <w:p w14:paraId="4B29EE7A" w14:textId="77777777" w:rsidR="00F342EF" w:rsidRPr="00373C7B" w:rsidRDefault="00F342EF" w:rsidP="002C4DF7">
            <w:pPr>
              <w:jc w:val="center"/>
              <w:rPr>
                <w:rFonts w:asciiTheme="majorBidi" w:hAnsiTheme="majorBidi" w:cstheme="majorBidi"/>
                <w:b/>
                <w:bCs/>
                <w:sz w:val="24"/>
                <w:szCs w:val="24"/>
              </w:rPr>
            </w:pPr>
            <w:r w:rsidRPr="00373C7B">
              <w:rPr>
                <w:rFonts w:asciiTheme="majorBidi" w:hAnsiTheme="majorBidi" w:cstheme="majorBidi"/>
                <w:b/>
                <w:bCs/>
                <w:sz w:val="24"/>
                <w:szCs w:val="24"/>
              </w:rPr>
              <w:t>Title</w:t>
            </w:r>
          </w:p>
        </w:tc>
        <w:tc>
          <w:tcPr>
            <w:tcW w:w="2693" w:type="dxa"/>
            <w:shd w:val="clear" w:color="auto" w:fill="C5E0B3" w:themeFill="accent6" w:themeFillTint="66"/>
            <w:vAlign w:val="center"/>
          </w:tcPr>
          <w:p w14:paraId="22AE9F81" w14:textId="77777777" w:rsidR="00F342EF" w:rsidRPr="00373C7B" w:rsidRDefault="00F342EF" w:rsidP="002C4DF7">
            <w:pPr>
              <w:jc w:val="center"/>
              <w:rPr>
                <w:rFonts w:asciiTheme="majorBidi" w:hAnsiTheme="majorBidi" w:cstheme="majorBidi"/>
                <w:b/>
                <w:bCs/>
                <w:sz w:val="24"/>
                <w:szCs w:val="24"/>
              </w:rPr>
            </w:pPr>
            <w:r w:rsidRPr="00373C7B">
              <w:rPr>
                <w:rFonts w:asciiTheme="majorBidi" w:hAnsiTheme="majorBidi" w:cstheme="majorBidi"/>
                <w:b/>
                <w:bCs/>
                <w:sz w:val="24"/>
                <w:szCs w:val="24"/>
              </w:rPr>
              <w:t>Design and Aim</w:t>
            </w:r>
          </w:p>
        </w:tc>
        <w:tc>
          <w:tcPr>
            <w:tcW w:w="1271" w:type="dxa"/>
            <w:shd w:val="clear" w:color="auto" w:fill="C5E0B3" w:themeFill="accent6" w:themeFillTint="66"/>
            <w:vAlign w:val="center"/>
          </w:tcPr>
          <w:p w14:paraId="2029E1E5" w14:textId="77777777" w:rsidR="00F342EF" w:rsidRPr="00373C7B" w:rsidRDefault="00F342EF" w:rsidP="002C4DF7">
            <w:pPr>
              <w:jc w:val="center"/>
              <w:rPr>
                <w:rFonts w:asciiTheme="majorBidi" w:hAnsiTheme="majorBidi" w:cstheme="majorBidi"/>
                <w:b/>
                <w:bCs/>
                <w:sz w:val="24"/>
                <w:szCs w:val="24"/>
              </w:rPr>
            </w:pPr>
            <w:r w:rsidRPr="00373C7B">
              <w:rPr>
                <w:rFonts w:asciiTheme="majorBidi" w:hAnsiTheme="majorBidi" w:cstheme="majorBidi"/>
                <w:b/>
                <w:bCs/>
                <w:sz w:val="24"/>
                <w:szCs w:val="24"/>
              </w:rPr>
              <w:t>Industry</w:t>
            </w:r>
          </w:p>
        </w:tc>
        <w:tc>
          <w:tcPr>
            <w:tcW w:w="5391" w:type="dxa"/>
            <w:shd w:val="clear" w:color="auto" w:fill="C5E0B3" w:themeFill="accent6" w:themeFillTint="66"/>
            <w:vAlign w:val="center"/>
          </w:tcPr>
          <w:p w14:paraId="01CBD35B" w14:textId="77777777" w:rsidR="00F342EF" w:rsidRPr="00373C7B" w:rsidRDefault="00F342EF" w:rsidP="002C4DF7">
            <w:pPr>
              <w:ind w:right="1199"/>
              <w:jc w:val="center"/>
              <w:rPr>
                <w:rFonts w:asciiTheme="majorBidi" w:hAnsiTheme="majorBidi" w:cstheme="majorBidi"/>
                <w:b/>
                <w:bCs/>
                <w:sz w:val="24"/>
                <w:szCs w:val="24"/>
              </w:rPr>
            </w:pPr>
            <w:r w:rsidRPr="00373C7B">
              <w:rPr>
                <w:rFonts w:asciiTheme="majorBidi" w:hAnsiTheme="majorBidi" w:cstheme="majorBidi"/>
                <w:b/>
                <w:bCs/>
                <w:sz w:val="24"/>
                <w:szCs w:val="24"/>
              </w:rPr>
              <w:t>Summary / conclusion</w:t>
            </w:r>
          </w:p>
        </w:tc>
      </w:tr>
      <w:tr w:rsidR="00F342EF" w:rsidRPr="00373C7B" w14:paraId="5E3BB63F" w14:textId="77777777" w:rsidTr="002C4DF7">
        <w:trPr>
          <w:trHeight w:val="1170"/>
        </w:trPr>
        <w:tc>
          <w:tcPr>
            <w:tcW w:w="562" w:type="dxa"/>
            <w:shd w:val="clear" w:color="auto" w:fill="FFFFFF" w:themeFill="background1"/>
            <w:vAlign w:val="center"/>
          </w:tcPr>
          <w:p w14:paraId="2B497956"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1</w:t>
            </w:r>
          </w:p>
        </w:tc>
        <w:tc>
          <w:tcPr>
            <w:tcW w:w="1134" w:type="dxa"/>
            <w:shd w:val="clear" w:color="auto" w:fill="FFFFFF" w:themeFill="background1"/>
            <w:vAlign w:val="center"/>
          </w:tcPr>
          <w:p w14:paraId="3CC0A2C9"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 xml:space="preserve">Joshi, Sangeeta M., et al. </w:t>
            </w:r>
          </w:p>
          <w:p w14:paraId="4531DFB5" w14:textId="7F1D64B0"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2016</w:t>
            </w:r>
            <w:r w:rsidR="00F64754">
              <w:rPr>
                <w:rFonts w:asciiTheme="majorBidi" w:hAnsiTheme="majorBidi" w:cstheme="majorBidi"/>
                <w:sz w:val="24"/>
                <w:szCs w:val="24"/>
              </w:rPr>
              <w:t xml:space="preserve"> </w:t>
            </w:r>
            <w:r w:rsidR="00F64754" w:rsidRPr="00F64754">
              <w:rPr>
                <w:rFonts w:asciiTheme="majorBidi" w:hAnsiTheme="majorBidi" w:cstheme="majorBidi"/>
                <w:sz w:val="24"/>
                <w:szCs w:val="24"/>
                <w:vertAlign w:val="superscript"/>
              </w:rPr>
              <w:t>45</w:t>
            </w:r>
          </w:p>
          <w:p w14:paraId="25600D74" w14:textId="644ECCA8" w:rsidR="00F342EF" w:rsidRPr="00373C7B" w:rsidRDefault="00F342EF" w:rsidP="002C4DF7">
            <w:pPr>
              <w:rPr>
                <w:rFonts w:asciiTheme="majorBidi" w:hAnsiTheme="majorBidi" w:cstheme="majorBidi"/>
                <w:sz w:val="24"/>
                <w:szCs w:val="24"/>
              </w:rPr>
            </w:pPr>
          </w:p>
        </w:tc>
        <w:tc>
          <w:tcPr>
            <w:tcW w:w="1985" w:type="dxa"/>
            <w:shd w:val="clear" w:color="auto" w:fill="FFFFFF" w:themeFill="background1"/>
            <w:vAlign w:val="center"/>
          </w:tcPr>
          <w:p w14:paraId="70F0E7CA"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Developing Key Performance Indicators framework for evaluating performance of engineering faculty</w:t>
            </w:r>
          </w:p>
        </w:tc>
        <w:tc>
          <w:tcPr>
            <w:tcW w:w="2693" w:type="dxa"/>
            <w:shd w:val="clear" w:color="auto" w:fill="FFFFFF" w:themeFill="background1"/>
            <w:vAlign w:val="center"/>
          </w:tcPr>
          <w:p w14:paraId="64F9299D"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Literature review to Categorize performance indicators into broad areas and to identify key performance indicators (KPIs) for evaluating performance of faculty</w:t>
            </w:r>
          </w:p>
        </w:tc>
        <w:tc>
          <w:tcPr>
            <w:tcW w:w="1271" w:type="dxa"/>
            <w:shd w:val="clear" w:color="auto" w:fill="FFFFFF" w:themeFill="background1"/>
            <w:vAlign w:val="center"/>
          </w:tcPr>
          <w:p w14:paraId="45BE6857"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Engineering   Higher Education</w:t>
            </w:r>
          </w:p>
        </w:tc>
        <w:tc>
          <w:tcPr>
            <w:tcW w:w="5391" w:type="dxa"/>
            <w:shd w:val="clear" w:color="auto" w:fill="FFFFFF" w:themeFill="background1"/>
            <w:vAlign w:val="center"/>
          </w:tcPr>
          <w:p w14:paraId="34B5B88F" w14:textId="77777777" w:rsidR="00F342EF" w:rsidRPr="00373C7B" w:rsidRDefault="00F342EF" w:rsidP="002C4DF7">
            <w:pPr>
              <w:pStyle w:val="ListParagraph"/>
              <w:numPr>
                <w:ilvl w:val="0"/>
                <w:numId w:val="1"/>
              </w:numPr>
              <w:ind w:left="67" w:hanging="113"/>
              <w:jc w:val="both"/>
              <w:rPr>
                <w:rFonts w:asciiTheme="majorBidi" w:hAnsiTheme="majorBidi" w:cstheme="majorBidi"/>
                <w:sz w:val="24"/>
                <w:szCs w:val="24"/>
              </w:rPr>
            </w:pPr>
            <w:r w:rsidRPr="00373C7B">
              <w:rPr>
                <w:rFonts w:asciiTheme="majorBidi" w:hAnsiTheme="majorBidi" w:cstheme="majorBidi"/>
                <w:sz w:val="24"/>
                <w:szCs w:val="24"/>
              </w:rPr>
              <w:t>Faculties have a huge task of taking each student as an individual entity as finalizing on the result. Therefore, KPI for faculties are to be considered very minutely and all-round inclusions need to be done.</w:t>
            </w:r>
          </w:p>
          <w:p w14:paraId="3A760F74" w14:textId="77777777" w:rsidR="00F342EF" w:rsidRPr="00373C7B" w:rsidRDefault="00F342EF" w:rsidP="002C4DF7">
            <w:pPr>
              <w:pStyle w:val="ListParagraph"/>
              <w:numPr>
                <w:ilvl w:val="0"/>
                <w:numId w:val="1"/>
              </w:numPr>
              <w:ind w:left="67" w:hanging="113"/>
              <w:jc w:val="both"/>
              <w:rPr>
                <w:rFonts w:asciiTheme="majorBidi" w:hAnsiTheme="majorBidi" w:cstheme="majorBidi"/>
                <w:sz w:val="24"/>
                <w:szCs w:val="24"/>
              </w:rPr>
            </w:pPr>
            <w:r w:rsidRPr="00373C7B">
              <w:rPr>
                <w:rFonts w:asciiTheme="majorBidi" w:hAnsiTheme="majorBidi" w:cstheme="majorBidi"/>
                <w:sz w:val="24"/>
                <w:szCs w:val="24"/>
              </w:rPr>
              <w:t>Develop a framework for KPIs taking into consideration development of students, faculty, and Institution.</w:t>
            </w:r>
          </w:p>
        </w:tc>
      </w:tr>
      <w:tr w:rsidR="00F342EF" w:rsidRPr="00373C7B" w14:paraId="7CA6C174" w14:textId="77777777" w:rsidTr="002C4DF7">
        <w:trPr>
          <w:trHeight w:val="1683"/>
        </w:trPr>
        <w:tc>
          <w:tcPr>
            <w:tcW w:w="562" w:type="dxa"/>
            <w:shd w:val="clear" w:color="auto" w:fill="FFFFFF" w:themeFill="background1"/>
            <w:vAlign w:val="center"/>
          </w:tcPr>
          <w:p w14:paraId="33CB7850"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2</w:t>
            </w:r>
          </w:p>
        </w:tc>
        <w:tc>
          <w:tcPr>
            <w:tcW w:w="1134" w:type="dxa"/>
            <w:shd w:val="clear" w:color="auto" w:fill="FFFFFF" w:themeFill="background1"/>
            <w:vAlign w:val="center"/>
          </w:tcPr>
          <w:p w14:paraId="1FD35E58"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Khashab, B., et al</w:t>
            </w:r>
          </w:p>
          <w:p w14:paraId="7A46C168" w14:textId="46379F2B" w:rsidR="00F342EF" w:rsidRPr="00373C7B" w:rsidRDefault="00F342EF" w:rsidP="005F064B">
            <w:pPr>
              <w:rPr>
                <w:rFonts w:asciiTheme="majorBidi" w:hAnsiTheme="majorBidi" w:cstheme="majorBidi"/>
                <w:sz w:val="24"/>
                <w:szCs w:val="24"/>
              </w:rPr>
            </w:pPr>
            <w:r w:rsidRPr="00373C7B">
              <w:rPr>
                <w:rFonts w:asciiTheme="majorBidi" w:hAnsiTheme="majorBidi" w:cstheme="majorBidi"/>
                <w:sz w:val="24"/>
                <w:szCs w:val="24"/>
              </w:rPr>
              <w:t>2022</w:t>
            </w:r>
            <w:r w:rsidR="005F064B">
              <w:rPr>
                <w:rFonts w:asciiTheme="majorBidi" w:hAnsiTheme="majorBidi" w:cstheme="majorBidi"/>
                <w:sz w:val="24"/>
                <w:szCs w:val="24"/>
              </w:rPr>
              <w:t xml:space="preserve"> </w:t>
            </w:r>
            <w:r w:rsidR="005F064B" w:rsidRPr="005F064B">
              <w:rPr>
                <w:rFonts w:asciiTheme="majorBidi" w:hAnsiTheme="majorBidi" w:cstheme="majorBidi"/>
                <w:sz w:val="24"/>
                <w:szCs w:val="24"/>
                <w:vertAlign w:val="superscript"/>
              </w:rPr>
              <w:t>62</w:t>
            </w:r>
          </w:p>
          <w:p w14:paraId="0776A14E" w14:textId="77777777" w:rsidR="00F342EF" w:rsidRPr="00373C7B" w:rsidRDefault="00F342EF" w:rsidP="002C4DF7">
            <w:pPr>
              <w:rPr>
                <w:rFonts w:asciiTheme="majorBidi" w:hAnsiTheme="majorBidi" w:cstheme="majorBidi"/>
                <w:sz w:val="24"/>
                <w:szCs w:val="24"/>
              </w:rPr>
            </w:pPr>
          </w:p>
          <w:p w14:paraId="6D16DDD0" w14:textId="77777777" w:rsidR="00F342EF" w:rsidRPr="00373C7B" w:rsidRDefault="00F342EF" w:rsidP="002C4DF7">
            <w:pPr>
              <w:rPr>
                <w:rFonts w:asciiTheme="majorBidi" w:hAnsiTheme="majorBidi" w:cstheme="majorBidi"/>
                <w:sz w:val="24"/>
                <w:szCs w:val="24"/>
              </w:rPr>
            </w:pPr>
          </w:p>
        </w:tc>
        <w:tc>
          <w:tcPr>
            <w:tcW w:w="1985" w:type="dxa"/>
            <w:shd w:val="clear" w:color="auto" w:fill="FFFFFF" w:themeFill="background1"/>
            <w:vAlign w:val="center"/>
          </w:tcPr>
          <w:p w14:paraId="21486269"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Analyzing enterprise resources for developing CRM framework in higher education institutions</w:t>
            </w:r>
          </w:p>
        </w:tc>
        <w:tc>
          <w:tcPr>
            <w:tcW w:w="2693" w:type="dxa"/>
            <w:shd w:val="clear" w:color="auto" w:fill="FFFFFF" w:themeFill="background1"/>
            <w:vAlign w:val="center"/>
          </w:tcPr>
          <w:p w14:paraId="70F414B5"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 xml:space="preserve">Semi-structured interviews and focus group sessions, to ensure that strategic Higher Education Institutions (HEI), Customer Relationship Management (CRM) desires, </w:t>
            </w:r>
            <w:proofErr w:type="gramStart"/>
            <w:r w:rsidRPr="00373C7B">
              <w:rPr>
                <w:rFonts w:asciiTheme="majorBidi" w:hAnsiTheme="majorBidi" w:cstheme="majorBidi"/>
                <w:sz w:val="24"/>
                <w:szCs w:val="24"/>
              </w:rPr>
              <w:t>expectation</w:t>
            </w:r>
            <w:proofErr w:type="gramEnd"/>
            <w:r w:rsidRPr="00373C7B">
              <w:rPr>
                <w:rFonts w:asciiTheme="majorBidi" w:hAnsiTheme="majorBidi" w:cstheme="majorBidi"/>
                <w:sz w:val="24"/>
                <w:szCs w:val="24"/>
              </w:rPr>
              <w:t xml:space="preserve"> and needs (DEN) are effectively captured, and that the requirements are appropriately mapped to existing activities</w:t>
            </w:r>
          </w:p>
        </w:tc>
        <w:tc>
          <w:tcPr>
            <w:tcW w:w="1271" w:type="dxa"/>
            <w:shd w:val="clear" w:color="auto" w:fill="FFFFFF" w:themeFill="background1"/>
            <w:vAlign w:val="center"/>
          </w:tcPr>
          <w:p w14:paraId="5ECB574B"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Higher Education Institutions (HEI)</w:t>
            </w:r>
          </w:p>
        </w:tc>
        <w:tc>
          <w:tcPr>
            <w:tcW w:w="5391" w:type="dxa"/>
            <w:shd w:val="clear" w:color="auto" w:fill="FFFFFF" w:themeFill="background1"/>
            <w:vAlign w:val="center"/>
          </w:tcPr>
          <w:p w14:paraId="39E0B5AF"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 xml:space="preserve">It is critical that HEIs implement Customer Relationship Management (CRM) solutions that align with their top-down business strategy. </w:t>
            </w:r>
            <w:r w:rsidRPr="00373C7B">
              <w:rPr>
                <w:rFonts w:asciiTheme="majorBidi" w:hAnsiTheme="majorBidi" w:cstheme="majorBidi"/>
                <w:color w:val="000000"/>
                <w:sz w:val="24"/>
                <w:szCs w:val="24"/>
              </w:rPr>
              <w:t xml:space="preserve"> </w:t>
            </w:r>
            <w:r w:rsidRPr="00373C7B">
              <w:rPr>
                <w:rFonts w:asciiTheme="majorBidi" w:hAnsiTheme="majorBidi" w:cstheme="majorBidi"/>
                <w:sz w:val="24"/>
                <w:szCs w:val="24"/>
              </w:rPr>
              <w:t>Method for CRM components mapping. Understanding existing processes, and finding agreement on a shared process, is key for CRM success.  Disconnected processes rarely result in seamless cross-functional processes; instead causing inconsistent and poor customer process experience</w:t>
            </w:r>
          </w:p>
        </w:tc>
      </w:tr>
      <w:tr w:rsidR="00F342EF" w:rsidRPr="00373C7B" w14:paraId="754B3DAE" w14:textId="77777777" w:rsidTr="002C4DF7">
        <w:trPr>
          <w:trHeight w:val="2219"/>
        </w:trPr>
        <w:tc>
          <w:tcPr>
            <w:tcW w:w="562" w:type="dxa"/>
            <w:shd w:val="clear" w:color="auto" w:fill="FFFFFF" w:themeFill="background1"/>
            <w:vAlign w:val="center"/>
          </w:tcPr>
          <w:p w14:paraId="245878E7"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3</w:t>
            </w:r>
          </w:p>
        </w:tc>
        <w:tc>
          <w:tcPr>
            <w:tcW w:w="1134" w:type="dxa"/>
            <w:shd w:val="clear" w:color="auto" w:fill="FFFFFF" w:themeFill="background1"/>
            <w:vAlign w:val="center"/>
          </w:tcPr>
          <w:p w14:paraId="7122EFD6"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Arora, Amishi, and Sukhbir Kaur.</w:t>
            </w:r>
          </w:p>
          <w:p w14:paraId="178FF0C6" w14:textId="35BCE399" w:rsidR="00F342EF" w:rsidRPr="00813D99" w:rsidRDefault="00F342EF" w:rsidP="00813D99">
            <w:pPr>
              <w:rPr>
                <w:rFonts w:asciiTheme="majorBidi" w:hAnsiTheme="majorBidi" w:cstheme="majorBidi"/>
                <w:sz w:val="24"/>
                <w:szCs w:val="24"/>
                <w:vertAlign w:val="superscript"/>
              </w:rPr>
            </w:pPr>
            <w:r w:rsidRPr="00373C7B">
              <w:rPr>
                <w:rFonts w:asciiTheme="majorBidi" w:hAnsiTheme="majorBidi" w:cstheme="majorBidi"/>
                <w:sz w:val="24"/>
                <w:szCs w:val="24"/>
              </w:rPr>
              <w:t>2015</w:t>
            </w:r>
            <w:r w:rsidR="00813D99">
              <w:rPr>
                <w:rFonts w:asciiTheme="majorBidi" w:hAnsiTheme="majorBidi" w:cstheme="majorBidi"/>
                <w:sz w:val="24"/>
                <w:szCs w:val="24"/>
              </w:rPr>
              <w:t xml:space="preserve"> </w:t>
            </w:r>
            <w:r w:rsidR="00813D99" w:rsidRPr="00813D99">
              <w:rPr>
                <w:rFonts w:asciiTheme="majorBidi" w:hAnsiTheme="majorBidi" w:cstheme="majorBidi"/>
                <w:sz w:val="24"/>
                <w:szCs w:val="24"/>
                <w:vertAlign w:val="superscript"/>
              </w:rPr>
              <w:t>41</w:t>
            </w:r>
          </w:p>
          <w:p w14:paraId="0814A404" w14:textId="77777777" w:rsidR="00F342EF" w:rsidRPr="00373C7B" w:rsidRDefault="00F342EF" w:rsidP="002C4DF7">
            <w:pPr>
              <w:rPr>
                <w:rFonts w:asciiTheme="majorBidi" w:hAnsiTheme="majorBidi" w:cstheme="majorBidi"/>
                <w:sz w:val="24"/>
                <w:szCs w:val="24"/>
              </w:rPr>
            </w:pPr>
          </w:p>
          <w:p w14:paraId="1AE4D6E4" w14:textId="77777777" w:rsidR="00F342EF" w:rsidRPr="00373C7B" w:rsidRDefault="00F342EF" w:rsidP="002C4DF7">
            <w:pPr>
              <w:rPr>
                <w:rFonts w:asciiTheme="majorBidi" w:hAnsiTheme="majorBidi" w:cstheme="majorBidi"/>
                <w:sz w:val="24"/>
                <w:szCs w:val="24"/>
              </w:rPr>
            </w:pPr>
          </w:p>
          <w:p w14:paraId="5814AD76" w14:textId="77777777" w:rsidR="00F342EF" w:rsidRPr="00373C7B" w:rsidRDefault="00F342EF" w:rsidP="002C4DF7">
            <w:pPr>
              <w:rPr>
                <w:rFonts w:asciiTheme="majorBidi" w:hAnsiTheme="majorBidi" w:cstheme="majorBidi"/>
                <w:sz w:val="24"/>
                <w:szCs w:val="24"/>
              </w:rPr>
            </w:pPr>
          </w:p>
        </w:tc>
        <w:tc>
          <w:tcPr>
            <w:tcW w:w="1985" w:type="dxa"/>
            <w:shd w:val="clear" w:color="auto" w:fill="FFFFFF" w:themeFill="background1"/>
            <w:vAlign w:val="center"/>
          </w:tcPr>
          <w:p w14:paraId="2C4F7065"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lastRenderedPageBreak/>
              <w:t>Performance Assessment Model for Management Educators Based on KRA/KPI</w:t>
            </w:r>
          </w:p>
        </w:tc>
        <w:tc>
          <w:tcPr>
            <w:tcW w:w="2693" w:type="dxa"/>
            <w:shd w:val="clear" w:color="auto" w:fill="FFFFFF" w:themeFill="background1"/>
            <w:vAlign w:val="center"/>
          </w:tcPr>
          <w:p w14:paraId="7E979513"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 conceptual survey-based study, to understand the Key Performance indicators (KPI) for the teachers in management education.</w:t>
            </w:r>
          </w:p>
          <w:p w14:paraId="183EF78F" w14:textId="77777777" w:rsidR="00F342EF" w:rsidRPr="00373C7B" w:rsidRDefault="00F342EF" w:rsidP="002C4DF7">
            <w:pPr>
              <w:jc w:val="both"/>
              <w:rPr>
                <w:rFonts w:asciiTheme="majorBidi" w:hAnsiTheme="majorBidi" w:cstheme="majorBidi"/>
                <w:sz w:val="24"/>
                <w:szCs w:val="24"/>
              </w:rPr>
            </w:pPr>
            <w:proofErr w:type="gramStart"/>
            <w:r w:rsidRPr="00373C7B">
              <w:rPr>
                <w:rFonts w:asciiTheme="majorBidi" w:hAnsiTheme="majorBidi" w:cstheme="majorBidi"/>
                <w:sz w:val="24"/>
                <w:szCs w:val="24"/>
              </w:rPr>
              <w:t>and also</w:t>
            </w:r>
            <w:proofErr w:type="gramEnd"/>
            <w:r w:rsidRPr="00373C7B">
              <w:rPr>
                <w:rFonts w:asciiTheme="majorBidi" w:hAnsiTheme="majorBidi" w:cstheme="majorBidi"/>
                <w:sz w:val="24"/>
                <w:szCs w:val="24"/>
              </w:rPr>
              <w:t xml:space="preserve">, to understand how the same can be </w:t>
            </w:r>
            <w:r w:rsidRPr="00373C7B">
              <w:rPr>
                <w:rFonts w:asciiTheme="majorBidi" w:hAnsiTheme="majorBidi" w:cstheme="majorBidi"/>
                <w:sz w:val="24"/>
                <w:szCs w:val="24"/>
              </w:rPr>
              <w:lastRenderedPageBreak/>
              <w:t>incorporated in the Annual Performance Analysis format</w:t>
            </w:r>
          </w:p>
        </w:tc>
        <w:tc>
          <w:tcPr>
            <w:tcW w:w="1271" w:type="dxa"/>
            <w:shd w:val="clear" w:color="auto" w:fill="FFFFFF" w:themeFill="background1"/>
            <w:vAlign w:val="center"/>
          </w:tcPr>
          <w:p w14:paraId="42ABF3F4"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lastRenderedPageBreak/>
              <w:t>Higher Education, Management</w:t>
            </w:r>
          </w:p>
        </w:tc>
        <w:tc>
          <w:tcPr>
            <w:tcW w:w="5391" w:type="dxa"/>
            <w:shd w:val="clear" w:color="auto" w:fill="FFFFFF" w:themeFill="background1"/>
            <w:vAlign w:val="center"/>
          </w:tcPr>
          <w:tbl>
            <w:tblPr>
              <w:tblStyle w:val="PlainTable2"/>
              <w:tblW w:w="5278" w:type="dxa"/>
              <w:tblBorders>
                <w:insideH w:val="single" w:sz="4" w:space="0" w:color="7F7F7F" w:themeColor="text1" w:themeTint="80"/>
                <w:insideV w:val="single" w:sz="4" w:space="0" w:color="auto"/>
              </w:tblBorders>
              <w:tblLayout w:type="fixed"/>
              <w:tblLook w:val="04A0" w:firstRow="1" w:lastRow="0" w:firstColumn="1" w:lastColumn="0" w:noHBand="0" w:noVBand="1"/>
            </w:tblPr>
            <w:tblGrid>
              <w:gridCol w:w="2868"/>
              <w:gridCol w:w="2410"/>
            </w:tblGrid>
            <w:tr w:rsidR="00F342EF" w:rsidRPr="00373C7B" w14:paraId="3D2F1166" w14:textId="77777777" w:rsidTr="002C4D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Borders>
                    <w:bottom w:val="none" w:sz="0" w:space="0" w:color="auto"/>
                  </w:tcBorders>
                </w:tcPr>
                <w:p w14:paraId="59BAAAA9" w14:textId="77777777" w:rsidR="00F342EF" w:rsidRPr="00373C7B" w:rsidRDefault="00F342EF" w:rsidP="00BB3D4C">
                  <w:pPr>
                    <w:framePr w:hSpace="180" w:wrap="around" w:vAnchor="text" w:hAnchor="text" w:y="13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Findings From the KPI Construct Survey Questionnaire</w:t>
                  </w:r>
                </w:p>
              </w:tc>
              <w:tc>
                <w:tcPr>
                  <w:tcW w:w="2410" w:type="dxa"/>
                  <w:tcBorders>
                    <w:bottom w:val="none" w:sz="0" w:space="0" w:color="auto"/>
                  </w:tcBorders>
                </w:tcPr>
                <w:p w14:paraId="6931F91F" w14:textId="77777777" w:rsidR="00F342EF" w:rsidRPr="00373C7B" w:rsidRDefault="00F342EF" w:rsidP="00BB3D4C">
                  <w:pPr>
                    <w:framePr w:hSpace="180" w:wrap="around" w:vAnchor="text" w:hAnchor="text" w:y="133"/>
                    <w:tabs>
                      <w:tab w:val="left" w:pos="1451"/>
                      <w:tab w:val="left" w:pos="1876"/>
                    </w:tabs>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373C7B">
                    <w:rPr>
                      <w:rFonts w:asciiTheme="majorBidi" w:hAnsiTheme="majorBidi" w:cstheme="majorBidi"/>
                      <w:b w:val="0"/>
                      <w:bCs w:val="0"/>
                      <w:sz w:val="24"/>
                      <w:szCs w:val="24"/>
                    </w:rPr>
                    <w:t xml:space="preserve">Execution of KPI to assess the findings are based on; </w:t>
                  </w:r>
                </w:p>
              </w:tc>
            </w:tr>
            <w:tr w:rsidR="00F342EF" w:rsidRPr="00373C7B" w14:paraId="10BA7893" w14:textId="77777777" w:rsidTr="002C4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Borders>
                    <w:top w:val="none" w:sz="0" w:space="0" w:color="auto"/>
                    <w:bottom w:val="none" w:sz="0" w:space="0" w:color="auto"/>
                  </w:tcBorders>
                </w:tcPr>
                <w:p w14:paraId="51BB488D"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Vision, Mission &amp; Program Educational Objectives (PEOs)</w:t>
                  </w:r>
                </w:p>
                <w:p w14:paraId="18DB228A"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 xml:space="preserve">Program </w:t>
                  </w:r>
                  <w:proofErr w:type="gramStart"/>
                  <w:r w:rsidRPr="00373C7B">
                    <w:rPr>
                      <w:rFonts w:asciiTheme="majorBidi" w:hAnsiTheme="majorBidi" w:cstheme="majorBidi"/>
                      <w:b w:val="0"/>
                      <w:bCs w:val="0"/>
                      <w:sz w:val="24"/>
                      <w:szCs w:val="24"/>
                    </w:rPr>
                    <w:t>outcomes</w:t>
                  </w:r>
                  <w:proofErr w:type="gramEnd"/>
                </w:p>
                <w:p w14:paraId="29C8CF64"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Program Curriculum</w:t>
                  </w:r>
                </w:p>
                <w:p w14:paraId="17C8FF34"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lastRenderedPageBreak/>
                    <w:t>Students Performance</w:t>
                  </w:r>
                </w:p>
                <w:p w14:paraId="14F3397F"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Faculties</w:t>
                  </w:r>
                </w:p>
                <w:p w14:paraId="51F17B2D"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Facilities &amp; technical staff</w:t>
                  </w:r>
                </w:p>
                <w:p w14:paraId="380F5679"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Academic Support units and Teaching- Learning Process</w:t>
                  </w:r>
                </w:p>
                <w:p w14:paraId="3F7533BA"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Governance, institutional support &amp; Financial Resources</w:t>
                  </w:r>
                </w:p>
                <w:p w14:paraId="0E4E4343" w14:textId="77777777" w:rsidR="00F342EF" w:rsidRPr="00373C7B" w:rsidRDefault="00F342EF" w:rsidP="00BB3D4C">
                  <w:pPr>
                    <w:pStyle w:val="ListParagraph"/>
                    <w:framePr w:hSpace="180" w:wrap="around" w:vAnchor="text" w:hAnchor="text" w:y="133"/>
                    <w:numPr>
                      <w:ilvl w:val="0"/>
                      <w:numId w:val="2"/>
                    </w:numPr>
                    <w:ind w:left="157" w:hanging="203"/>
                    <w:jc w:val="both"/>
                    <w:rPr>
                      <w:rFonts w:asciiTheme="majorBidi" w:hAnsiTheme="majorBidi" w:cstheme="majorBidi"/>
                      <w:b w:val="0"/>
                      <w:bCs w:val="0"/>
                      <w:sz w:val="24"/>
                      <w:szCs w:val="24"/>
                    </w:rPr>
                  </w:pPr>
                  <w:r w:rsidRPr="00373C7B">
                    <w:rPr>
                      <w:rFonts w:asciiTheme="majorBidi" w:hAnsiTheme="majorBidi" w:cstheme="majorBidi"/>
                      <w:b w:val="0"/>
                      <w:bCs w:val="0"/>
                      <w:sz w:val="24"/>
                      <w:szCs w:val="24"/>
                    </w:rPr>
                    <w:t>Continuous improvement</w:t>
                  </w:r>
                </w:p>
              </w:tc>
              <w:tc>
                <w:tcPr>
                  <w:tcW w:w="2410" w:type="dxa"/>
                  <w:tcBorders>
                    <w:top w:val="none" w:sz="0" w:space="0" w:color="auto"/>
                    <w:bottom w:val="none" w:sz="0" w:space="0" w:color="auto"/>
                  </w:tcBorders>
                </w:tcPr>
                <w:p w14:paraId="6B7708E6" w14:textId="77777777" w:rsidR="00F342EF" w:rsidRPr="00373C7B" w:rsidRDefault="00F342EF" w:rsidP="00BB3D4C">
                  <w:pPr>
                    <w:pStyle w:val="ListParagraph"/>
                    <w:framePr w:hSpace="180" w:wrap="around" w:vAnchor="text" w:hAnchor="text" w:y="133"/>
                    <w:numPr>
                      <w:ilvl w:val="0"/>
                      <w:numId w:val="3"/>
                    </w:numPr>
                    <w:ind w:left="170" w:hanging="19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C7B">
                    <w:rPr>
                      <w:rFonts w:asciiTheme="majorBidi" w:hAnsiTheme="majorBidi" w:cstheme="majorBidi"/>
                      <w:sz w:val="24"/>
                      <w:szCs w:val="24"/>
                    </w:rPr>
                    <w:lastRenderedPageBreak/>
                    <w:t>Key Resource Person</w:t>
                  </w:r>
                </w:p>
                <w:p w14:paraId="509D5C29" w14:textId="77777777" w:rsidR="00F342EF" w:rsidRPr="00373C7B" w:rsidRDefault="00F342EF" w:rsidP="00BB3D4C">
                  <w:pPr>
                    <w:pStyle w:val="ListParagraph"/>
                    <w:framePr w:hSpace="180" w:wrap="around" w:vAnchor="text" w:hAnchor="text" w:y="133"/>
                    <w:numPr>
                      <w:ilvl w:val="0"/>
                      <w:numId w:val="3"/>
                    </w:numPr>
                    <w:ind w:left="170" w:hanging="19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C7B">
                    <w:rPr>
                      <w:rFonts w:asciiTheme="majorBidi" w:hAnsiTheme="majorBidi" w:cstheme="majorBidi"/>
                      <w:sz w:val="24"/>
                      <w:szCs w:val="24"/>
                    </w:rPr>
                    <w:t>Key Performance Area</w:t>
                  </w:r>
                </w:p>
                <w:p w14:paraId="3FE56D6E" w14:textId="77777777" w:rsidR="00F342EF" w:rsidRPr="00373C7B" w:rsidRDefault="00F342EF" w:rsidP="00BB3D4C">
                  <w:pPr>
                    <w:pStyle w:val="ListParagraph"/>
                    <w:framePr w:hSpace="180" w:wrap="around" w:vAnchor="text" w:hAnchor="text" w:y="133"/>
                    <w:numPr>
                      <w:ilvl w:val="0"/>
                      <w:numId w:val="3"/>
                    </w:numPr>
                    <w:ind w:left="170" w:hanging="19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C7B">
                    <w:rPr>
                      <w:rFonts w:asciiTheme="majorBidi" w:hAnsiTheme="majorBidi" w:cstheme="majorBidi"/>
                      <w:sz w:val="24"/>
                      <w:szCs w:val="24"/>
                    </w:rPr>
                    <w:lastRenderedPageBreak/>
                    <w:t xml:space="preserve">Key Performance Indicator </w:t>
                  </w:r>
                </w:p>
                <w:p w14:paraId="5FA3FB50" w14:textId="77777777" w:rsidR="00F342EF" w:rsidRPr="00373C7B" w:rsidRDefault="00F342EF" w:rsidP="00BB3D4C">
                  <w:pPr>
                    <w:pStyle w:val="ListParagraph"/>
                    <w:framePr w:hSpace="180" w:wrap="around" w:vAnchor="text" w:hAnchor="text" w:y="133"/>
                    <w:numPr>
                      <w:ilvl w:val="0"/>
                      <w:numId w:val="3"/>
                    </w:numPr>
                    <w:ind w:left="170" w:hanging="19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C7B">
                    <w:rPr>
                      <w:rFonts w:asciiTheme="majorBidi" w:hAnsiTheme="majorBidi" w:cstheme="majorBidi"/>
                      <w:sz w:val="24"/>
                      <w:szCs w:val="24"/>
                    </w:rPr>
                    <w:t xml:space="preserve">Objective Outcome (Decree) </w:t>
                  </w:r>
                </w:p>
                <w:p w14:paraId="30ED0A8C" w14:textId="77777777" w:rsidR="00F342EF" w:rsidRPr="00373C7B" w:rsidRDefault="00F342EF" w:rsidP="00BB3D4C">
                  <w:pPr>
                    <w:pStyle w:val="ListParagraph"/>
                    <w:framePr w:hSpace="180" w:wrap="around" w:vAnchor="text" w:hAnchor="text" w:y="133"/>
                    <w:numPr>
                      <w:ilvl w:val="0"/>
                      <w:numId w:val="3"/>
                    </w:numPr>
                    <w:ind w:left="170" w:hanging="19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73C7B">
                    <w:rPr>
                      <w:rFonts w:asciiTheme="majorBidi" w:hAnsiTheme="majorBidi" w:cstheme="majorBidi"/>
                      <w:sz w:val="24"/>
                      <w:szCs w:val="24"/>
                    </w:rPr>
                    <w:t>Budget</w:t>
                  </w:r>
                </w:p>
              </w:tc>
            </w:tr>
          </w:tbl>
          <w:p w14:paraId="5CB05F77" w14:textId="77777777" w:rsidR="00F342EF" w:rsidRPr="00373C7B" w:rsidRDefault="00F342EF" w:rsidP="002C4DF7">
            <w:pPr>
              <w:rPr>
                <w:rFonts w:asciiTheme="majorBidi" w:hAnsiTheme="majorBidi" w:cstheme="majorBidi"/>
                <w:sz w:val="24"/>
                <w:szCs w:val="24"/>
              </w:rPr>
            </w:pPr>
          </w:p>
        </w:tc>
      </w:tr>
      <w:tr w:rsidR="00F342EF" w:rsidRPr="00373C7B" w14:paraId="18B8D8FC" w14:textId="77777777" w:rsidTr="002C4DF7">
        <w:trPr>
          <w:trHeight w:val="699"/>
        </w:trPr>
        <w:tc>
          <w:tcPr>
            <w:tcW w:w="562" w:type="dxa"/>
            <w:shd w:val="clear" w:color="auto" w:fill="FFFFFF" w:themeFill="background1"/>
            <w:vAlign w:val="center"/>
          </w:tcPr>
          <w:p w14:paraId="628A3A2A"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lastRenderedPageBreak/>
              <w:t>4</w:t>
            </w:r>
          </w:p>
        </w:tc>
        <w:tc>
          <w:tcPr>
            <w:tcW w:w="1134" w:type="dxa"/>
            <w:shd w:val="clear" w:color="auto" w:fill="FFFFFF" w:themeFill="background1"/>
            <w:vAlign w:val="center"/>
          </w:tcPr>
          <w:p w14:paraId="6BE64422" w14:textId="77777777" w:rsidR="00F342EF" w:rsidRPr="00373C7B" w:rsidRDefault="00F342EF" w:rsidP="002C4DF7">
            <w:pPr>
              <w:jc w:val="both"/>
              <w:rPr>
                <w:rFonts w:asciiTheme="majorBidi" w:hAnsiTheme="majorBidi" w:cstheme="majorBidi"/>
                <w:sz w:val="24"/>
                <w:szCs w:val="24"/>
              </w:rPr>
            </w:pPr>
            <w:proofErr w:type="spellStart"/>
            <w:r w:rsidRPr="00373C7B">
              <w:rPr>
                <w:rFonts w:asciiTheme="majorBidi" w:hAnsiTheme="majorBidi" w:cstheme="majorBidi"/>
                <w:sz w:val="24"/>
                <w:szCs w:val="24"/>
              </w:rPr>
              <w:t>Varouchas</w:t>
            </w:r>
            <w:proofErr w:type="spellEnd"/>
            <w:r w:rsidRPr="00373C7B">
              <w:rPr>
                <w:rFonts w:asciiTheme="majorBidi" w:hAnsiTheme="majorBidi" w:cstheme="majorBidi"/>
                <w:sz w:val="24"/>
                <w:szCs w:val="24"/>
              </w:rPr>
              <w:t>, Emmanouil, Miguel-Ángel Sicilia, and Salvador Sánchez-Alonso</w:t>
            </w:r>
          </w:p>
          <w:p w14:paraId="10C63D7B" w14:textId="537A4660" w:rsidR="00F342EF" w:rsidRPr="00373C7B" w:rsidRDefault="00F342EF" w:rsidP="002144BF">
            <w:pPr>
              <w:jc w:val="both"/>
              <w:rPr>
                <w:rFonts w:asciiTheme="majorBidi" w:hAnsiTheme="majorBidi" w:cstheme="majorBidi"/>
                <w:sz w:val="24"/>
                <w:szCs w:val="24"/>
              </w:rPr>
            </w:pPr>
            <w:r w:rsidRPr="00373C7B">
              <w:rPr>
                <w:rFonts w:asciiTheme="majorBidi" w:hAnsiTheme="majorBidi" w:cstheme="majorBidi"/>
                <w:sz w:val="24"/>
                <w:szCs w:val="24"/>
              </w:rPr>
              <w:t>2018</w:t>
            </w:r>
            <w:r w:rsidR="002144BF">
              <w:rPr>
                <w:rFonts w:asciiTheme="majorBidi" w:hAnsiTheme="majorBidi" w:cstheme="majorBidi"/>
                <w:sz w:val="24"/>
                <w:szCs w:val="24"/>
              </w:rPr>
              <w:t xml:space="preserve"> </w:t>
            </w:r>
            <w:r w:rsidR="002144BF" w:rsidRPr="002144BF">
              <w:rPr>
                <w:rFonts w:asciiTheme="majorBidi" w:hAnsiTheme="majorBidi" w:cstheme="majorBidi"/>
                <w:sz w:val="24"/>
                <w:szCs w:val="24"/>
                <w:vertAlign w:val="superscript"/>
              </w:rPr>
              <w:t>63</w:t>
            </w:r>
          </w:p>
        </w:tc>
        <w:tc>
          <w:tcPr>
            <w:tcW w:w="1985" w:type="dxa"/>
            <w:shd w:val="clear" w:color="auto" w:fill="FFFFFF" w:themeFill="background1"/>
            <w:vAlign w:val="center"/>
          </w:tcPr>
          <w:p w14:paraId="20315A72"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Academics’ Perceptions on Quality in Higher</w:t>
            </w:r>
          </w:p>
          <w:p w14:paraId="20679B30"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Education Shaping Key Performance Indicator</w:t>
            </w:r>
          </w:p>
        </w:tc>
        <w:tc>
          <w:tcPr>
            <w:tcW w:w="2693" w:type="dxa"/>
            <w:shd w:val="clear" w:color="auto" w:fill="FFFFFF" w:themeFill="background1"/>
            <w:vAlign w:val="center"/>
          </w:tcPr>
          <w:p w14:paraId="41B936C3"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An analytic discussion of perceptions of higher education administrators and professors about quality, leading to a significant enrichment of the relevant literature. A set of innovative generic KPIs which can be used in multidimensional quality assessment in higher education is eventually proposed</w:t>
            </w:r>
          </w:p>
        </w:tc>
        <w:tc>
          <w:tcPr>
            <w:tcW w:w="1271" w:type="dxa"/>
            <w:shd w:val="clear" w:color="auto" w:fill="FFFFFF" w:themeFill="background1"/>
            <w:vAlign w:val="center"/>
          </w:tcPr>
          <w:p w14:paraId="7976A4C3"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Higher Education Institutions (HEIs)</w:t>
            </w:r>
          </w:p>
        </w:tc>
        <w:tc>
          <w:tcPr>
            <w:tcW w:w="5391" w:type="dxa"/>
            <w:shd w:val="clear" w:color="auto" w:fill="FFFFFF" w:themeFill="background1"/>
            <w:vAlign w:val="center"/>
          </w:tcPr>
          <w:p w14:paraId="579BC972" w14:textId="77777777" w:rsidR="00F342EF" w:rsidRPr="00373C7B" w:rsidRDefault="00F342EF" w:rsidP="002C4DF7">
            <w:pPr>
              <w:rPr>
                <w:rFonts w:asciiTheme="majorBidi" w:hAnsiTheme="majorBidi" w:cstheme="majorBidi"/>
                <w:sz w:val="24"/>
                <w:szCs w:val="24"/>
                <w:rtl/>
              </w:rPr>
            </w:pPr>
            <w:r w:rsidRPr="00373C7B">
              <w:rPr>
                <w:rFonts w:asciiTheme="majorBidi" w:hAnsiTheme="majorBidi" w:cstheme="majorBidi"/>
                <w:sz w:val="24"/>
                <w:szCs w:val="24"/>
              </w:rPr>
              <w:t>Quality indicators could be encapsulated in KPIs to measure multiple dimensions of quality in higher education</w:t>
            </w:r>
            <w:r w:rsidRPr="00373C7B">
              <w:rPr>
                <w:rFonts w:asciiTheme="majorBidi" w:hAnsiTheme="majorBidi" w:cstheme="majorBidi"/>
                <w:sz w:val="24"/>
                <w:szCs w:val="24"/>
                <w:rtl/>
              </w:rPr>
              <w:t>:</w:t>
            </w:r>
          </w:p>
          <w:p w14:paraId="0E8BF6F4" w14:textId="77777777" w:rsidR="00F342EF" w:rsidRPr="00373C7B" w:rsidRDefault="00F342EF" w:rsidP="002C4DF7">
            <w:pPr>
              <w:rPr>
                <w:rFonts w:asciiTheme="majorBidi" w:hAnsiTheme="majorBidi" w:cstheme="majorBidi"/>
                <w:b/>
                <w:bCs/>
                <w:sz w:val="24"/>
                <w:szCs w:val="24"/>
              </w:rPr>
            </w:pPr>
            <w:r w:rsidRPr="00373C7B">
              <w:rPr>
                <w:rFonts w:asciiTheme="majorBidi" w:hAnsiTheme="majorBidi" w:cstheme="majorBidi"/>
                <w:b/>
                <w:bCs/>
                <w:sz w:val="24"/>
                <w:szCs w:val="24"/>
              </w:rPr>
              <w:t>Generic KPIs</w:t>
            </w:r>
          </w:p>
          <w:p w14:paraId="2A8DAEA2" w14:textId="77777777" w:rsidR="00F342EF" w:rsidRPr="00373C7B" w:rsidRDefault="00F342EF" w:rsidP="002C4DF7">
            <w:pPr>
              <w:pStyle w:val="ListParagraph"/>
              <w:numPr>
                <w:ilvl w:val="0"/>
                <w:numId w:val="4"/>
              </w:numPr>
              <w:ind w:left="247" w:hanging="203"/>
              <w:rPr>
                <w:rFonts w:asciiTheme="majorBidi" w:hAnsiTheme="majorBidi" w:cstheme="majorBidi"/>
                <w:sz w:val="24"/>
                <w:szCs w:val="24"/>
              </w:rPr>
            </w:pPr>
            <w:r w:rsidRPr="00373C7B">
              <w:rPr>
                <w:rFonts w:asciiTheme="majorBidi" w:hAnsiTheme="majorBidi" w:cstheme="majorBidi"/>
                <w:sz w:val="24"/>
                <w:szCs w:val="24"/>
              </w:rPr>
              <w:t>Preparation time = developments in the field + frequency of teaching + motivation time + engagement scenario + core knowledge</w:t>
            </w:r>
          </w:p>
          <w:p w14:paraId="187134FA" w14:textId="77777777" w:rsidR="00F342EF" w:rsidRPr="00373C7B" w:rsidRDefault="00F342EF" w:rsidP="002C4DF7">
            <w:pPr>
              <w:pStyle w:val="ListParagraph"/>
              <w:numPr>
                <w:ilvl w:val="0"/>
                <w:numId w:val="4"/>
              </w:numPr>
              <w:ind w:left="247" w:hanging="203"/>
              <w:rPr>
                <w:rFonts w:asciiTheme="majorBidi" w:hAnsiTheme="majorBidi" w:cstheme="majorBidi"/>
                <w:b/>
                <w:bCs/>
                <w:sz w:val="24"/>
                <w:szCs w:val="24"/>
              </w:rPr>
            </w:pPr>
            <w:r w:rsidRPr="00373C7B">
              <w:rPr>
                <w:rFonts w:asciiTheme="majorBidi" w:hAnsiTheme="majorBidi" w:cstheme="majorBidi"/>
                <w:sz w:val="24"/>
                <w:szCs w:val="24"/>
              </w:rPr>
              <w:t>Technology infusion</w:t>
            </w:r>
            <w:r w:rsidRPr="00373C7B">
              <w:rPr>
                <w:rFonts w:asciiTheme="majorBidi" w:hAnsiTheme="majorBidi" w:cstheme="majorBidi"/>
                <w:b/>
                <w:bCs/>
                <w:sz w:val="24"/>
                <w:szCs w:val="24"/>
              </w:rPr>
              <w:t xml:space="preserve"> = </w:t>
            </w:r>
            <w:r w:rsidRPr="00373C7B">
              <w:rPr>
                <w:rFonts w:asciiTheme="majorBidi" w:hAnsiTheme="majorBidi" w:cstheme="majorBidi"/>
                <w:sz w:val="24"/>
                <w:szCs w:val="24"/>
              </w:rPr>
              <w:t>(blended + CMS)/traditional</w:t>
            </w:r>
          </w:p>
          <w:p w14:paraId="4A0A102B" w14:textId="77777777" w:rsidR="00F342EF" w:rsidRPr="00373C7B" w:rsidRDefault="00F342EF" w:rsidP="002C4DF7">
            <w:pPr>
              <w:pStyle w:val="ListParagraph"/>
              <w:numPr>
                <w:ilvl w:val="0"/>
                <w:numId w:val="4"/>
              </w:numPr>
              <w:ind w:left="247" w:hanging="203"/>
              <w:rPr>
                <w:rFonts w:asciiTheme="majorBidi" w:hAnsiTheme="majorBidi" w:cstheme="majorBidi"/>
                <w:b/>
                <w:bCs/>
                <w:sz w:val="24"/>
                <w:szCs w:val="24"/>
              </w:rPr>
            </w:pPr>
            <w:r w:rsidRPr="00373C7B">
              <w:rPr>
                <w:rFonts w:asciiTheme="majorBidi" w:hAnsiTheme="majorBidi" w:cstheme="majorBidi"/>
                <w:sz w:val="24"/>
                <w:szCs w:val="24"/>
              </w:rPr>
              <w:t>Industry alignment</w:t>
            </w:r>
            <w:r w:rsidRPr="00373C7B">
              <w:rPr>
                <w:rFonts w:asciiTheme="majorBidi" w:hAnsiTheme="majorBidi" w:cstheme="majorBidi"/>
                <w:b/>
                <w:bCs/>
                <w:sz w:val="24"/>
                <w:szCs w:val="24"/>
              </w:rPr>
              <w:t xml:space="preserve"> = </w:t>
            </w:r>
            <w:r w:rsidRPr="00373C7B">
              <w:rPr>
                <w:rFonts w:asciiTheme="majorBidi" w:hAnsiTheme="majorBidi" w:cstheme="majorBidi"/>
                <w:sz w:val="24"/>
                <w:szCs w:val="24"/>
              </w:rPr>
              <w:t>number of case study analyses per course x time allocated per analysis/total</w:t>
            </w:r>
          </w:p>
          <w:p w14:paraId="7F1B280B" w14:textId="77777777" w:rsidR="00F342EF" w:rsidRPr="00373C7B" w:rsidRDefault="00F342EF" w:rsidP="002C4DF7">
            <w:pPr>
              <w:pStyle w:val="ListParagraph"/>
              <w:numPr>
                <w:ilvl w:val="0"/>
                <w:numId w:val="4"/>
              </w:numPr>
              <w:ind w:left="247" w:hanging="203"/>
              <w:rPr>
                <w:rFonts w:asciiTheme="majorBidi" w:hAnsiTheme="majorBidi" w:cstheme="majorBidi"/>
                <w:sz w:val="24"/>
                <w:szCs w:val="24"/>
              </w:rPr>
            </w:pPr>
            <w:r w:rsidRPr="00373C7B">
              <w:rPr>
                <w:rFonts w:asciiTheme="majorBidi" w:hAnsiTheme="majorBidi" w:cstheme="majorBidi"/>
                <w:sz w:val="24"/>
                <w:szCs w:val="24"/>
              </w:rPr>
              <w:t>Course teaching hours in an academic term</w:t>
            </w:r>
          </w:p>
          <w:p w14:paraId="4FDC39D0" w14:textId="77777777" w:rsidR="00F342EF" w:rsidRPr="00373C7B" w:rsidRDefault="00F342EF" w:rsidP="002C4DF7">
            <w:pPr>
              <w:pStyle w:val="ListParagraph"/>
              <w:numPr>
                <w:ilvl w:val="0"/>
                <w:numId w:val="4"/>
              </w:numPr>
              <w:ind w:left="247" w:hanging="203"/>
              <w:rPr>
                <w:rFonts w:asciiTheme="majorBidi" w:hAnsiTheme="majorBidi" w:cstheme="majorBidi"/>
                <w:sz w:val="24"/>
                <w:szCs w:val="24"/>
              </w:rPr>
            </w:pPr>
            <w:r w:rsidRPr="00373C7B">
              <w:rPr>
                <w:rFonts w:asciiTheme="majorBidi" w:hAnsiTheme="majorBidi" w:cstheme="majorBidi"/>
                <w:sz w:val="24"/>
                <w:szCs w:val="24"/>
              </w:rPr>
              <w:t>Interaction with practitioners</w:t>
            </w:r>
            <w:r w:rsidRPr="00373C7B">
              <w:rPr>
                <w:rFonts w:asciiTheme="majorBidi" w:hAnsiTheme="majorBidi" w:cstheme="majorBidi"/>
                <w:b/>
                <w:bCs/>
                <w:sz w:val="24"/>
                <w:szCs w:val="24"/>
              </w:rPr>
              <w:t xml:space="preserve"> = </w:t>
            </w:r>
            <w:r w:rsidRPr="00373C7B">
              <w:rPr>
                <w:rFonts w:asciiTheme="majorBidi" w:hAnsiTheme="majorBidi" w:cstheme="majorBidi"/>
                <w:sz w:val="24"/>
                <w:szCs w:val="24"/>
              </w:rPr>
              <w:t>number of Interactions per course per academic term</w:t>
            </w:r>
          </w:p>
          <w:p w14:paraId="4EA2B84E" w14:textId="77777777" w:rsidR="00F342EF" w:rsidRPr="00373C7B" w:rsidRDefault="00F342EF" w:rsidP="002C4DF7">
            <w:pPr>
              <w:pStyle w:val="ListParagraph"/>
              <w:numPr>
                <w:ilvl w:val="0"/>
                <w:numId w:val="4"/>
              </w:numPr>
              <w:ind w:left="247" w:hanging="203"/>
              <w:rPr>
                <w:rFonts w:asciiTheme="majorBidi" w:hAnsiTheme="majorBidi" w:cstheme="majorBidi"/>
                <w:sz w:val="24"/>
                <w:szCs w:val="24"/>
              </w:rPr>
            </w:pPr>
            <w:r w:rsidRPr="00373C7B">
              <w:rPr>
                <w:rFonts w:asciiTheme="majorBidi" w:hAnsiTheme="majorBidi" w:cstheme="majorBidi"/>
                <w:sz w:val="24"/>
                <w:szCs w:val="24"/>
              </w:rPr>
              <w:t>Research works</w:t>
            </w:r>
            <w:r w:rsidRPr="00373C7B">
              <w:rPr>
                <w:rFonts w:asciiTheme="majorBidi" w:hAnsiTheme="majorBidi" w:cstheme="majorBidi"/>
                <w:b/>
                <w:bCs/>
                <w:sz w:val="24"/>
                <w:szCs w:val="24"/>
              </w:rPr>
              <w:t xml:space="preserve"> = </w:t>
            </w:r>
            <w:r w:rsidRPr="00373C7B">
              <w:rPr>
                <w:rFonts w:asciiTheme="majorBidi" w:hAnsiTheme="majorBidi" w:cstheme="majorBidi"/>
                <w:sz w:val="24"/>
                <w:szCs w:val="24"/>
              </w:rPr>
              <w:t>number of research works delivered per major</w:t>
            </w:r>
          </w:p>
          <w:p w14:paraId="538556B6" w14:textId="77777777" w:rsidR="00F342EF" w:rsidRPr="00373C7B" w:rsidRDefault="00F342EF" w:rsidP="002C4DF7">
            <w:pPr>
              <w:pStyle w:val="ListParagraph"/>
              <w:numPr>
                <w:ilvl w:val="0"/>
                <w:numId w:val="4"/>
              </w:numPr>
              <w:ind w:left="247" w:hanging="203"/>
              <w:rPr>
                <w:rFonts w:asciiTheme="majorBidi" w:hAnsiTheme="majorBidi" w:cstheme="majorBidi"/>
                <w:sz w:val="24"/>
                <w:szCs w:val="24"/>
              </w:rPr>
            </w:pPr>
            <w:r w:rsidRPr="00373C7B">
              <w:rPr>
                <w:rFonts w:asciiTheme="majorBidi" w:hAnsiTheme="majorBidi" w:cstheme="majorBidi"/>
                <w:sz w:val="24"/>
                <w:szCs w:val="24"/>
              </w:rPr>
              <w:t>Research work depth</w:t>
            </w:r>
            <w:r w:rsidRPr="00373C7B">
              <w:rPr>
                <w:rFonts w:asciiTheme="majorBidi" w:hAnsiTheme="majorBidi" w:cstheme="majorBidi"/>
                <w:b/>
                <w:bCs/>
                <w:sz w:val="24"/>
                <w:szCs w:val="24"/>
              </w:rPr>
              <w:t xml:space="preserve"> </w:t>
            </w:r>
            <w:r w:rsidRPr="00373C7B">
              <w:rPr>
                <w:rFonts w:asciiTheme="majorBidi" w:hAnsiTheme="majorBidi" w:cstheme="majorBidi"/>
                <w:sz w:val="24"/>
                <w:szCs w:val="24"/>
              </w:rPr>
              <w:t>= number of student works published in peer-reviewed conferences</w:t>
            </w:r>
          </w:p>
          <w:p w14:paraId="3D5C5DCF" w14:textId="77777777" w:rsidR="00F342EF" w:rsidRPr="00373C7B" w:rsidRDefault="00F342EF" w:rsidP="002C4DF7">
            <w:pPr>
              <w:pStyle w:val="ListParagraph"/>
              <w:numPr>
                <w:ilvl w:val="0"/>
                <w:numId w:val="4"/>
              </w:numPr>
              <w:ind w:left="247" w:hanging="203"/>
              <w:rPr>
                <w:rFonts w:asciiTheme="majorBidi" w:hAnsiTheme="majorBidi" w:cstheme="majorBidi"/>
                <w:b/>
                <w:bCs/>
                <w:sz w:val="24"/>
                <w:szCs w:val="24"/>
              </w:rPr>
            </w:pPr>
            <w:r w:rsidRPr="00373C7B">
              <w:rPr>
                <w:rFonts w:asciiTheme="majorBidi" w:hAnsiTheme="majorBidi" w:cstheme="majorBidi"/>
                <w:sz w:val="24"/>
                <w:szCs w:val="24"/>
              </w:rPr>
              <w:t>Engagement</w:t>
            </w:r>
            <w:r w:rsidRPr="00373C7B">
              <w:rPr>
                <w:rFonts w:asciiTheme="majorBidi" w:hAnsiTheme="majorBidi" w:cstheme="majorBidi"/>
                <w:b/>
                <w:bCs/>
                <w:sz w:val="24"/>
                <w:szCs w:val="24"/>
              </w:rPr>
              <w:t xml:space="preserve"> </w:t>
            </w:r>
            <w:r w:rsidRPr="00373C7B">
              <w:rPr>
                <w:rFonts w:asciiTheme="majorBidi" w:hAnsiTheme="majorBidi" w:cstheme="majorBidi"/>
                <w:sz w:val="24"/>
                <w:szCs w:val="24"/>
              </w:rPr>
              <w:t>= documented</w:t>
            </w:r>
            <w:r w:rsidRPr="00373C7B">
              <w:rPr>
                <w:rFonts w:asciiTheme="majorBidi" w:hAnsiTheme="majorBidi" w:cstheme="majorBidi"/>
                <w:sz w:val="24"/>
                <w:szCs w:val="24"/>
                <w:rtl/>
              </w:rPr>
              <w:t xml:space="preserve"> </w:t>
            </w:r>
            <w:r w:rsidRPr="00373C7B">
              <w:rPr>
                <w:rFonts w:asciiTheme="majorBidi" w:hAnsiTheme="majorBidi" w:cstheme="majorBidi"/>
                <w:sz w:val="24"/>
                <w:szCs w:val="24"/>
              </w:rPr>
              <w:t>discussions/total number of 50-min lectures per course</w:t>
            </w:r>
          </w:p>
          <w:p w14:paraId="1B8791F0" w14:textId="77777777" w:rsidR="00F342EF" w:rsidRPr="00373C7B" w:rsidRDefault="00F342EF" w:rsidP="002C4DF7">
            <w:pPr>
              <w:pStyle w:val="ListParagraph"/>
              <w:numPr>
                <w:ilvl w:val="0"/>
                <w:numId w:val="4"/>
              </w:numPr>
              <w:ind w:left="247" w:hanging="203"/>
              <w:rPr>
                <w:rFonts w:asciiTheme="majorBidi" w:hAnsiTheme="majorBidi" w:cstheme="majorBidi"/>
                <w:b/>
                <w:bCs/>
                <w:sz w:val="24"/>
                <w:szCs w:val="24"/>
              </w:rPr>
            </w:pPr>
            <w:r w:rsidRPr="00373C7B">
              <w:rPr>
                <w:rFonts w:asciiTheme="majorBidi" w:hAnsiTheme="majorBidi" w:cstheme="majorBidi"/>
                <w:sz w:val="24"/>
                <w:szCs w:val="24"/>
              </w:rPr>
              <w:t>Skillset</w:t>
            </w:r>
            <w:r w:rsidRPr="00373C7B">
              <w:rPr>
                <w:rFonts w:asciiTheme="majorBidi" w:hAnsiTheme="majorBidi" w:cstheme="majorBidi"/>
                <w:b/>
                <w:bCs/>
                <w:sz w:val="24"/>
                <w:szCs w:val="24"/>
              </w:rPr>
              <w:t xml:space="preserve"> </w:t>
            </w:r>
            <w:r w:rsidRPr="00373C7B">
              <w:rPr>
                <w:rFonts w:asciiTheme="majorBidi" w:hAnsiTheme="majorBidi" w:cstheme="majorBidi"/>
                <w:sz w:val="24"/>
                <w:szCs w:val="24"/>
              </w:rPr>
              <w:t>= number of intended skills per course/average class grade per course</w:t>
            </w:r>
          </w:p>
          <w:p w14:paraId="3AF65F75" w14:textId="77777777" w:rsidR="00F342EF" w:rsidRPr="00373C7B" w:rsidRDefault="00F342EF" w:rsidP="002C4DF7">
            <w:pPr>
              <w:pStyle w:val="ListParagraph"/>
              <w:numPr>
                <w:ilvl w:val="0"/>
                <w:numId w:val="4"/>
              </w:numPr>
              <w:ind w:left="247" w:hanging="203"/>
              <w:rPr>
                <w:rFonts w:asciiTheme="majorBidi" w:hAnsiTheme="majorBidi" w:cstheme="majorBidi"/>
                <w:sz w:val="24"/>
                <w:szCs w:val="24"/>
              </w:rPr>
            </w:pPr>
            <w:r w:rsidRPr="00373C7B">
              <w:rPr>
                <w:rFonts w:asciiTheme="majorBidi" w:hAnsiTheme="majorBidi" w:cstheme="majorBidi"/>
                <w:sz w:val="24"/>
                <w:szCs w:val="24"/>
              </w:rPr>
              <w:lastRenderedPageBreak/>
              <w:t>Interdisciplinary character</w:t>
            </w:r>
            <w:r w:rsidRPr="00373C7B">
              <w:rPr>
                <w:rFonts w:asciiTheme="majorBidi" w:hAnsiTheme="majorBidi" w:cstheme="majorBidi"/>
                <w:b/>
                <w:bCs/>
                <w:sz w:val="24"/>
                <w:szCs w:val="24"/>
              </w:rPr>
              <w:t xml:space="preserve"> </w:t>
            </w:r>
            <w:r w:rsidRPr="00373C7B">
              <w:rPr>
                <w:rFonts w:asciiTheme="majorBidi" w:hAnsiTheme="majorBidi" w:cstheme="majorBidi"/>
                <w:sz w:val="24"/>
                <w:szCs w:val="24"/>
              </w:rPr>
              <w:t>= number of disciplines involved in teaching material of course</w:t>
            </w:r>
          </w:p>
        </w:tc>
      </w:tr>
      <w:tr w:rsidR="00F342EF" w:rsidRPr="00373C7B" w14:paraId="2A492B1E" w14:textId="77777777" w:rsidTr="002C4DF7">
        <w:trPr>
          <w:trHeight w:val="2967"/>
        </w:trPr>
        <w:tc>
          <w:tcPr>
            <w:tcW w:w="562" w:type="dxa"/>
            <w:shd w:val="clear" w:color="auto" w:fill="FFFFFF" w:themeFill="background1"/>
            <w:vAlign w:val="center"/>
          </w:tcPr>
          <w:p w14:paraId="0668E7FC" w14:textId="77777777" w:rsidR="00F342EF" w:rsidRPr="00373C7B" w:rsidRDefault="00F342EF" w:rsidP="002C4DF7">
            <w:pPr>
              <w:jc w:val="center"/>
              <w:rPr>
                <w:rFonts w:asciiTheme="majorBidi" w:hAnsiTheme="majorBidi" w:cstheme="majorBidi"/>
                <w:sz w:val="24"/>
                <w:szCs w:val="24"/>
                <w:rtl/>
              </w:rPr>
            </w:pPr>
            <w:r w:rsidRPr="00373C7B">
              <w:rPr>
                <w:rFonts w:asciiTheme="majorBidi" w:hAnsiTheme="majorBidi" w:cstheme="majorBidi"/>
                <w:sz w:val="24"/>
                <w:szCs w:val="24"/>
              </w:rPr>
              <w:lastRenderedPageBreak/>
              <w:t>5</w:t>
            </w:r>
          </w:p>
        </w:tc>
        <w:tc>
          <w:tcPr>
            <w:tcW w:w="1134" w:type="dxa"/>
            <w:shd w:val="clear" w:color="auto" w:fill="FFFFFF" w:themeFill="background1"/>
            <w:vAlign w:val="center"/>
          </w:tcPr>
          <w:p w14:paraId="01985703" w14:textId="77777777" w:rsidR="00F342EF" w:rsidRPr="00373C7B" w:rsidRDefault="00F342EF" w:rsidP="002C4DF7">
            <w:pPr>
              <w:rPr>
                <w:rFonts w:asciiTheme="majorBidi" w:hAnsiTheme="majorBidi" w:cstheme="majorBidi"/>
                <w:color w:val="222222"/>
                <w:sz w:val="24"/>
                <w:szCs w:val="24"/>
                <w:shd w:val="clear" w:color="auto" w:fill="FFFFFF"/>
              </w:rPr>
            </w:pPr>
            <w:r w:rsidRPr="00373C7B">
              <w:rPr>
                <w:rFonts w:asciiTheme="majorBidi" w:hAnsiTheme="majorBidi" w:cstheme="majorBidi"/>
                <w:color w:val="222222"/>
                <w:sz w:val="24"/>
                <w:szCs w:val="24"/>
                <w:shd w:val="clear" w:color="auto" w:fill="FFFFFF"/>
              </w:rPr>
              <w:t>Valdez, Alicia, et al</w:t>
            </w:r>
          </w:p>
          <w:p w14:paraId="04E323AA" w14:textId="39205360" w:rsidR="00F342EF" w:rsidRPr="00D11A57" w:rsidRDefault="00F342EF" w:rsidP="00D11A57">
            <w:pPr>
              <w:rPr>
                <w:rFonts w:asciiTheme="majorBidi" w:hAnsiTheme="majorBidi" w:cstheme="majorBidi"/>
                <w:color w:val="222222"/>
                <w:sz w:val="24"/>
                <w:szCs w:val="24"/>
                <w:shd w:val="clear" w:color="auto" w:fill="FFFFFF"/>
              </w:rPr>
            </w:pPr>
            <w:r w:rsidRPr="00373C7B">
              <w:rPr>
                <w:rFonts w:asciiTheme="majorBidi" w:hAnsiTheme="majorBidi" w:cstheme="majorBidi"/>
                <w:color w:val="222222"/>
                <w:sz w:val="24"/>
                <w:szCs w:val="24"/>
                <w:shd w:val="clear" w:color="auto" w:fill="FFFFFF"/>
              </w:rPr>
              <w:t>2017</w:t>
            </w:r>
            <w:r w:rsidR="00D11A57">
              <w:rPr>
                <w:rFonts w:asciiTheme="majorBidi" w:hAnsiTheme="majorBidi" w:cstheme="majorBidi"/>
                <w:color w:val="222222"/>
                <w:sz w:val="24"/>
                <w:szCs w:val="24"/>
                <w:shd w:val="clear" w:color="auto" w:fill="FFFFFF"/>
              </w:rPr>
              <w:t xml:space="preserve"> </w:t>
            </w:r>
            <w:r w:rsidR="00D11A57" w:rsidRPr="00D11A57">
              <w:rPr>
                <w:rFonts w:asciiTheme="majorBidi" w:hAnsiTheme="majorBidi" w:cstheme="majorBidi"/>
                <w:color w:val="222222"/>
                <w:sz w:val="24"/>
                <w:szCs w:val="24"/>
                <w:shd w:val="clear" w:color="auto" w:fill="FFFFFF"/>
                <w:vertAlign w:val="superscript"/>
              </w:rPr>
              <w:t>64</w:t>
            </w:r>
          </w:p>
        </w:tc>
        <w:tc>
          <w:tcPr>
            <w:tcW w:w="1985" w:type="dxa"/>
            <w:shd w:val="clear" w:color="auto" w:fill="FFFFFF" w:themeFill="background1"/>
            <w:vAlign w:val="center"/>
          </w:tcPr>
          <w:p w14:paraId="18DBD361"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Development and Implementation of the Balanced</w:t>
            </w:r>
          </w:p>
          <w:p w14:paraId="4448E091"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Scorecard for a Higher Educational Institution using.</w:t>
            </w:r>
          </w:p>
          <w:p w14:paraId="3ADBFA96"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Business Intelligence Tools</w:t>
            </w:r>
          </w:p>
        </w:tc>
        <w:tc>
          <w:tcPr>
            <w:tcW w:w="2693" w:type="dxa"/>
            <w:shd w:val="clear" w:color="auto" w:fill="FFFFFF" w:themeFill="background1"/>
            <w:vAlign w:val="center"/>
          </w:tcPr>
          <w:p w14:paraId="24291327"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Literature review to define key elements for the Balanced Scorecard (BSC), such as: To have an organizational framework to specify the structure of the BSC, determine the organization of the project, ensure optimal project management, plan communication, and consider critical success factors.</w:t>
            </w:r>
          </w:p>
        </w:tc>
        <w:tc>
          <w:tcPr>
            <w:tcW w:w="1271" w:type="dxa"/>
            <w:shd w:val="clear" w:color="auto" w:fill="FFFFFF" w:themeFill="background1"/>
            <w:vAlign w:val="center"/>
          </w:tcPr>
          <w:p w14:paraId="56D07DA8"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Higher Education Institutions (HEIs)</w:t>
            </w:r>
          </w:p>
        </w:tc>
        <w:tc>
          <w:tcPr>
            <w:tcW w:w="5391" w:type="dxa"/>
            <w:shd w:val="clear" w:color="auto" w:fill="FFFFFF" w:themeFill="background1"/>
            <w:vAlign w:val="center"/>
          </w:tcPr>
          <w:p w14:paraId="1771829B" w14:textId="77777777" w:rsidR="00F342EF" w:rsidRPr="00373C7B" w:rsidRDefault="00F342EF" w:rsidP="002C4DF7">
            <w:pPr>
              <w:jc w:val="both"/>
              <w:rPr>
                <w:rFonts w:asciiTheme="majorBidi" w:hAnsiTheme="majorBidi" w:cstheme="majorBidi"/>
                <w:b/>
                <w:bCs/>
                <w:sz w:val="24"/>
                <w:szCs w:val="24"/>
              </w:rPr>
            </w:pPr>
            <w:r w:rsidRPr="00373C7B">
              <w:rPr>
                <w:rFonts w:asciiTheme="majorBidi" w:hAnsiTheme="majorBidi" w:cstheme="majorBidi"/>
                <w:b/>
                <w:bCs/>
                <w:sz w:val="24"/>
                <w:szCs w:val="24"/>
              </w:rPr>
              <w:t xml:space="preserve">Three types of BSC: </w:t>
            </w:r>
          </w:p>
          <w:p w14:paraId="78AC2F59"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u w:val="single"/>
              </w:rPr>
              <w:t>Type 1</w:t>
            </w:r>
            <w:r w:rsidRPr="00373C7B">
              <w:rPr>
                <w:rFonts w:asciiTheme="majorBidi" w:hAnsiTheme="majorBidi" w:cstheme="majorBidi"/>
                <w:sz w:val="24"/>
                <w:szCs w:val="24"/>
              </w:rPr>
              <w:t>: A specific multidimensional framework for strategic performance measurement</w:t>
            </w:r>
          </w:p>
          <w:p w14:paraId="00A16EA2"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u w:val="single"/>
              </w:rPr>
              <w:t>Type 2</w:t>
            </w:r>
            <w:r w:rsidRPr="00373C7B">
              <w:rPr>
                <w:rFonts w:asciiTheme="majorBidi" w:hAnsiTheme="majorBidi" w:cstheme="majorBidi"/>
                <w:sz w:val="24"/>
                <w:szCs w:val="24"/>
              </w:rPr>
              <w:t>: A Type 1 BSC with cause-effect relationships</w:t>
            </w:r>
          </w:p>
          <w:p w14:paraId="4C1DF5B9"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u w:val="single"/>
              </w:rPr>
              <w:t>Type 3</w:t>
            </w:r>
            <w:r w:rsidRPr="00373C7B">
              <w:rPr>
                <w:rFonts w:asciiTheme="majorBidi" w:hAnsiTheme="majorBidi" w:cstheme="majorBidi"/>
                <w:sz w:val="24"/>
                <w:szCs w:val="24"/>
              </w:rPr>
              <w:t>: a combination of type 2 BSC with objectives, action plans, results, and connecting incentives with BSC.</w:t>
            </w:r>
          </w:p>
          <w:p w14:paraId="34688EE1" w14:textId="77777777" w:rsidR="00F342EF" w:rsidRPr="00373C7B" w:rsidRDefault="00F342EF" w:rsidP="002C4DF7">
            <w:pPr>
              <w:jc w:val="both"/>
              <w:rPr>
                <w:rFonts w:asciiTheme="majorBidi" w:hAnsiTheme="majorBidi" w:cstheme="majorBidi"/>
                <w:sz w:val="24"/>
                <w:szCs w:val="24"/>
              </w:rPr>
            </w:pPr>
          </w:p>
          <w:p w14:paraId="2A3E166C"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Once the strategic map is constructed and detailed, the strategic objectives are clearly defined, the selection of indicators is the</w:t>
            </w:r>
          </w:p>
          <w:p w14:paraId="2AEEE80E"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Natural continuation of the process, where the indicator is an element of objective measurement.</w:t>
            </w:r>
          </w:p>
        </w:tc>
      </w:tr>
      <w:tr w:rsidR="00F342EF" w:rsidRPr="00373C7B" w14:paraId="3FA24A16" w14:textId="77777777" w:rsidTr="002C4DF7">
        <w:trPr>
          <w:trHeight w:val="980"/>
        </w:trPr>
        <w:tc>
          <w:tcPr>
            <w:tcW w:w="562" w:type="dxa"/>
            <w:shd w:val="clear" w:color="auto" w:fill="FFFFFF" w:themeFill="background1"/>
            <w:vAlign w:val="center"/>
          </w:tcPr>
          <w:p w14:paraId="5407E30E"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6</w:t>
            </w:r>
          </w:p>
        </w:tc>
        <w:tc>
          <w:tcPr>
            <w:tcW w:w="1134" w:type="dxa"/>
            <w:shd w:val="clear" w:color="auto" w:fill="FFFFFF" w:themeFill="background1"/>
            <w:vAlign w:val="center"/>
          </w:tcPr>
          <w:p w14:paraId="55156F72" w14:textId="53113CCC" w:rsidR="00F342EF" w:rsidRPr="00373C7B" w:rsidRDefault="00F342EF" w:rsidP="00D11A57">
            <w:pPr>
              <w:rPr>
                <w:rFonts w:asciiTheme="majorBidi" w:hAnsiTheme="majorBidi" w:cstheme="majorBidi"/>
                <w:sz w:val="24"/>
                <w:szCs w:val="24"/>
                <w:rtl/>
              </w:rPr>
            </w:pPr>
            <w:r w:rsidRPr="00373C7B">
              <w:rPr>
                <w:rFonts w:asciiTheme="majorBidi" w:hAnsiTheme="majorBidi" w:cstheme="majorBidi"/>
                <w:sz w:val="24"/>
                <w:szCs w:val="24"/>
              </w:rPr>
              <w:t xml:space="preserve">Badawy, Mohammed, Abd El-Aziz, and Heshan </w:t>
            </w:r>
            <w:proofErr w:type="spellStart"/>
            <w:r w:rsidRPr="00373C7B">
              <w:rPr>
                <w:rFonts w:asciiTheme="majorBidi" w:hAnsiTheme="majorBidi" w:cstheme="majorBidi"/>
                <w:sz w:val="24"/>
                <w:szCs w:val="24"/>
              </w:rPr>
              <w:t>Hefny</w:t>
            </w:r>
            <w:proofErr w:type="spellEnd"/>
            <w:r w:rsidR="00D11A57">
              <w:rPr>
                <w:rFonts w:asciiTheme="majorBidi" w:hAnsiTheme="majorBidi" w:cstheme="majorBidi"/>
                <w:sz w:val="24"/>
                <w:szCs w:val="24"/>
              </w:rPr>
              <w:t xml:space="preserve"> </w:t>
            </w:r>
            <w:r w:rsidR="00D11A57" w:rsidRPr="00D11A57">
              <w:rPr>
                <w:rFonts w:asciiTheme="majorBidi" w:hAnsiTheme="majorBidi" w:cstheme="majorBidi"/>
                <w:sz w:val="24"/>
                <w:szCs w:val="24"/>
                <w:vertAlign w:val="superscript"/>
              </w:rPr>
              <w:t>29</w:t>
            </w:r>
          </w:p>
        </w:tc>
        <w:tc>
          <w:tcPr>
            <w:tcW w:w="1985" w:type="dxa"/>
            <w:shd w:val="clear" w:color="auto" w:fill="FFFFFF" w:themeFill="background1"/>
            <w:vAlign w:val="center"/>
          </w:tcPr>
          <w:p w14:paraId="32614254"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Exploring and Measuring the Key Performance Indicators in Higher Education</w:t>
            </w:r>
          </w:p>
          <w:p w14:paraId="583A6928"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Institutions</w:t>
            </w:r>
          </w:p>
        </w:tc>
        <w:tc>
          <w:tcPr>
            <w:tcW w:w="2693" w:type="dxa"/>
            <w:shd w:val="clear" w:color="auto" w:fill="FFFFFF" w:themeFill="background1"/>
            <w:vAlign w:val="center"/>
          </w:tcPr>
          <w:p w14:paraId="53E0F8CC"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Text mining and feature extraction technique to explore and measure KPIs.</w:t>
            </w:r>
          </w:p>
        </w:tc>
        <w:tc>
          <w:tcPr>
            <w:tcW w:w="1271" w:type="dxa"/>
            <w:shd w:val="clear" w:color="auto" w:fill="FFFFFF" w:themeFill="background1"/>
            <w:vAlign w:val="center"/>
          </w:tcPr>
          <w:p w14:paraId="78B59F12"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Higher Education Institutions (HEIs)</w:t>
            </w:r>
          </w:p>
        </w:tc>
        <w:tc>
          <w:tcPr>
            <w:tcW w:w="5391" w:type="dxa"/>
            <w:shd w:val="clear" w:color="auto" w:fill="FFFFFF" w:themeFill="background1"/>
            <w:vAlign w:val="center"/>
          </w:tcPr>
          <w:p w14:paraId="6AA46422"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 xml:space="preserve">This work proposed a new model to explore and measure KPIs in HEIs using keyword extraction method for extracting main features from unstructured data (textbook). An approach based on term frequency technique was developed for this purpose. The approach was tested, and results showed </w:t>
            </w:r>
            <w:proofErr w:type="gramStart"/>
            <w:r w:rsidRPr="00373C7B">
              <w:rPr>
                <w:rFonts w:asciiTheme="majorBidi" w:hAnsiTheme="majorBidi" w:cstheme="majorBidi"/>
                <w:sz w:val="24"/>
                <w:szCs w:val="24"/>
              </w:rPr>
              <w:t>that,</w:t>
            </w:r>
            <w:proofErr w:type="gramEnd"/>
            <w:r w:rsidRPr="00373C7B">
              <w:rPr>
                <w:rFonts w:asciiTheme="majorBidi" w:hAnsiTheme="majorBidi" w:cstheme="majorBidi"/>
                <w:sz w:val="24"/>
                <w:szCs w:val="24"/>
              </w:rPr>
              <w:t xml:space="preserve"> it could be applied for any course. Exploring KPIs depending on analysis learning objectives of textbook in higher education that achieved intended learning outcomes for the institution.</w:t>
            </w:r>
          </w:p>
        </w:tc>
      </w:tr>
      <w:tr w:rsidR="00F342EF" w:rsidRPr="00373C7B" w14:paraId="1F6ED38A" w14:textId="77777777" w:rsidTr="002C4DF7">
        <w:trPr>
          <w:trHeight w:val="3595"/>
        </w:trPr>
        <w:tc>
          <w:tcPr>
            <w:tcW w:w="562" w:type="dxa"/>
            <w:shd w:val="clear" w:color="auto" w:fill="FFFFFF" w:themeFill="background1"/>
            <w:vAlign w:val="center"/>
          </w:tcPr>
          <w:p w14:paraId="500110BF"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lastRenderedPageBreak/>
              <w:t>7</w:t>
            </w:r>
          </w:p>
        </w:tc>
        <w:tc>
          <w:tcPr>
            <w:tcW w:w="1134" w:type="dxa"/>
            <w:shd w:val="clear" w:color="auto" w:fill="FFFFFF" w:themeFill="background1"/>
            <w:vAlign w:val="center"/>
          </w:tcPr>
          <w:p w14:paraId="2D122D1A" w14:textId="59D0295C" w:rsidR="00F342EF" w:rsidRPr="006401C2" w:rsidRDefault="00F342EF" w:rsidP="006401C2">
            <w:pPr>
              <w:rPr>
                <w:rFonts w:asciiTheme="majorBidi" w:hAnsiTheme="majorBidi" w:cstheme="majorBidi"/>
                <w:sz w:val="24"/>
                <w:szCs w:val="24"/>
                <w:vertAlign w:val="superscript"/>
              </w:rPr>
            </w:pPr>
            <w:r w:rsidRPr="00373C7B">
              <w:rPr>
                <w:rFonts w:asciiTheme="majorBidi" w:hAnsiTheme="majorBidi" w:cstheme="majorBidi"/>
                <w:sz w:val="24"/>
                <w:szCs w:val="24"/>
              </w:rPr>
              <w:t>Hamdan Alghamdi, Amani K., Ghazi Alotaibi, and Osama Ibrahim</w:t>
            </w:r>
            <w:r w:rsidR="006401C2">
              <w:rPr>
                <w:rFonts w:asciiTheme="majorBidi" w:hAnsiTheme="majorBidi" w:cstheme="majorBidi"/>
                <w:sz w:val="24"/>
                <w:szCs w:val="24"/>
              </w:rPr>
              <w:t xml:space="preserve"> </w:t>
            </w:r>
            <w:r w:rsidR="006401C2" w:rsidRPr="006401C2">
              <w:rPr>
                <w:rFonts w:asciiTheme="majorBidi" w:hAnsiTheme="majorBidi" w:cstheme="majorBidi"/>
                <w:sz w:val="24"/>
                <w:szCs w:val="24"/>
                <w:vertAlign w:val="superscript"/>
              </w:rPr>
              <w:t>42</w:t>
            </w:r>
          </w:p>
          <w:p w14:paraId="2D5912E4" w14:textId="77777777" w:rsidR="00F342EF" w:rsidRPr="00373C7B" w:rsidRDefault="00F342EF" w:rsidP="002C4DF7">
            <w:pPr>
              <w:rPr>
                <w:rFonts w:asciiTheme="majorBidi" w:hAnsiTheme="majorBidi" w:cstheme="majorBidi"/>
                <w:sz w:val="24"/>
                <w:szCs w:val="24"/>
              </w:rPr>
            </w:pPr>
          </w:p>
        </w:tc>
        <w:tc>
          <w:tcPr>
            <w:tcW w:w="1985" w:type="dxa"/>
            <w:shd w:val="clear" w:color="auto" w:fill="FFFFFF" w:themeFill="background1"/>
            <w:vAlign w:val="center"/>
          </w:tcPr>
          <w:p w14:paraId="4D368381"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Institutional Academic Assessment</w:t>
            </w:r>
          </w:p>
          <w:p w14:paraId="3F5FBB10"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and Effectiveness in Higher Education: Saudi Arabia Case Study</w:t>
            </w:r>
          </w:p>
        </w:tc>
        <w:tc>
          <w:tcPr>
            <w:tcW w:w="2693" w:type="dxa"/>
            <w:shd w:val="clear" w:color="auto" w:fill="FFFFFF" w:themeFill="background1"/>
            <w:vAlign w:val="center"/>
          </w:tcPr>
          <w:p w14:paraId="56982E6D"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Case study to Emulating a Saudi university approach affords other Saudi higher education institutions the opportunity to increase Saudi graduates’ ability to directly contribute to the country’s economy, ultimately promoting economic growth, diversification, and development as envisioned in Vision 2030</w:t>
            </w:r>
          </w:p>
        </w:tc>
        <w:tc>
          <w:tcPr>
            <w:tcW w:w="1271" w:type="dxa"/>
            <w:shd w:val="clear" w:color="auto" w:fill="FFFFFF" w:themeFill="background1"/>
            <w:vAlign w:val="center"/>
          </w:tcPr>
          <w:p w14:paraId="2739EEBB"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Higher Education Institutions (HEIs)</w:t>
            </w:r>
          </w:p>
        </w:tc>
        <w:tc>
          <w:tcPr>
            <w:tcW w:w="5391" w:type="dxa"/>
            <w:shd w:val="clear" w:color="auto" w:fill="FFFFFF" w:themeFill="background1"/>
            <w:vAlign w:val="center"/>
          </w:tcPr>
          <w:p w14:paraId="74883B52"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 xml:space="preserve">There is no perfect method of discharging the monitoring role without ongoing revision to the KPIs. The key to the successful assessment of institutional effectiveness is to ensure that the information obtained from assessments is used to inform </w:t>
            </w:r>
            <w:r w:rsidRPr="00373C7B">
              <w:rPr>
                <w:rFonts w:asciiTheme="majorBidi" w:hAnsiTheme="majorBidi" w:cstheme="majorBidi"/>
                <w:sz w:val="24"/>
                <w:szCs w:val="24"/>
                <w:u w:val="single"/>
              </w:rPr>
              <w:t>strategic planning</w:t>
            </w:r>
            <w:r w:rsidRPr="00373C7B">
              <w:rPr>
                <w:rFonts w:asciiTheme="majorBidi" w:hAnsiTheme="majorBidi" w:cstheme="majorBidi"/>
                <w:sz w:val="24"/>
                <w:szCs w:val="24"/>
              </w:rPr>
              <w:t xml:space="preserve"> and decision-making, including resource allocation.</w:t>
            </w:r>
          </w:p>
          <w:p w14:paraId="2958AC41" w14:textId="77777777" w:rsidR="00F342EF" w:rsidRPr="00373C7B" w:rsidRDefault="00F342EF" w:rsidP="002C4DF7">
            <w:pPr>
              <w:jc w:val="both"/>
              <w:rPr>
                <w:rFonts w:asciiTheme="majorBidi" w:hAnsiTheme="majorBidi" w:cstheme="majorBidi"/>
                <w:sz w:val="24"/>
                <w:szCs w:val="24"/>
              </w:rPr>
            </w:pPr>
          </w:p>
          <w:p w14:paraId="49D51001" w14:textId="77777777" w:rsidR="00F342EF" w:rsidRPr="00373C7B" w:rsidRDefault="00F342EF" w:rsidP="002C4DF7">
            <w:pPr>
              <w:pStyle w:val="ListParagraph"/>
              <w:numPr>
                <w:ilvl w:val="0"/>
                <w:numId w:val="1"/>
              </w:numPr>
              <w:ind w:left="157" w:hanging="113"/>
              <w:jc w:val="both"/>
              <w:rPr>
                <w:rFonts w:asciiTheme="majorBidi" w:hAnsiTheme="majorBidi" w:cstheme="majorBidi"/>
                <w:sz w:val="24"/>
                <w:szCs w:val="24"/>
              </w:rPr>
            </w:pPr>
            <w:r w:rsidRPr="00373C7B">
              <w:rPr>
                <w:rFonts w:asciiTheme="majorBidi" w:hAnsiTheme="majorBidi" w:cstheme="majorBidi"/>
                <w:sz w:val="24"/>
                <w:szCs w:val="24"/>
              </w:rPr>
              <w:t>The key to the successful assessment</w:t>
            </w:r>
          </w:p>
          <w:p w14:paraId="0DD3E0C4" w14:textId="77777777" w:rsidR="00F342EF" w:rsidRPr="00373C7B" w:rsidRDefault="00F342EF" w:rsidP="002C4DF7">
            <w:pPr>
              <w:ind w:left="157"/>
              <w:jc w:val="both"/>
              <w:rPr>
                <w:rFonts w:asciiTheme="majorBidi" w:hAnsiTheme="majorBidi" w:cstheme="majorBidi"/>
                <w:sz w:val="24"/>
                <w:szCs w:val="24"/>
              </w:rPr>
            </w:pPr>
            <w:r w:rsidRPr="00373C7B">
              <w:rPr>
                <w:rFonts w:asciiTheme="majorBidi" w:hAnsiTheme="majorBidi" w:cstheme="majorBidi"/>
                <w:sz w:val="24"/>
                <w:szCs w:val="24"/>
              </w:rPr>
              <w:t>of institutional effectiveness is to ensure that the information obtained from assessments is used to inform strategic planning and decision-making, including resource allocation.</w:t>
            </w:r>
          </w:p>
          <w:p w14:paraId="14626FFC" w14:textId="77777777" w:rsidR="00F342EF" w:rsidRPr="00373C7B" w:rsidRDefault="00F342EF" w:rsidP="002C4DF7">
            <w:pPr>
              <w:pStyle w:val="ListParagraph"/>
              <w:numPr>
                <w:ilvl w:val="0"/>
                <w:numId w:val="1"/>
              </w:numPr>
              <w:ind w:left="157" w:hanging="113"/>
              <w:jc w:val="both"/>
              <w:rPr>
                <w:rFonts w:asciiTheme="majorBidi" w:hAnsiTheme="majorBidi" w:cstheme="majorBidi"/>
                <w:sz w:val="24"/>
                <w:szCs w:val="24"/>
              </w:rPr>
            </w:pPr>
            <w:r w:rsidRPr="00373C7B">
              <w:rPr>
                <w:rFonts w:asciiTheme="majorBidi" w:hAnsiTheme="majorBidi" w:cstheme="majorBidi"/>
                <w:sz w:val="24"/>
                <w:szCs w:val="24"/>
              </w:rPr>
              <w:t>This case especially focuses on how the university dealt with faculty members and students’ academic performance components (via the establishment of Key Performance Indicators [KPIs]) relative to IAU’s primary mission, objectives, and strategic plan</w:t>
            </w:r>
          </w:p>
        </w:tc>
      </w:tr>
      <w:tr w:rsidR="00F342EF" w:rsidRPr="00373C7B" w14:paraId="6D626756" w14:textId="77777777" w:rsidTr="002C4DF7">
        <w:trPr>
          <w:trHeight w:val="800"/>
        </w:trPr>
        <w:tc>
          <w:tcPr>
            <w:tcW w:w="562" w:type="dxa"/>
            <w:shd w:val="clear" w:color="auto" w:fill="FFFFFF" w:themeFill="background1"/>
            <w:vAlign w:val="center"/>
          </w:tcPr>
          <w:p w14:paraId="79B6296D"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8</w:t>
            </w:r>
          </w:p>
        </w:tc>
        <w:tc>
          <w:tcPr>
            <w:tcW w:w="1134" w:type="dxa"/>
            <w:shd w:val="clear" w:color="auto" w:fill="FFFFFF" w:themeFill="background1"/>
            <w:vAlign w:val="center"/>
          </w:tcPr>
          <w:p w14:paraId="6EF9A777" w14:textId="489D1713" w:rsidR="00F342EF" w:rsidRPr="00373C7B" w:rsidRDefault="00F342EF" w:rsidP="00F912A1">
            <w:pPr>
              <w:rPr>
                <w:rFonts w:asciiTheme="majorBidi" w:hAnsiTheme="majorBidi" w:cstheme="majorBidi"/>
                <w:sz w:val="24"/>
                <w:szCs w:val="24"/>
              </w:rPr>
            </w:pPr>
            <w:proofErr w:type="spellStart"/>
            <w:r w:rsidRPr="00373C7B">
              <w:rPr>
                <w:rFonts w:asciiTheme="majorBidi" w:hAnsiTheme="majorBidi" w:cstheme="majorBidi"/>
                <w:sz w:val="24"/>
                <w:szCs w:val="24"/>
              </w:rPr>
              <w:t>Housawi</w:t>
            </w:r>
            <w:proofErr w:type="spellEnd"/>
            <w:r w:rsidRPr="00373C7B">
              <w:rPr>
                <w:rFonts w:asciiTheme="majorBidi" w:hAnsiTheme="majorBidi" w:cstheme="majorBidi"/>
                <w:sz w:val="24"/>
                <w:szCs w:val="24"/>
              </w:rPr>
              <w:t>, Abdulrahman, et al</w:t>
            </w:r>
            <w:r w:rsidR="00F912A1" w:rsidRPr="00F912A1">
              <w:rPr>
                <w:rFonts w:asciiTheme="majorBidi" w:hAnsiTheme="majorBidi" w:cstheme="majorBidi"/>
                <w:sz w:val="24"/>
                <w:szCs w:val="24"/>
                <w:vertAlign w:val="superscript"/>
              </w:rPr>
              <w:t xml:space="preserve"> 65</w:t>
            </w:r>
          </w:p>
        </w:tc>
        <w:tc>
          <w:tcPr>
            <w:tcW w:w="1985" w:type="dxa"/>
            <w:shd w:val="clear" w:color="auto" w:fill="FFFFFF" w:themeFill="background1"/>
            <w:vAlign w:val="center"/>
          </w:tcPr>
          <w:p w14:paraId="7A9A7F75"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Evaluation of Key Performance Indicators (KPIs) for</w:t>
            </w:r>
          </w:p>
          <w:p w14:paraId="141895D5"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Sustainable Postgraduate Medical Training:</w:t>
            </w:r>
          </w:p>
          <w:p w14:paraId="0E38B644"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An Opportunity for Implementing an Innovative</w:t>
            </w:r>
          </w:p>
          <w:p w14:paraId="30B516C9"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Approach to Advance the Quality of Training</w:t>
            </w:r>
          </w:p>
          <w:p w14:paraId="2E37ECD2"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lastRenderedPageBreak/>
              <w:t>Programs at the Saudi Commission for Health</w:t>
            </w:r>
          </w:p>
          <w:p w14:paraId="3284F8ED"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Specialties (SCFHS)</w:t>
            </w:r>
          </w:p>
        </w:tc>
        <w:tc>
          <w:tcPr>
            <w:tcW w:w="2693" w:type="dxa"/>
            <w:shd w:val="clear" w:color="auto" w:fill="FFFFFF" w:themeFill="background1"/>
            <w:vAlign w:val="center"/>
          </w:tcPr>
          <w:p w14:paraId="324E5E43"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lastRenderedPageBreak/>
              <w:t xml:space="preserve">Literature review to summarize the key aspects of the Training Quality Assurance Initiative and suggest a new approach for designing a new data and services ecosystem for personalized health professionals training in the KSA. The study also contributes to the theoretical knowledge on the integration of sustainability and medical </w:t>
            </w:r>
            <w:r w:rsidRPr="00373C7B">
              <w:rPr>
                <w:rFonts w:asciiTheme="majorBidi" w:hAnsiTheme="majorBidi" w:cstheme="majorBidi"/>
                <w:sz w:val="24"/>
                <w:szCs w:val="24"/>
              </w:rPr>
              <w:lastRenderedPageBreak/>
              <w:t>training and education by proposing a framework that can enhance future initiatives from various health organizations.</w:t>
            </w:r>
          </w:p>
        </w:tc>
        <w:tc>
          <w:tcPr>
            <w:tcW w:w="1271" w:type="dxa"/>
            <w:shd w:val="clear" w:color="auto" w:fill="FFFFFF" w:themeFill="background1"/>
            <w:vAlign w:val="center"/>
          </w:tcPr>
          <w:p w14:paraId="0382F2BB"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lastRenderedPageBreak/>
              <w:t>Training</w:t>
            </w:r>
          </w:p>
          <w:p w14:paraId="51A6A0DC"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Programs at the Saudi Commission for Health</w:t>
            </w:r>
          </w:p>
          <w:p w14:paraId="00760938"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Specialties (SCFHS)</w:t>
            </w:r>
          </w:p>
        </w:tc>
        <w:tc>
          <w:tcPr>
            <w:tcW w:w="5391" w:type="dxa"/>
            <w:shd w:val="clear" w:color="auto" w:fill="FFFFFF" w:themeFill="background1"/>
            <w:vAlign w:val="center"/>
          </w:tcPr>
          <w:p w14:paraId="4B4C4F08"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The first significant contribution of this research is related to the introduction of a full set of measurable, trusted, and reliable KPIs defined for efficient medical training. Briefly, 23 KPIs were used to measure the e</w:t>
            </w:r>
            <w:r w:rsidRPr="00373C7B">
              <w:rPr>
                <w:rFonts w:asciiTheme="majorBidi" w:hAnsiTheme="majorBidi" w:cstheme="majorBidi"/>
                <w:sz w:val="24"/>
                <w:szCs w:val="24"/>
              </w:rPr>
              <w:br w:type="column"/>
              <w:t xml:space="preserve">efficiency of medical training around three dimensions, namely, training governance, learning, and reaction. We do plan shortly to update this functional set of KPIs with additional ones related to active learning strategies as well as community engagement in the context of a newly developed Social Network of Medical Experts. Another direction for future enhancement of this analytics approach is to </w:t>
            </w:r>
            <w:proofErr w:type="gramStart"/>
            <w:r w:rsidRPr="00373C7B">
              <w:rPr>
                <w:rFonts w:asciiTheme="majorBidi" w:hAnsiTheme="majorBidi" w:cstheme="majorBidi"/>
                <w:sz w:val="24"/>
                <w:szCs w:val="24"/>
              </w:rPr>
              <w:t>emphasize also</w:t>
            </w:r>
            <w:proofErr w:type="gramEnd"/>
            <w:r w:rsidRPr="00373C7B">
              <w:rPr>
                <w:rFonts w:asciiTheme="majorBidi" w:hAnsiTheme="majorBidi" w:cstheme="majorBidi"/>
                <w:sz w:val="24"/>
                <w:szCs w:val="24"/>
              </w:rPr>
              <w:t xml:space="preserve"> research and social impact.</w:t>
            </w:r>
          </w:p>
          <w:p w14:paraId="4980CDC2"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lastRenderedPageBreak/>
              <w:t xml:space="preserve">Another significant dimension of our research study was the synthesis of the key finding of this Training Quality Assurance Initiative towards the generalization of findings for future exploitation and best practices communication. As a result, we introduced the Sustainable Medical Education Framework, with four integrative components, namely big </w:t>
            </w:r>
            <w:proofErr w:type="gramStart"/>
            <w:r w:rsidRPr="00373C7B">
              <w:rPr>
                <w:rFonts w:asciiTheme="majorBidi" w:hAnsiTheme="majorBidi" w:cstheme="majorBidi"/>
                <w:sz w:val="24"/>
                <w:szCs w:val="24"/>
              </w:rPr>
              <w:t>data</w:t>
            </w:r>
            <w:proofErr w:type="gramEnd"/>
            <w:r w:rsidRPr="00373C7B">
              <w:rPr>
                <w:rFonts w:asciiTheme="majorBidi" w:hAnsiTheme="majorBidi" w:cstheme="majorBidi"/>
                <w:sz w:val="24"/>
                <w:szCs w:val="24"/>
              </w:rPr>
              <w:t xml:space="preserve"> and analytics ecosystem, SCFHS quality and performance management, enhanced decision-making capability, and sustainability</w:t>
            </w:r>
          </w:p>
        </w:tc>
      </w:tr>
      <w:tr w:rsidR="00F342EF" w:rsidRPr="00373C7B" w14:paraId="36D2EE18" w14:textId="77777777" w:rsidTr="002C4DF7">
        <w:trPr>
          <w:trHeight w:val="710"/>
        </w:trPr>
        <w:tc>
          <w:tcPr>
            <w:tcW w:w="562" w:type="dxa"/>
            <w:shd w:val="clear" w:color="auto" w:fill="FFFFFF" w:themeFill="background1"/>
            <w:vAlign w:val="center"/>
          </w:tcPr>
          <w:p w14:paraId="7323429A"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lastRenderedPageBreak/>
              <w:t>9</w:t>
            </w:r>
          </w:p>
        </w:tc>
        <w:tc>
          <w:tcPr>
            <w:tcW w:w="1134" w:type="dxa"/>
            <w:shd w:val="clear" w:color="auto" w:fill="FFFFFF" w:themeFill="background1"/>
            <w:vAlign w:val="center"/>
          </w:tcPr>
          <w:p w14:paraId="7F12D399" w14:textId="2934EE77" w:rsidR="00F342EF" w:rsidRPr="00373C7B" w:rsidRDefault="00F342EF" w:rsidP="00F912A1">
            <w:pPr>
              <w:rPr>
                <w:rFonts w:asciiTheme="majorBidi" w:hAnsiTheme="majorBidi" w:cstheme="majorBidi"/>
                <w:sz w:val="24"/>
                <w:szCs w:val="24"/>
              </w:rPr>
            </w:pPr>
            <w:r w:rsidRPr="00373C7B">
              <w:rPr>
                <w:rFonts w:asciiTheme="majorBidi" w:hAnsiTheme="majorBidi" w:cstheme="majorBidi"/>
                <w:sz w:val="24"/>
                <w:szCs w:val="24"/>
              </w:rPr>
              <w:t xml:space="preserve">Mykhailo </w:t>
            </w:r>
            <w:proofErr w:type="spellStart"/>
            <w:r w:rsidRPr="00373C7B">
              <w:rPr>
                <w:rFonts w:asciiTheme="majorBidi" w:hAnsiTheme="majorBidi" w:cstheme="majorBidi"/>
                <w:sz w:val="24"/>
                <w:szCs w:val="24"/>
              </w:rPr>
              <w:t>Broshkov</w:t>
            </w:r>
            <w:proofErr w:type="spellEnd"/>
            <w:r w:rsidRPr="00373C7B">
              <w:rPr>
                <w:rFonts w:asciiTheme="majorBidi" w:hAnsiTheme="majorBidi" w:cstheme="majorBidi"/>
                <w:sz w:val="24"/>
                <w:szCs w:val="24"/>
              </w:rPr>
              <w:t xml:space="preserve"> et al 2020</w:t>
            </w:r>
            <w:r w:rsidR="00F912A1">
              <w:rPr>
                <w:rFonts w:asciiTheme="majorBidi" w:hAnsiTheme="majorBidi" w:cstheme="majorBidi"/>
                <w:sz w:val="24"/>
                <w:szCs w:val="24"/>
              </w:rPr>
              <w:t xml:space="preserve"> </w:t>
            </w:r>
            <w:r w:rsidR="003078A6" w:rsidRPr="003078A6">
              <w:rPr>
                <w:rFonts w:asciiTheme="majorBidi" w:hAnsiTheme="majorBidi" w:cstheme="majorBidi"/>
                <w:sz w:val="24"/>
                <w:szCs w:val="24"/>
                <w:vertAlign w:val="superscript"/>
              </w:rPr>
              <w:t>66</w:t>
            </w:r>
          </w:p>
        </w:tc>
        <w:tc>
          <w:tcPr>
            <w:tcW w:w="1985" w:type="dxa"/>
            <w:shd w:val="clear" w:color="auto" w:fill="FFFFFF" w:themeFill="background1"/>
            <w:vAlign w:val="center"/>
          </w:tcPr>
          <w:p w14:paraId="104C9D8E"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Management of Key Performance Indicators by Heads of Higher Education Institutions</w:t>
            </w:r>
          </w:p>
        </w:tc>
        <w:tc>
          <w:tcPr>
            <w:tcW w:w="2693" w:type="dxa"/>
            <w:shd w:val="clear" w:color="auto" w:fill="FFFFFF" w:themeFill="background1"/>
            <w:vAlign w:val="center"/>
          </w:tcPr>
          <w:p w14:paraId="6645058F"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A management system of key performance indicators is proposed to solve management-related issues and the motivation of staff on all levels of management. The study contributes to the development of the environment, which is financially profitable, quality of education, social security, and scientific potential that helps institution management to achieve their goals effectively.</w:t>
            </w:r>
          </w:p>
        </w:tc>
        <w:tc>
          <w:tcPr>
            <w:tcW w:w="1271" w:type="dxa"/>
            <w:shd w:val="clear" w:color="auto" w:fill="FFFFFF" w:themeFill="background1"/>
            <w:vAlign w:val="center"/>
          </w:tcPr>
          <w:p w14:paraId="00F328E7"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Higher Education Institutions (HEIs)</w:t>
            </w:r>
          </w:p>
        </w:tc>
        <w:tc>
          <w:tcPr>
            <w:tcW w:w="5391" w:type="dxa"/>
            <w:shd w:val="clear" w:color="auto" w:fill="FFFFFF" w:themeFill="background1"/>
            <w:vAlign w:val="center"/>
          </w:tcPr>
          <w:p w14:paraId="0B74D341"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 xml:space="preserve">The study halt that despite the commercial focus and relatively recent development, the use of key performance indicators (KPIs) as a management system has proven effective for solving management issues and promoting staff motivation at all levels. Moreover, implementing this system can benefit all stakeholders, not just leadership. </w:t>
            </w:r>
          </w:p>
          <w:p w14:paraId="1BD913F9"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 xml:space="preserve">By motivating staff to achieve set goals, educational institutions can continuously develop and improve programs and events, which is advantageous to students. The involvement of teaching staff in enhancing the quality of education further contributes to this goal. </w:t>
            </w:r>
          </w:p>
          <w:p w14:paraId="71DFEEA4"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In addition, institutions can use KPIs to attract and retain valuable employees through competitive pay and transparent bonus systems, reducing non-targeted expenses. By directly influencing their income, teaching staff can be motivated to achieve a high overall result, contributing to a more motivating work environment.</w:t>
            </w:r>
          </w:p>
        </w:tc>
      </w:tr>
      <w:tr w:rsidR="00F342EF" w:rsidRPr="00373C7B" w14:paraId="334F306F" w14:textId="77777777" w:rsidTr="002C4DF7">
        <w:trPr>
          <w:trHeight w:val="3595"/>
        </w:trPr>
        <w:tc>
          <w:tcPr>
            <w:tcW w:w="562" w:type="dxa"/>
            <w:shd w:val="clear" w:color="auto" w:fill="FFFFFF" w:themeFill="background1"/>
            <w:vAlign w:val="center"/>
          </w:tcPr>
          <w:p w14:paraId="5504EF27"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lastRenderedPageBreak/>
              <w:t>10</w:t>
            </w:r>
          </w:p>
        </w:tc>
        <w:tc>
          <w:tcPr>
            <w:tcW w:w="1134" w:type="dxa"/>
            <w:shd w:val="clear" w:color="auto" w:fill="FFFFFF" w:themeFill="background1"/>
            <w:vAlign w:val="center"/>
          </w:tcPr>
          <w:p w14:paraId="6C461E87" w14:textId="06908752" w:rsidR="00F342EF" w:rsidRPr="00373C7B" w:rsidRDefault="00F342EF" w:rsidP="00D848E1">
            <w:pPr>
              <w:rPr>
                <w:rFonts w:asciiTheme="majorBidi" w:hAnsiTheme="majorBidi" w:cstheme="majorBidi"/>
                <w:sz w:val="24"/>
                <w:szCs w:val="24"/>
              </w:rPr>
            </w:pPr>
            <w:r w:rsidRPr="00373C7B">
              <w:rPr>
                <w:rFonts w:asciiTheme="majorBidi" w:hAnsiTheme="majorBidi" w:cstheme="majorBidi"/>
                <w:sz w:val="24"/>
                <w:szCs w:val="24"/>
              </w:rPr>
              <w:t>Zorica Lazić et al 2021</w:t>
            </w:r>
            <w:r w:rsidR="00D848E1">
              <w:rPr>
                <w:rFonts w:asciiTheme="majorBidi" w:hAnsiTheme="majorBidi" w:cstheme="majorBidi"/>
                <w:sz w:val="24"/>
                <w:szCs w:val="24"/>
              </w:rPr>
              <w:t xml:space="preserve"> </w:t>
            </w:r>
            <w:r w:rsidR="00D848E1" w:rsidRPr="00D848E1">
              <w:rPr>
                <w:rFonts w:asciiTheme="majorBidi" w:hAnsiTheme="majorBidi" w:cstheme="majorBidi"/>
                <w:sz w:val="24"/>
                <w:szCs w:val="24"/>
                <w:vertAlign w:val="superscript"/>
              </w:rPr>
              <w:t>67</w:t>
            </w:r>
          </w:p>
        </w:tc>
        <w:tc>
          <w:tcPr>
            <w:tcW w:w="1985" w:type="dxa"/>
            <w:shd w:val="clear" w:color="auto" w:fill="FFFFFF" w:themeFill="background1"/>
            <w:vAlign w:val="center"/>
          </w:tcPr>
          <w:p w14:paraId="590E103C"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Improvement of Quality of Higher Education Institutions as a Basis for Improvement of Quality of Life</w:t>
            </w:r>
          </w:p>
        </w:tc>
        <w:tc>
          <w:tcPr>
            <w:tcW w:w="2693" w:type="dxa"/>
            <w:shd w:val="clear" w:color="auto" w:fill="FFFFFF" w:themeFill="background1"/>
            <w:vAlign w:val="center"/>
          </w:tcPr>
          <w:p w14:paraId="0B91BCEB"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 xml:space="preserve">A new ranking system was developed after evaluating various ranking systems, examining their features, advantages, and disadvantages, such that the new system incorporates criteria weights and different perspectives to address the needs of the modern digital age. </w:t>
            </w:r>
          </w:p>
          <w:p w14:paraId="71094528" w14:textId="77777777" w:rsidR="00F342EF" w:rsidRPr="00373C7B" w:rsidRDefault="00F342EF" w:rsidP="002C4DF7">
            <w:pPr>
              <w:jc w:val="both"/>
              <w:rPr>
                <w:rFonts w:asciiTheme="majorBidi" w:hAnsiTheme="majorBidi" w:cstheme="majorBidi"/>
                <w:sz w:val="24"/>
                <w:szCs w:val="24"/>
              </w:rPr>
            </w:pPr>
          </w:p>
        </w:tc>
        <w:tc>
          <w:tcPr>
            <w:tcW w:w="1271" w:type="dxa"/>
            <w:shd w:val="clear" w:color="auto" w:fill="FFFFFF" w:themeFill="background1"/>
            <w:vAlign w:val="center"/>
          </w:tcPr>
          <w:p w14:paraId="0BAEFBCE"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Higher Education Institutions (HEIs)</w:t>
            </w:r>
          </w:p>
        </w:tc>
        <w:tc>
          <w:tcPr>
            <w:tcW w:w="5391" w:type="dxa"/>
            <w:shd w:val="clear" w:color="auto" w:fill="FFFFFF" w:themeFill="background1"/>
            <w:vAlign w:val="center"/>
          </w:tcPr>
          <w:p w14:paraId="52FED372"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The formulation of a model for performance-based evaluation in higher education (HE) - for both institutions and study programs hold significant significance for various groups of stakeholders such as.</w:t>
            </w:r>
          </w:p>
          <w:p w14:paraId="15028C71"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The academic community and the universities in a specific country</w:t>
            </w:r>
          </w:p>
          <w:p w14:paraId="1DD27E3B"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Students</w:t>
            </w:r>
          </w:p>
          <w:p w14:paraId="2F41533C"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Industry and business</w:t>
            </w:r>
          </w:p>
          <w:p w14:paraId="7822E84E"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The National Employment Service and the Statistical Office of the Republic of Serbia’s</w:t>
            </w:r>
          </w:p>
          <w:p w14:paraId="6E36EB6C"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Government and state institutions (policymakers)</w:t>
            </w:r>
          </w:p>
          <w:p w14:paraId="4BF28E70"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The newly developed mathematical model has enabled the creation of a quality assessment and ranking system for higher education institutions, as well as a decision-support system for identifying the optimal strategy to enhance the performance of study programs and HE institutions in terms of quality.</w:t>
            </w:r>
          </w:p>
        </w:tc>
      </w:tr>
      <w:tr w:rsidR="00F342EF" w:rsidRPr="00D61735" w14:paraId="1446EF1F" w14:textId="77777777" w:rsidTr="002C4DF7">
        <w:trPr>
          <w:trHeight w:val="1408"/>
        </w:trPr>
        <w:tc>
          <w:tcPr>
            <w:tcW w:w="562" w:type="dxa"/>
            <w:shd w:val="clear" w:color="auto" w:fill="FFFFFF" w:themeFill="background1"/>
            <w:vAlign w:val="center"/>
          </w:tcPr>
          <w:p w14:paraId="0001F2B0"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t>11</w:t>
            </w:r>
          </w:p>
        </w:tc>
        <w:tc>
          <w:tcPr>
            <w:tcW w:w="1134" w:type="dxa"/>
            <w:shd w:val="clear" w:color="auto" w:fill="FFFFFF" w:themeFill="background1"/>
            <w:vAlign w:val="center"/>
          </w:tcPr>
          <w:p w14:paraId="65C7EDAD"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R. Chinta, M Et al. 2016</w:t>
            </w:r>
          </w:p>
          <w:p w14:paraId="41F5F857" w14:textId="77777777" w:rsidR="00F342EF" w:rsidRPr="00373C7B" w:rsidRDefault="00F342EF" w:rsidP="002C4DF7">
            <w:pPr>
              <w:rPr>
                <w:rFonts w:asciiTheme="majorBidi" w:hAnsiTheme="majorBidi" w:cstheme="majorBidi"/>
                <w:sz w:val="24"/>
                <w:szCs w:val="24"/>
              </w:rPr>
            </w:pPr>
            <w:r w:rsidRPr="00DD325B">
              <w:rPr>
                <w:rFonts w:asciiTheme="majorBidi" w:hAnsiTheme="majorBidi" w:cstheme="majorBidi"/>
                <w:noProof/>
                <w:sz w:val="24"/>
                <w:szCs w:val="24"/>
                <w:vertAlign w:val="superscript"/>
              </w:rPr>
              <w:t>61</w:t>
            </w:r>
          </w:p>
        </w:tc>
        <w:tc>
          <w:tcPr>
            <w:tcW w:w="1985" w:type="dxa"/>
            <w:shd w:val="clear" w:color="auto" w:fill="FFFFFF" w:themeFill="background1"/>
            <w:vAlign w:val="center"/>
          </w:tcPr>
          <w:p w14:paraId="1444F7ED" w14:textId="77777777" w:rsidR="00F342EF" w:rsidRPr="00373C7B" w:rsidRDefault="00F342EF" w:rsidP="002C4DF7">
            <w:pPr>
              <w:rPr>
                <w:rFonts w:asciiTheme="majorBidi" w:hAnsiTheme="majorBidi" w:cstheme="majorBidi"/>
                <w:sz w:val="24"/>
                <w:szCs w:val="24"/>
              </w:rPr>
            </w:pPr>
            <w:r w:rsidRPr="00373C7B">
              <w:rPr>
                <w:rFonts w:asciiTheme="majorBidi" w:hAnsiTheme="majorBidi" w:cstheme="majorBidi"/>
                <w:sz w:val="24"/>
                <w:szCs w:val="24"/>
              </w:rPr>
              <w:t>A conceptual framework for evaluating higher education institutions</w:t>
            </w:r>
          </w:p>
        </w:tc>
        <w:tc>
          <w:tcPr>
            <w:tcW w:w="2693" w:type="dxa"/>
            <w:shd w:val="clear" w:color="auto" w:fill="FFFFFF" w:themeFill="background1"/>
            <w:vAlign w:val="center"/>
          </w:tcPr>
          <w:p w14:paraId="34E7FC2A" w14:textId="77777777" w:rsidR="00F342EF" w:rsidRPr="00373C7B" w:rsidRDefault="00F342EF" w:rsidP="002C4DF7">
            <w:pPr>
              <w:jc w:val="both"/>
              <w:rPr>
                <w:rFonts w:asciiTheme="majorBidi" w:hAnsiTheme="majorBidi" w:cstheme="majorBidi"/>
                <w:sz w:val="24"/>
                <w:szCs w:val="24"/>
              </w:rPr>
            </w:pPr>
            <w:r w:rsidRPr="00373C7B">
              <w:rPr>
                <w:rFonts w:asciiTheme="majorBidi" w:hAnsiTheme="majorBidi" w:cstheme="majorBidi"/>
                <w:sz w:val="24"/>
                <w:szCs w:val="24"/>
              </w:rPr>
              <w:t xml:space="preserve">A context, input, process, and product (CIPP) model were used to develop a framework for evaluating higher education institutions.  The framework, model, and guidelines proposed in the study, as well as any evidence supporting their effectiveness, are useful for institutions to identify areas for improvement and make informed decisions about </w:t>
            </w:r>
            <w:r w:rsidRPr="00373C7B">
              <w:rPr>
                <w:rFonts w:asciiTheme="majorBidi" w:hAnsiTheme="majorBidi" w:cstheme="majorBidi"/>
                <w:sz w:val="24"/>
                <w:szCs w:val="24"/>
              </w:rPr>
              <w:lastRenderedPageBreak/>
              <w:t>how to allocate resources and improve their programs.</w:t>
            </w:r>
          </w:p>
        </w:tc>
        <w:tc>
          <w:tcPr>
            <w:tcW w:w="1271" w:type="dxa"/>
            <w:shd w:val="clear" w:color="auto" w:fill="FFFFFF" w:themeFill="background1"/>
            <w:vAlign w:val="center"/>
          </w:tcPr>
          <w:p w14:paraId="42C1B285" w14:textId="77777777" w:rsidR="00F342EF" w:rsidRPr="00373C7B" w:rsidRDefault="00F342EF" w:rsidP="002C4DF7">
            <w:pPr>
              <w:jc w:val="center"/>
              <w:rPr>
                <w:rFonts w:asciiTheme="majorBidi" w:hAnsiTheme="majorBidi" w:cstheme="majorBidi"/>
                <w:sz w:val="24"/>
                <w:szCs w:val="24"/>
              </w:rPr>
            </w:pPr>
            <w:r w:rsidRPr="00373C7B">
              <w:rPr>
                <w:rFonts w:asciiTheme="majorBidi" w:hAnsiTheme="majorBidi" w:cstheme="majorBidi"/>
                <w:sz w:val="24"/>
                <w:szCs w:val="24"/>
              </w:rPr>
              <w:lastRenderedPageBreak/>
              <w:t>Higher Education Institutions (HEIs)</w:t>
            </w:r>
          </w:p>
        </w:tc>
        <w:tc>
          <w:tcPr>
            <w:tcW w:w="5391" w:type="dxa"/>
            <w:shd w:val="clear" w:color="auto" w:fill="FFFFFF" w:themeFill="background1"/>
            <w:vAlign w:val="center"/>
          </w:tcPr>
          <w:p w14:paraId="1BEA7B4D"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This paper addresses a gap in the CIPP model by proposing nine perspectives on metrics and benchmarks that can be used to assess the performance of higher education institutions. Incorporating benchmarks into the model can help institutions to identify areas where they need to improve and develop strategies for achieving better outcomes.</w:t>
            </w:r>
          </w:p>
          <w:p w14:paraId="0D88EA6E"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t>By looking at an institution's inputs, processes, and outputs and comparing them to benchmarks, it becomes possible to identify areas where the institution is underperforming and to take corrective action. This can help institutions to continuously improve and to ensure that they are providing a high-quality education to their students.</w:t>
            </w:r>
          </w:p>
          <w:p w14:paraId="58962CF1" w14:textId="77777777" w:rsidR="00F342EF" w:rsidRPr="00373C7B" w:rsidRDefault="00F342EF" w:rsidP="002C4DF7">
            <w:pPr>
              <w:pStyle w:val="ListParagraph"/>
              <w:numPr>
                <w:ilvl w:val="0"/>
                <w:numId w:val="1"/>
              </w:numPr>
              <w:ind w:left="157" w:hanging="203"/>
              <w:jc w:val="both"/>
              <w:rPr>
                <w:rFonts w:asciiTheme="majorBidi" w:hAnsiTheme="majorBidi" w:cstheme="majorBidi"/>
                <w:sz w:val="24"/>
                <w:szCs w:val="24"/>
              </w:rPr>
            </w:pPr>
            <w:r w:rsidRPr="00373C7B">
              <w:rPr>
                <w:rFonts w:asciiTheme="majorBidi" w:hAnsiTheme="majorBidi" w:cstheme="majorBidi"/>
                <w:sz w:val="24"/>
                <w:szCs w:val="24"/>
              </w:rPr>
              <w:lastRenderedPageBreak/>
              <w:t>Also, comparing a higher education institution's performance to an aspirational benchmark rather than just external competitors can be more effective in inspiring further performance improvement initiatives.</w:t>
            </w:r>
          </w:p>
        </w:tc>
      </w:tr>
    </w:tbl>
    <w:p w14:paraId="00503C60" w14:textId="77777777" w:rsidR="00F342EF" w:rsidRDefault="00F342EF" w:rsidP="00F342EF">
      <w:pPr>
        <w:pStyle w:val="ListParagraph"/>
        <w:jc w:val="both"/>
        <w:rPr>
          <w:rFonts w:asciiTheme="majorBidi" w:hAnsiTheme="majorBidi" w:cstheme="majorBidi"/>
        </w:rPr>
      </w:pPr>
    </w:p>
    <w:p w14:paraId="2128E6A0" w14:textId="77777777" w:rsidR="00F342EF" w:rsidRDefault="00F342EF" w:rsidP="00F342EF"/>
    <w:p w14:paraId="0F725064" w14:textId="77777777" w:rsidR="00AA2405" w:rsidRDefault="00AA2405"/>
    <w:sectPr w:rsidR="00AA2405" w:rsidSect="00760218">
      <w:footerReference w:type="even" r:id="rId7"/>
      <w:footerReference w:type="default" r:id="rId8"/>
      <w:footerReference w:type="first" r:id="rId9"/>
      <w:pgSz w:w="15840" w:h="12240" w:orient="landscape"/>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D07A" w14:textId="77777777" w:rsidR="00760218" w:rsidRDefault="00760218" w:rsidP="00C57382">
      <w:pPr>
        <w:spacing w:after="0" w:line="240" w:lineRule="auto"/>
      </w:pPr>
      <w:r>
        <w:separator/>
      </w:r>
    </w:p>
  </w:endnote>
  <w:endnote w:type="continuationSeparator" w:id="0">
    <w:p w14:paraId="7EDC85B8" w14:textId="77777777" w:rsidR="00760218" w:rsidRDefault="00760218" w:rsidP="00C5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FB32" w14:textId="22146B68" w:rsidR="00C57382" w:rsidRDefault="00C57382">
    <w:pPr>
      <w:pStyle w:val="Footer"/>
    </w:pPr>
    <w:r>
      <w:rPr>
        <w:noProof/>
        <w14:ligatures w14:val="standardContextual"/>
      </w:rPr>
      <mc:AlternateContent>
        <mc:Choice Requires="wps">
          <w:drawing>
            <wp:anchor distT="0" distB="0" distL="0" distR="0" simplePos="0" relativeHeight="251659264" behindDoc="0" locked="0" layoutInCell="1" allowOverlap="1" wp14:anchorId="04692C15" wp14:editId="54487580">
              <wp:simplePos x="635" y="635"/>
              <wp:positionH relativeFrom="page">
                <wp:align>left</wp:align>
              </wp:positionH>
              <wp:positionV relativeFrom="page">
                <wp:align>bottom</wp:align>
              </wp:positionV>
              <wp:extent cx="443865" cy="443865"/>
              <wp:effectExtent l="0" t="0" r="9525" b="0"/>
              <wp:wrapNone/>
              <wp:docPr id="40754156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88F3C" w14:textId="34ABA267" w:rsidR="00C57382" w:rsidRPr="00C57382" w:rsidRDefault="00C57382" w:rsidP="00C57382">
                          <w:pPr>
                            <w:spacing w:after="0"/>
                            <w:rPr>
                              <w:rFonts w:ascii="Rockwell" w:eastAsia="Rockwell" w:hAnsi="Rockwell" w:cs="Rockwell"/>
                              <w:noProof/>
                              <w:color w:val="0078D7"/>
                              <w:sz w:val="18"/>
                              <w:szCs w:val="18"/>
                            </w:rPr>
                          </w:pPr>
                          <w:r w:rsidRPr="00C5738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692C1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2488F3C" w14:textId="34ABA267" w:rsidR="00C57382" w:rsidRPr="00C57382" w:rsidRDefault="00C57382" w:rsidP="00C57382">
                    <w:pPr>
                      <w:spacing w:after="0"/>
                      <w:rPr>
                        <w:rFonts w:ascii="Rockwell" w:eastAsia="Rockwell" w:hAnsi="Rockwell" w:cs="Rockwell"/>
                        <w:noProof/>
                        <w:color w:val="0078D7"/>
                        <w:sz w:val="18"/>
                        <w:szCs w:val="18"/>
                      </w:rPr>
                    </w:pPr>
                    <w:r w:rsidRPr="00C5738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2D67" w14:textId="2FC102CB" w:rsidR="00C57382" w:rsidRDefault="00C57382">
    <w:pPr>
      <w:pStyle w:val="Footer"/>
    </w:pPr>
    <w:r>
      <w:rPr>
        <w:noProof/>
        <w14:ligatures w14:val="standardContextual"/>
      </w:rPr>
      <mc:AlternateContent>
        <mc:Choice Requires="wps">
          <w:drawing>
            <wp:anchor distT="0" distB="0" distL="0" distR="0" simplePos="0" relativeHeight="251660288" behindDoc="0" locked="0" layoutInCell="1" allowOverlap="1" wp14:anchorId="1A94EC68" wp14:editId="07542E88">
              <wp:simplePos x="914400" y="7145079"/>
              <wp:positionH relativeFrom="page">
                <wp:align>left</wp:align>
              </wp:positionH>
              <wp:positionV relativeFrom="page">
                <wp:align>bottom</wp:align>
              </wp:positionV>
              <wp:extent cx="443865" cy="443865"/>
              <wp:effectExtent l="0" t="0" r="9525" b="0"/>
              <wp:wrapNone/>
              <wp:docPr id="95181433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1535A0" w14:textId="73B6F3B1" w:rsidR="00C57382" w:rsidRPr="00C57382" w:rsidRDefault="00C57382" w:rsidP="00C57382">
                          <w:pPr>
                            <w:spacing w:after="0"/>
                            <w:rPr>
                              <w:rFonts w:ascii="Rockwell" w:eastAsia="Rockwell" w:hAnsi="Rockwell" w:cs="Rockwell"/>
                              <w:noProof/>
                              <w:color w:val="0078D7"/>
                              <w:sz w:val="18"/>
                              <w:szCs w:val="18"/>
                            </w:rPr>
                          </w:pPr>
                          <w:r w:rsidRPr="00C5738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94EC6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71535A0" w14:textId="73B6F3B1" w:rsidR="00C57382" w:rsidRPr="00C57382" w:rsidRDefault="00C57382" w:rsidP="00C57382">
                    <w:pPr>
                      <w:spacing w:after="0"/>
                      <w:rPr>
                        <w:rFonts w:ascii="Rockwell" w:eastAsia="Rockwell" w:hAnsi="Rockwell" w:cs="Rockwell"/>
                        <w:noProof/>
                        <w:color w:val="0078D7"/>
                        <w:sz w:val="18"/>
                        <w:szCs w:val="18"/>
                      </w:rPr>
                    </w:pPr>
                    <w:r w:rsidRPr="00C5738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A6C7" w14:textId="69BA2CC6" w:rsidR="00C57382" w:rsidRDefault="00C57382">
    <w:pPr>
      <w:pStyle w:val="Footer"/>
    </w:pPr>
    <w:r>
      <w:rPr>
        <w:noProof/>
        <w14:ligatures w14:val="standardContextual"/>
      </w:rPr>
      <mc:AlternateContent>
        <mc:Choice Requires="wps">
          <w:drawing>
            <wp:anchor distT="0" distB="0" distL="0" distR="0" simplePos="0" relativeHeight="251658240" behindDoc="0" locked="0" layoutInCell="1" allowOverlap="1" wp14:anchorId="265493FA" wp14:editId="72FC8604">
              <wp:simplePos x="635" y="635"/>
              <wp:positionH relativeFrom="page">
                <wp:align>left</wp:align>
              </wp:positionH>
              <wp:positionV relativeFrom="page">
                <wp:align>bottom</wp:align>
              </wp:positionV>
              <wp:extent cx="443865" cy="443865"/>
              <wp:effectExtent l="0" t="0" r="9525" b="0"/>
              <wp:wrapNone/>
              <wp:docPr id="184366015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04CDB8" w14:textId="4954F232" w:rsidR="00C57382" w:rsidRPr="00C57382" w:rsidRDefault="00C57382" w:rsidP="00C57382">
                          <w:pPr>
                            <w:spacing w:after="0"/>
                            <w:rPr>
                              <w:rFonts w:ascii="Rockwell" w:eastAsia="Rockwell" w:hAnsi="Rockwell" w:cs="Rockwell"/>
                              <w:noProof/>
                              <w:color w:val="0078D7"/>
                              <w:sz w:val="18"/>
                              <w:szCs w:val="18"/>
                            </w:rPr>
                          </w:pPr>
                          <w:r w:rsidRPr="00C5738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5493F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E04CDB8" w14:textId="4954F232" w:rsidR="00C57382" w:rsidRPr="00C57382" w:rsidRDefault="00C57382" w:rsidP="00C57382">
                    <w:pPr>
                      <w:spacing w:after="0"/>
                      <w:rPr>
                        <w:rFonts w:ascii="Rockwell" w:eastAsia="Rockwell" w:hAnsi="Rockwell" w:cs="Rockwell"/>
                        <w:noProof/>
                        <w:color w:val="0078D7"/>
                        <w:sz w:val="18"/>
                        <w:szCs w:val="18"/>
                      </w:rPr>
                    </w:pPr>
                    <w:r w:rsidRPr="00C5738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140E" w14:textId="77777777" w:rsidR="00760218" w:rsidRDefault="00760218" w:rsidP="00C57382">
      <w:pPr>
        <w:spacing w:after="0" w:line="240" w:lineRule="auto"/>
      </w:pPr>
      <w:r>
        <w:separator/>
      </w:r>
    </w:p>
  </w:footnote>
  <w:footnote w:type="continuationSeparator" w:id="0">
    <w:p w14:paraId="6E07FF85" w14:textId="77777777" w:rsidR="00760218" w:rsidRDefault="00760218" w:rsidP="00C5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4D77"/>
    <w:multiLevelType w:val="hybridMultilevel"/>
    <w:tmpl w:val="4C22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81C45"/>
    <w:multiLevelType w:val="hybridMultilevel"/>
    <w:tmpl w:val="57B4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75322"/>
    <w:multiLevelType w:val="hybridMultilevel"/>
    <w:tmpl w:val="297497B0"/>
    <w:lvl w:ilvl="0" w:tplc="E4A2A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D6FA1"/>
    <w:multiLevelType w:val="hybridMultilevel"/>
    <w:tmpl w:val="DABC074E"/>
    <w:lvl w:ilvl="0" w:tplc="9C6EA7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817973">
    <w:abstractNumId w:val="2"/>
  </w:num>
  <w:num w:numId="2" w16cid:durableId="1509635006">
    <w:abstractNumId w:val="0"/>
  </w:num>
  <w:num w:numId="3" w16cid:durableId="914819038">
    <w:abstractNumId w:val="1"/>
  </w:num>
  <w:num w:numId="4" w16cid:durableId="726299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EF"/>
    <w:rsid w:val="002144BF"/>
    <w:rsid w:val="002E14B9"/>
    <w:rsid w:val="003078A6"/>
    <w:rsid w:val="00436CAE"/>
    <w:rsid w:val="005C6AF7"/>
    <w:rsid w:val="005F064B"/>
    <w:rsid w:val="006401C2"/>
    <w:rsid w:val="00760218"/>
    <w:rsid w:val="00806144"/>
    <w:rsid w:val="00813D99"/>
    <w:rsid w:val="00856E9E"/>
    <w:rsid w:val="00893D71"/>
    <w:rsid w:val="00AA2405"/>
    <w:rsid w:val="00B84357"/>
    <w:rsid w:val="00BB3D4C"/>
    <w:rsid w:val="00C57382"/>
    <w:rsid w:val="00CF5159"/>
    <w:rsid w:val="00D11A57"/>
    <w:rsid w:val="00D848E1"/>
    <w:rsid w:val="00F342EF"/>
    <w:rsid w:val="00F64754"/>
    <w:rsid w:val="00F912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75B8"/>
  <w15:chartTrackingRefBased/>
  <w15:docId w15:val="{AB7E8938-5D25-46CC-99CC-7E1123AF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EF"/>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2EF"/>
    <w:pPr>
      <w:ind w:left="720"/>
      <w:contextualSpacing/>
    </w:pPr>
  </w:style>
  <w:style w:type="table" w:styleId="TableGrid">
    <w:name w:val="Table Grid"/>
    <w:basedOn w:val="TableNormal"/>
    <w:uiPriority w:val="39"/>
    <w:rsid w:val="00F342E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342EF"/>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
    <w:name w:val="EndNote Bibliography"/>
    <w:basedOn w:val="Normal"/>
    <w:link w:val="EndNoteBibliographyChar"/>
    <w:rsid w:val="00F342E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342EF"/>
    <w:rPr>
      <w:rFonts w:ascii="Calibri" w:hAnsi="Calibri" w:cs="Calibri"/>
      <w:noProof/>
      <w:kern w:val="0"/>
      <w:lang w:val="en-US"/>
      <w14:ligatures w14:val="none"/>
    </w:rPr>
  </w:style>
  <w:style w:type="character" w:styleId="LineNumber">
    <w:name w:val="line number"/>
    <w:basedOn w:val="DefaultParagraphFont"/>
    <w:uiPriority w:val="99"/>
    <w:semiHidden/>
    <w:unhideWhenUsed/>
    <w:rsid w:val="00F342EF"/>
  </w:style>
  <w:style w:type="paragraph" w:styleId="Footer">
    <w:name w:val="footer"/>
    <w:basedOn w:val="Normal"/>
    <w:link w:val="FooterChar"/>
    <w:uiPriority w:val="99"/>
    <w:unhideWhenUsed/>
    <w:rsid w:val="00C57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82"/>
    <w:rPr>
      <w:kern w:val="0"/>
      <w:lang w:val="en-US"/>
      <w14:ligatures w14:val="none"/>
    </w:rPr>
  </w:style>
  <w:style w:type="character" w:styleId="CommentReference">
    <w:name w:val="annotation reference"/>
    <w:basedOn w:val="DefaultParagraphFont"/>
    <w:uiPriority w:val="99"/>
    <w:semiHidden/>
    <w:unhideWhenUsed/>
    <w:rsid w:val="005C6AF7"/>
    <w:rPr>
      <w:sz w:val="16"/>
      <w:szCs w:val="16"/>
    </w:rPr>
  </w:style>
  <w:style w:type="paragraph" w:styleId="CommentText">
    <w:name w:val="annotation text"/>
    <w:basedOn w:val="Normal"/>
    <w:link w:val="CommentTextChar"/>
    <w:uiPriority w:val="99"/>
    <w:semiHidden/>
    <w:unhideWhenUsed/>
    <w:rsid w:val="005C6AF7"/>
    <w:pPr>
      <w:spacing w:line="240" w:lineRule="auto"/>
    </w:pPr>
    <w:rPr>
      <w:sz w:val="20"/>
      <w:szCs w:val="20"/>
    </w:rPr>
  </w:style>
  <w:style w:type="character" w:customStyle="1" w:styleId="CommentTextChar">
    <w:name w:val="Comment Text Char"/>
    <w:basedOn w:val="DefaultParagraphFont"/>
    <w:link w:val="CommentText"/>
    <w:uiPriority w:val="99"/>
    <w:semiHidden/>
    <w:rsid w:val="005C6AF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C6AF7"/>
    <w:rPr>
      <w:b/>
      <w:bCs/>
    </w:rPr>
  </w:style>
  <w:style w:type="character" w:customStyle="1" w:styleId="CommentSubjectChar">
    <w:name w:val="Comment Subject Char"/>
    <w:basedOn w:val="CommentTextChar"/>
    <w:link w:val="CommentSubject"/>
    <w:uiPriority w:val="99"/>
    <w:semiHidden/>
    <w:rsid w:val="005C6AF7"/>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Reviwer 1</dc:creator>
  <cp:keywords/>
  <dc:description/>
  <cp:lastModifiedBy>Shaw, Grace</cp:lastModifiedBy>
  <cp:revision>3</cp:revision>
  <dcterms:created xsi:type="dcterms:W3CDTF">2024-03-14T00:33:00Z</dcterms:created>
  <dcterms:modified xsi:type="dcterms:W3CDTF">2024-03-14T00:33:00Z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6de4057c,184a973d,38bb88c3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2024-03-06T20:47:21Z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45e7a94b-d6b0-4dfb-9d93-3b9c127d56a2</vt:lpwstr>
  </property>
  <property fmtid="{D5CDD505-2E9C-101B-9397-08002B2CF9AE}" pid="11" name="MSIP_Label_2bbab825-a111-45e4-86a1-18cee0005896_ContentBits">
    <vt:lpwstr>2</vt:lpwstr>
  </property>
</Properties>
</file>