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81FD7" w14:textId="77777777" w:rsidR="00787B27" w:rsidRPr="00787B27" w:rsidRDefault="008D3997" w:rsidP="00787B27">
      <w:pPr>
        <w:rPr>
          <w:rFonts w:ascii="Arial" w:hAnsi="Arial" w:cs="Arial"/>
          <w:sz w:val="24"/>
          <w:szCs w:val="24"/>
        </w:rPr>
      </w:pPr>
      <w:r w:rsidRPr="00F5110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Supplemental material </w:t>
      </w:r>
      <w:r w:rsidR="00AE6123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Pr="00F51108">
        <w:rPr>
          <w:rFonts w:ascii="Arial" w:hAnsi="Arial" w:cs="Arial"/>
          <w:b/>
          <w:bCs/>
          <w:sz w:val="24"/>
          <w:szCs w:val="24"/>
        </w:rPr>
        <w:t>.</w:t>
      </w:r>
      <w:r w:rsidRPr="00F51108">
        <w:rPr>
          <w:rFonts w:ascii="Arial" w:hAnsi="Arial" w:cs="Arial"/>
          <w:sz w:val="24"/>
          <w:szCs w:val="24"/>
        </w:rPr>
        <w:t xml:space="preserve"> </w:t>
      </w:r>
      <w:r w:rsidR="00787B27" w:rsidRPr="00787B27">
        <w:rPr>
          <w:rFonts w:ascii="Arial" w:hAnsi="Arial" w:cs="Arial"/>
          <w:sz w:val="24"/>
          <w:szCs w:val="24"/>
        </w:rPr>
        <w:t xml:space="preserve">Two-dimensional renderings of the particles from Experiment 3. </w:t>
      </w:r>
    </w:p>
    <w:p w14:paraId="68E3A94B" w14:textId="64BDBF28" w:rsidR="008D3997" w:rsidRDefault="008D3997" w:rsidP="008D3997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04D5E64" wp14:editId="58E8F53B">
            <wp:simplePos x="0" y="0"/>
            <wp:positionH relativeFrom="column">
              <wp:posOffset>219075</wp:posOffset>
            </wp:positionH>
            <wp:positionV relativeFrom="paragraph">
              <wp:posOffset>8890</wp:posOffset>
            </wp:positionV>
            <wp:extent cx="5048250" cy="5240655"/>
            <wp:effectExtent l="0" t="0" r="0" b="0"/>
            <wp:wrapTight wrapText="bothSides">
              <wp:wrapPolygon edited="0">
                <wp:start x="0" y="0"/>
                <wp:lineTo x="0" y="21514"/>
                <wp:lineTo x="21518" y="21514"/>
                <wp:lineTo x="21518" y="0"/>
                <wp:lineTo x="0" y="0"/>
              </wp:wrapPolygon>
            </wp:wrapTight>
            <wp:docPr id="388205789" name="Picture 1" descr="A diagram of a tes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205789" name="Picture 1" descr="A diagram of a tes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524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4B29C8" w14:textId="7D45D38E" w:rsidR="008D3997" w:rsidRDefault="008D3997" w:rsidP="008D399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6EFA7B2" w14:textId="533F3A88" w:rsidR="008D3997" w:rsidRDefault="008D3997" w:rsidP="008D399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3AA977C" w14:textId="7FF69DEA" w:rsidR="008D3997" w:rsidRDefault="008D3997" w:rsidP="008D399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8E99733" w14:textId="5A96007F" w:rsidR="008D3997" w:rsidRDefault="008D3997" w:rsidP="008D399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BBB03FF" w14:textId="77777777" w:rsidR="008D3997" w:rsidRDefault="008D3997" w:rsidP="008D399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2D39F1E" w14:textId="77777777" w:rsidR="008D3997" w:rsidRDefault="008D3997" w:rsidP="008D399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7450806" w14:textId="77777777" w:rsidR="008D3997" w:rsidRDefault="008D3997" w:rsidP="008D399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EB00D97" w14:textId="77777777" w:rsidR="008D3997" w:rsidRDefault="008D3997" w:rsidP="008D399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0953E5A" w14:textId="77777777" w:rsidR="008D3997" w:rsidRDefault="008D3997" w:rsidP="008D399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37E3908" w14:textId="77777777" w:rsidR="008D3997" w:rsidRDefault="008D3997" w:rsidP="008D399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29EA5BD" w14:textId="77777777" w:rsidR="008D3997" w:rsidRDefault="008D3997" w:rsidP="008D399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3B4D2EE" w14:textId="77777777" w:rsidR="008D3997" w:rsidRDefault="008D3997" w:rsidP="008D399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5A0CE28" w14:textId="77777777" w:rsidR="008D3997" w:rsidRDefault="008D3997" w:rsidP="008D399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D1CE095" w14:textId="77777777" w:rsidR="008D3997" w:rsidRDefault="008D3997" w:rsidP="008D399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7D68CC3" w14:textId="77777777" w:rsidR="008D3997" w:rsidRDefault="008D3997" w:rsidP="008D399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BD0F998" w14:textId="77777777" w:rsidR="008D3997" w:rsidRDefault="008D3997" w:rsidP="008D399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3AFF313" w14:textId="77777777" w:rsidR="008D3997" w:rsidRDefault="008D3997" w:rsidP="008D399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BFB4987" w14:textId="77777777" w:rsidR="008D3997" w:rsidRDefault="008D3997" w:rsidP="008D399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8AC9DD4" w14:textId="77777777" w:rsidR="008D3997" w:rsidRPr="00F51108" w:rsidRDefault="008D3997" w:rsidP="008D3997">
      <w:pPr>
        <w:rPr>
          <w:rFonts w:ascii="Arial" w:hAnsi="Arial" w:cs="Arial"/>
          <w:b/>
          <w:bCs/>
          <w:sz w:val="24"/>
          <w:szCs w:val="24"/>
        </w:rPr>
      </w:pPr>
    </w:p>
    <w:p w14:paraId="7A2569D8" w14:textId="77777777" w:rsidR="008D3997" w:rsidRDefault="008D3997" w:rsidP="008D399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010568D" w14:textId="77777777" w:rsidR="008D3997" w:rsidRDefault="008D3997" w:rsidP="008D399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22FEAAD" w14:textId="568958DD" w:rsidR="008D3997" w:rsidRDefault="007F6B4A" w:rsidP="008D39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13E4BE20" wp14:editId="19FF2D22">
            <wp:simplePos x="0" y="0"/>
            <wp:positionH relativeFrom="margin">
              <wp:posOffset>19050</wp:posOffset>
            </wp:positionH>
            <wp:positionV relativeFrom="paragraph">
              <wp:posOffset>1013460</wp:posOffset>
            </wp:positionV>
            <wp:extent cx="5956935" cy="3228975"/>
            <wp:effectExtent l="0" t="0" r="5715" b="9525"/>
            <wp:wrapTight wrapText="bothSides">
              <wp:wrapPolygon edited="0">
                <wp:start x="0" y="0"/>
                <wp:lineTo x="0" y="21536"/>
                <wp:lineTo x="21552" y="21536"/>
                <wp:lineTo x="21552" y="0"/>
                <wp:lineTo x="0" y="0"/>
              </wp:wrapPolygon>
            </wp:wrapTight>
            <wp:docPr id="16106559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93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3997" w:rsidRPr="00F5110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Supplemental material </w:t>
      </w:r>
      <w:r w:rsidR="00AE6123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8D3997" w:rsidRPr="00F51108">
        <w:rPr>
          <w:rFonts w:ascii="Arial" w:hAnsi="Arial" w:cs="Arial"/>
          <w:sz w:val="24"/>
          <w:szCs w:val="24"/>
        </w:rPr>
        <w:t>.</w:t>
      </w:r>
      <w:r w:rsidRPr="007F6B4A">
        <w:t xml:space="preserve"> </w:t>
      </w:r>
      <w:r w:rsidRPr="007F6B4A">
        <w:rPr>
          <w:rFonts w:ascii="Arial" w:hAnsi="Arial" w:cs="Arial"/>
          <w:sz w:val="24"/>
          <w:szCs w:val="24"/>
        </w:rPr>
        <w:t xml:space="preserve">Results of the particle size analyses (Experiment 3). The particle size distributions of each of the </w:t>
      </w:r>
      <w:r>
        <w:rPr>
          <w:rFonts w:ascii="Arial" w:hAnsi="Arial" w:cs="Arial"/>
          <w:sz w:val="24"/>
          <w:szCs w:val="24"/>
        </w:rPr>
        <w:t>eight</w:t>
      </w:r>
      <w:r w:rsidRPr="007F6B4A">
        <w:rPr>
          <w:rFonts w:ascii="Arial" w:hAnsi="Arial" w:cs="Arial"/>
          <w:sz w:val="24"/>
          <w:szCs w:val="24"/>
        </w:rPr>
        <w:t xml:space="preserve"> HA fillers evaluated are depicted</w:t>
      </w:r>
      <w:r>
        <w:rPr>
          <w:rFonts w:ascii="Arial" w:hAnsi="Arial" w:cs="Arial"/>
          <w:sz w:val="24"/>
          <w:szCs w:val="24"/>
        </w:rPr>
        <w:t xml:space="preserve"> </w:t>
      </w:r>
      <w:r w:rsidRPr="007F6B4A">
        <w:rPr>
          <w:rFonts w:ascii="Arial" w:hAnsi="Arial" w:cs="Arial"/>
          <w:sz w:val="24"/>
          <w:szCs w:val="24"/>
        </w:rPr>
        <w:t>by the histograms. Samples are displayed by increasing mean area [MA (</w:t>
      </w:r>
      <w:proofErr w:type="spellStart"/>
      <w:r w:rsidRPr="007F6B4A">
        <w:rPr>
          <w:rFonts w:ascii="Arial" w:hAnsi="Arial" w:cs="Arial"/>
          <w:sz w:val="24"/>
          <w:szCs w:val="24"/>
        </w:rPr>
        <w:t>μm</w:t>
      </w:r>
      <w:proofErr w:type="spellEnd"/>
      <w:r w:rsidRPr="007F6B4A">
        <w:rPr>
          <w:rFonts w:ascii="Arial" w:hAnsi="Arial" w:cs="Arial"/>
          <w:sz w:val="24"/>
          <w:szCs w:val="24"/>
        </w:rPr>
        <w:t>); upper left (smallest), lower right (largest).</w:t>
      </w:r>
    </w:p>
    <w:p w14:paraId="373B1220" w14:textId="033C179A" w:rsidR="008D3997" w:rsidRPr="00F51108" w:rsidRDefault="008D3997" w:rsidP="008D3997">
      <w:pPr>
        <w:rPr>
          <w:rFonts w:ascii="Arial" w:hAnsi="Arial" w:cs="Arial"/>
          <w:sz w:val="24"/>
          <w:szCs w:val="24"/>
        </w:rPr>
      </w:pPr>
    </w:p>
    <w:p w14:paraId="5F7B611B" w14:textId="6FFC433E" w:rsidR="008D3997" w:rsidRDefault="008D3997" w:rsidP="008D399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26C4D53" w14:textId="4E06719C" w:rsidR="008D3997" w:rsidRDefault="008D3997" w:rsidP="008D399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624D8E5" w14:textId="77777777" w:rsidR="008D3997" w:rsidRDefault="008D3997" w:rsidP="008D399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F05C162" w14:textId="77777777" w:rsidR="008D3997" w:rsidRDefault="008D3997" w:rsidP="008D399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270A601" w14:textId="77777777" w:rsidR="008D3997" w:rsidRDefault="008D3997" w:rsidP="008D399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7F11F0D" w14:textId="77777777" w:rsidR="008D3997" w:rsidRDefault="008D3997" w:rsidP="008D399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2A89CDD" w14:textId="77777777" w:rsidR="008D3997" w:rsidRDefault="008D3997" w:rsidP="008D399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459A355" w14:textId="77777777" w:rsidR="008D3997" w:rsidRDefault="008D3997" w:rsidP="008D399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431AD3B" w14:textId="77777777" w:rsidR="000A1B96" w:rsidRDefault="000A1B96" w:rsidP="008D399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22411B0" w14:textId="77777777" w:rsidR="000A1B96" w:rsidRDefault="000A1B96" w:rsidP="008D399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ED4ABF2" w14:textId="77777777" w:rsidR="000A1B96" w:rsidRDefault="000A1B96" w:rsidP="008D399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E861B1B" w14:textId="77777777" w:rsidR="00AE6123" w:rsidRDefault="00AE6123" w:rsidP="008D399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E4DCA4D" w14:textId="77777777" w:rsidR="00AE6123" w:rsidRPr="00AE6123" w:rsidRDefault="00AE6123" w:rsidP="00AE6123">
      <w:pPr>
        <w:rPr>
          <w:rFonts w:ascii="Arial" w:hAnsi="Arial" w:cs="Arial"/>
          <w:color w:val="000000" w:themeColor="text1"/>
          <w:sz w:val="24"/>
          <w:szCs w:val="24"/>
        </w:rPr>
      </w:pPr>
      <w:r w:rsidRPr="00AE6123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 xml:space="preserve">Supplemental material 3.  </w:t>
      </w:r>
      <w:r w:rsidRPr="00AE6123">
        <w:rPr>
          <w:rFonts w:ascii="Arial" w:hAnsi="Arial" w:cs="Arial"/>
          <w:color w:val="000000" w:themeColor="text1"/>
          <w:sz w:val="24"/>
          <w:szCs w:val="24"/>
        </w:rPr>
        <w:t>Summary of findings. Swelling factor and cohesivity positively correlated.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4"/>
        <w:gridCol w:w="2111"/>
        <w:gridCol w:w="1789"/>
        <w:gridCol w:w="1782"/>
        <w:gridCol w:w="1534"/>
      </w:tblGrid>
      <w:tr w:rsidR="00AE6123" w:rsidRPr="00AE6123" w14:paraId="31B8FF2B" w14:textId="77777777" w:rsidTr="0077042E">
        <w:tc>
          <w:tcPr>
            <w:tcW w:w="2754" w:type="dxa"/>
            <w:shd w:val="clear" w:color="auto" w:fill="A6A6A6" w:themeFill="background1" w:themeFillShade="A6"/>
          </w:tcPr>
          <w:p w14:paraId="4956BCBF" w14:textId="77777777" w:rsidR="00AE6123" w:rsidRPr="00AE6123" w:rsidRDefault="00AE6123" w:rsidP="00AE6123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E612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Manufacturing technology</w:t>
            </w:r>
          </w:p>
        </w:tc>
        <w:tc>
          <w:tcPr>
            <w:tcW w:w="2580" w:type="dxa"/>
            <w:shd w:val="clear" w:color="auto" w:fill="A6A6A6" w:themeFill="background1" w:themeFillShade="A6"/>
          </w:tcPr>
          <w:p w14:paraId="1F93BDE3" w14:textId="77777777" w:rsidR="00AE6123" w:rsidRPr="00AE6123" w:rsidRDefault="00AE6123" w:rsidP="00AE6123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E612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Swelling factor/capacity</w:t>
            </w:r>
          </w:p>
        </w:tc>
        <w:tc>
          <w:tcPr>
            <w:tcW w:w="2633" w:type="dxa"/>
            <w:shd w:val="clear" w:color="auto" w:fill="A6A6A6" w:themeFill="background1" w:themeFillShade="A6"/>
          </w:tcPr>
          <w:p w14:paraId="01E8606C" w14:textId="77777777" w:rsidR="00AE6123" w:rsidRPr="00AE6123" w:rsidRDefault="00AE6123" w:rsidP="00AE6123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E612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Cohesivity </w:t>
            </w:r>
          </w:p>
        </w:tc>
        <w:tc>
          <w:tcPr>
            <w:tcW w:w="2360" w:type="dxa"/>
            <w:shd w:val="clear" w:color="auto" w:fill="A6A6A6" w:themeFill="background1" w:themeFillShade="A6"/>
          </w:tcPr>
          <w:p w14:paraId="4AC7B021" w14:textId="77777777" w:rsidR="00AE6123" w:rsidRPr="00AE6123" w:rsidRDefault="00AE6123" w:rsidP="00AE6123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E612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Width of the particle size distribution </w:t>
            </w:r>
          </w:p>
        </w:tc>
        <w:tc>
          <w:tcPr>
            <w:tcW w:w="2623" w:type="dxa"/>
            <w:shd w:val="clear" w:color="auto" w:fill="A6A6A6" w:themeFill="background1" w:themeFillShade="A6"/>
          </w:tcPr>
          <w:p w14:paraId="69BCB1DD" w14:textId="77777777" w:rsidR="00AE6123" w:rsidRPr="00AE6123" w:rsidRDefault="00AE6123" w:rsidP="00AE6123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E612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Range of mean particle size </w:t>
            </w:r>
          </w:p>
          <w:p w14:paraId="07004DE5" w14:textId="77777777" w:rsidR="00AE6123" w:rsidRPr="00AE6123" w:rsidRDefault="00AE6123" w:rsidP="00AE6123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E612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[MA (</w:t>
            </w:r>
            <w:proofErr w:type="spellStart"/>
            <w:r w:rsidRPr="00AE612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μm</w:t>
            </w:r>
            <w:proofErr w:type="spellEnd"/>
            <w:r w:rsidRPr="00AE612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)]</w:t>
            </w:r>
          </w:p>
        </w:tc>
      </w:tr>
      <w:tr w:rsidR="00AE6123" w:rsidRPr="00AE6123" w14:paraId="161F88EE" w14:textId="77777777" w:rsidTr="0077042E">
        <w:tc>
          <w:tcPr>
            <w:tcW w:w="2754" w:type="dxa"/>
            <w:vAlign w:val="center"/>
          </w:tcPr>
          <w:p w14:paraId="2121D835" w14:textId="77777777" w:rsidR="00AE6123" w:rsidRPr="00AE6123" w:rsidRDefault="00AE6123" w:rsidP="00AE6123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A703CF3" w14:textId="77777777" w:rsidR="00AE6123" w:rsidRPr="00AE6123" w:rsidRDefault="00AE6123" w:rsidP="00AE6123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E612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NASHA</w:t>
            </w:r>
          </w:p>
          <w:p w14:paraId="2EDF0BFF" w14:textId="77777777" w:rsidR="00AE6123" w:rsidRPr="00AE6123" w:rsidRDefault="00AE6123" w:rsidP="00AE6123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vAlign w:val="center"/>
          </w:tcPr>
          <w:p w14:paraId="3DDC07AF" w14:textId="77777777" w:rsidR="00AE6123" w:rsidRPr="00AE6123" w:rsidRDefault="00AE6123" w:rsidP="00AE6123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E612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Low</w:t>
            </w:r>
          </w:p>
        </w:tc>
        <w:tc>
          <w:tcPr>
            <w:tcW w:w="2633" w:type="dxa"/>
            <w:vAlign w:val="center"/>
          </w:tcPr>
          <w:p w14:paraId="3D1F9A71" w14:textId="77777777" w:rsidR="00AE6123" w:rsidRPr="00AE6123" w:rsidRDefault="00AE6123" w:rsidP="00AE6123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E612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Low </w:t>
            </w:r>
          </w:p>
        </w:tc>
        <w:tc>
          <w:tcPr>
            <w:tcW w:w="2360" w:type="dxa"/>
            <w:vAlign w:val="center"/>
          </w:tcPr>
          <w:p w14:paraId="0074C10A" w14:textId="77777777" w:rsidR="00AE6123" w:rsidRPr="00AE6123" w:rsidRDefault="00AE6123" w:rsidP="00AE6123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E612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Narrow</w:t>
            </w:r>
          </w:p>
        </w:tc>
        <w:tc>
          <w:tcPr>
            <w:tcW w:w="2623" w:type="dxa"/>
            <w:vAlign w:val="center"/>
          </w:tcPr>
          <w:p w14:paraId="1A1E43E6" w14:textId="77777777" w:rsidR="00AE6123" w:rsidRPr="00AE6123" w:rsidRDefault="00AE6123" w:rsidP="00AE6123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E612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146.3 to 368.9</w:t>
            </w:r>
          </w:p>
        </w:tc>
      </w:tr>
      <w:tr w:rsidR="00AE6123" w:rsidRPr="00AE6123" w14:paraId="51493870" w14:textId="77777777" w:rsidTr="0077042E">
        <w:tc>
          <w:tcPr>
            <w:tcW w:w="2754" w:type="dxa"/>
            <w:vAlign w:val="center"/>
          </w:tcPr>
          <w:p w14:paraId="52D4BE2E" w14:textId="77777777" w:rsidR="00AE6123" w:rsidRPr="00AE6123" w:rsidRDefault="00AE6123" w:rsidP="00AE6123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690D73F" w14:textId="77777777" w:rsidR="00AE6123" w:rsidRPr="00AE6123" w:rsidRDefault="00AE6123" w:rsidP="00AE6123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E612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OBT</w:t>
            </w:r>
          </w:p>
          <w:p w14:paraId="3D9E56AA" w14:textId="77777777" w:rsidR="00AE6123" w:rsidRPr="00AE6123" w:rsidRDefault="00AE6123" w:rsidP="00AE6123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vAlign w:val="center"/>
          </w:tcPr>
          <w:p w14:paraId="7E6F9C3C" w14:textId="77777777" w:rsidR="00AE6123" w:rsidRPr="00AE6123" w:rsidRDefault="00AE6123" w:rsidP="00AE6123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E612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Moderate</w:t>
            </w:r>
          </w:p>
        </w:tc>
        <w:tc>
          <w:tcPr>
            <w:tcW w:w="2633" w:type="dxa"/>
            <w:vAlign w:val="center"/>
          </w:tcPr>
          <w:p w14:paraId="1AC999E4" w14:textId="77777777" w:rsidR="00AE6123" w:rsidRPr="00AE6123" w:rsidRDefault="00AE6123" w:rsidP="00AE6123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E612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Moderate </w:t>
            </w:r>
          </w:p>
        </w:tc>
        <w:tc>
          <w:tcPr>
            <w:tcW w:w="2360" w:type="dxa"/>
            <w:vAlign w:val="center"/>
          </w:tcPr>
          <w:p w14:paraId="43218F7A" w14:textId="77777777" w:rsidR="00AE6123" w:rsidRPr="00AE6123" w:rsidRDefault="00AE6123" w:rsidP="00AE6123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E612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Wide</w:t>
            </w:r>
          </w:p>
        </w:tc>
        <w:tc>
          <w:tcPr>
            <w:tcW w:w="2623" w:type="dxa"/>
            <w:vAlign w:val="center"/>
          </w:tcPr>
          <w:p w14:paraId="798A1861" w14:textId="77777777" w:rsidR="00AE6123" w:rsidRPr="00AE6123" w:rsidRDefault="00AE6123" w:rsidP="00AE6123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E612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138.9 to 229.3</w:t>
            </w:r>
          </w:p>
          <w:p w14:paraId="41D63201" w14:textId="77777777" w:rsidR="00AE6123" w:rsidRPr="00AE6123" w:rsidRDefault="00AE6123" w:rsidP="00AE6123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10705FF" w14:textId="77777777" w:rsidR="00AE6123" w:rsidRPr="00AE6123" w:rsidRDefault="00AE6123" w:rsidP="00AE6123">
      <w:pPr>
        <w:rPr>
          <w:rFonts w:ascii="Arial" w:hAnsi="Arial" w:cs="Arial"/>
          <w:color w:val="000000" w:themeColor="text1"/>
          <w:sz w:val="24"/>
          <w:szCs w:val="24"/>
        </w:rPr>
      </w:pPr>
      <w:r w:rsidRPr="00AE6123">
        <w:rPr>
          <w:rFonts w:ascii="Arial" w:hAnsi="Arial" w:cs="Arial"/>
          <w:color w:val="000000" w:themeColor="text1"/>
          <w:sz w:val="24"/>
          <w:szCs w:val="24"/>
        </w:rPr>
        <w:t xml:space="preserve">Note: NASHA = </w:t>
      </w:r>
      <w:proofErr w:type="gramStart"/>
      <w:r w:rsidRPr="00AE6123">
        <w:rPr>
          <w:rFonts w:ascii="Arial" w:hAnsi="Arial" w:cs="Arial"/>
          <w:color w:val="000000" w:themeColor="text1"/>
          <w:sz w:val="24"/>
          <w:szCs w:val="24"/>
        </w:rPr>
        <w:t>Non-animal</w:t>
      </w:r>
      <w:proofErr w:type="gramEnd"/>
      <w:r w:rsidRPr="00AE6123">
        <w:rPr>
          <w:rFonts w:ascii="Arial" w:hAnsi="Arial" w:cs="Arial"/>
          <w:color w:val="000000" w:themeColor="text1"/>
          <w:sz w:val="24"/>
          <w:szCs w:val="24"/>
        </w:rPr>
        <w:t xml:space="preserve"> stabilized hyaluronic acid. OBT = Optimal Balance Technology. The swelling factor (ml/g) was calculated by V</w:t>
      </w:r>
      <w:r w:rsidRPr="00AE6123">
        <w:rPr>
          <w:rFonts w:ascii="Arial" w:hAnsi="Arial" w:cs="Arial"/>
          <w:color w:val="000000" w:themeColor="text1"/>
          <w:sz w:val="24"/>
          <w:szCs w:val="24"/>
          <w:vertAlign w:val="subscript"/>
        </w:rPr>
        <w:t>7</w:t>
      </w:r>
      <w:r w:rsidRPr="00AE6123">
        <w:rPr>
          <w:rFonts w:ascii="Arial" w:hAnsi="Arial" w:cs="Arial"/>
          <w:color w:val="000000" w:themeColor="text1"/>
          <w:sz w:val="24"/>
          <w:szCs w:val="24"/>
        </w:rPr>
        <w:t>/V</w:t>
      </w:r>
      <w:r w:rsidRPr="00AE6123">
        <w:rPr>
          <w:rFonts w:ascii="Arial" w:hAnsi="Arial" w:cs="Arial"/>
          <w:color w:val="000000" w:themeColor="text1"/>
          <w:sz w:val="24"/>
          <w:szCs w:val="24"/>
          <w:vertAlign w:val="subscript"/>
        </w:rPr>
        <w:t>1</w:t>
      </w:r>
      <w:r w:rsidRPr="00AE6123">
        <w:rPr>
          <w:rFonts w:ascii="Arial" w:hAnsi="Arial" w:cs="Arial"/>
          <w:color w:val="000000" w:themeColor="text1"/>
          <w:sz w:val="24"/>
          <w:szCs w:val="24"/>
        </w:rPr>
        <w:t>, where V</w:t>
      </w:r>
      <w:r w:rsidRPr="00AE6123">
        <w:rPr>
          <w:rFonts w:ascii="Arial" w:hAnsi="Arial" w:cs="Arial"/>
          <w:color w:val="000000" w:themeColor="text1"/>
          <w:sz w:val="24"/>
          <w:szCs w:val="24"/>
          <w:vertAlign w:val="subscript"/>
        </w:rPr>
        <w:t>1</w:t>
      </w:r>
      <w:r w:rsidRPr="00AE6123">
        <w:rPr>
          <w:rFonts w:ascii="Arial" w:hAnsi="Arial" w:cs="Arial"/>
          <w:color w:val="000000" w:themeColor="text1"/>
          <w:sz w:val="24"/>
          <w:szCs w:val="24"/>
        </w:rPr>
        <w:t xml:space="preserve"> is the initial volume of the gel at Day 1 and V</w:t>
      </w:r>
      <w:r w:rsidRPr="00AE6123">
        <w:rPr>
          <w:rFonts w:ascii="Arial" w:hAnsi="Arial" w:cs="Arial"/>
          <w:color w:val="000000" w:themeColor="text1"/>
          <w:sz w:val="24"/>
          <w:szCs w:val="24"/>
          <w:vertAlign w:val="subscript"/>
        </w:rPr>
        <w:t>7</w:t>
      </w:r>
      <w:r w:rsidRPr="00AE6123">
        <w:rPr>
          <w:rFonts w:ascii="Arial" w:hAnsi="Arial" w:cs="Arial"/>
          <w:color w:val="000000" w:themeColor="text1"/>
          <w:sz w:val="24"/>
          <w:szCs w:val="24"/>
        </w:rPr>
        <w:t xml:space="preserve"> is the volume of the fully swollen gel at Day 7. Cohesivity was defined as the force of attraction holding the molecules of the sample together.</w:t>
      </w:r>
    </w:p>
    <w:p w14:paraId="5418EC97" w14:textId="77777777" w:rsidR="00AE6123" w:rsidRDefault="00AE6123" w:rsidP="008D399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07AB3BA" w14:textId="77777777" w:rsidR="00AE6123" w:rsidRDefault="00AE6123" w:rsidP="008D399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B4DF6DD" w14:textId="77777777" w:rsidR="00AE6123" w:rsidRDefault="00AE6123" w:rsidP="008D399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31321B4" w14:textId="77777777" w:rsidR="00AE6123" w:rsidRDefault="00AE6123" w:rsidP="008D399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F62DE00" w14:textId="77777777" w:rsidR="00AE6123" w:rsidRDefault="00AE6123" w:rsidP="008D399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0BE715C" w14:textId="77777777" w:rsidR="00AE6123" w:rsidRDefault="00AE6123" w:rsidP="008D399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A423A1C" w14:textId="77777777" w:rsidR="00AE6123" w:rsidRDefault="00AE6123" w:rsidP="008D399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553172A" w14:textId="77777777" w:rsidR="00AE6123" w:rsidRDefault="00AE6123" w:rsidP="008D399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2B62A8F" w14:textId="77777777" w:rsidR="00AE6123" w:rsidRDefault="00AE6123" w:rsidP="008D399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6FA3999" w14:textId="77777777" w:rsidR="00AE6123" w:rsidRDefault="00AE6123" w:rsidP="008D399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A1CE8E6" w14:textId="77777777" w:rsidR="00AE6123" w:rsidRDefault="00AE6123" w:rsidP="008D399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590D84B" w14:textId="77777777" w:rsidR="00AE6123" w:rsidRDefault="00AE6123" w:rsidP="008D399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0331EAD" w14:textId="421FB5DE" w:rsidR="008D3997" w:rsidRPr="00F51108" w:rsidRDefault="008D3997" w:rsidP="008D3997">
      <w:pPr>
        <w:rPr>
          <w:rFonts w:ascii="Arial" w:hAnsi="Arial" w:cs="Arial"/>
          <w:sz w:val="24"/>
          <w:szCs w:val="24"/>
        </w:rPr>
      </w:pPr>
      <w:r w:rsidRPr="00F51108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Supplemental material 4</w:t>
      </w:r>
      <w:r w:rsidRPr="00F51108">
        <w:rPr>
          <w:rFonts w:ascii="Arial" w:hAnsi="Arial" w:cs="Arial"/>
          <w:b/>
          <w:bCs/>
          <w:sz w:val="24"/>
          <w:szCs w:val="24"/>
        </w:rPr>
        <w:t xml:space="preserve">. </w:t>
      </w:r>
      <w:r w:rsidRPr="00F51108">
        <w:rPr>
          <w:rFonts w:ascii="Arial" w:hAnsi="Arial" w:cs="Arial"/>
          <w:sz w:val="24"/>
          <w:szCs w:val="24"/>
        </w:rPr>
        <w:t xml:space="preserve">Swelling factor and degree of cohesion positively correlate among the eight samples of hyaluronic acid fillers evaluated. </w:t>
      </w:r>
    </w:p>
    <w:p w14:paraId="742CD6DE" w14:textId="77777777" w:rsidR="008D3997" w:rsidRPr="00F51108" w:rsidRDefault="008D3997" w:rsidP="008D399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5DE2ECE" w14:textId="65A7557D" w:rsidR="008D3997" w:rsidRDefault="008D3997"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5F879A37" wp14:editId="4E1C823F">
            <wp:extent cx="5848350" cy="3449027"/>
            <wp:effectExtent l="0" t="0" r="0" b="0"/>
            <wp:docPr id="1234718076" name="Picture 3" descr="A graph with a line and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718076" name="Picture 3" descr="A graph with a line and numbe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202" cy="3458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3997" w:rsidSect="00201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997"/>
    <w:rsid w:val="000A1B96"/>
    <w:rsid w:val="000A57DB"/>
    <w:rsid w:val="005057CE"/>
    <w:rsid w:val="00787B27"/>
    <w:rsid w:val="007F6B4A"/>
    <w:rsid w:val="008D3997"/>
    <w:rsid w:val="009668EA"/>
    <w:rsid w:val="00AE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FDDC6"/>
  <w15:chartTrackingRefBased/>
  <w15:docId w15:val="{E55CDDF9-ED62-4D3D-845C-DCB078EC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99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997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Raco</dc:creator>
  <cp:keywords/>
  <dc:description/>
  <cp:lastModifiedBy>Kaitlyn Enright</cp:lastModifiedBy>
  <cp:revision>9</cp:revision>
  <dcterms:created xsi:type="dcterms:W3CDTF">2023-12-04T17:45:00Z</dcterms:created>
  <dcterms:modified xsi:type="dcterms:W3CDTF">2023-12-06T15:23:00Z</dcterms:modified>
</cp:coreProperties>
</file>