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807CD" w:rsidRDefault="00000000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Supplementary figures and their legends</w:t>
      </w:r>
    </w:p>
    <w:p w:rsidR="00B807CD" w:rsidRPr="00FA61DA" w:rsidRDefault="00336DDB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5274310" cy="5791835"/>
            <wp:effectExtent l="0" t="0" r="0" b="0"/>
            <wp:docPr id="11755267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26785" name="图片 117552678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9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7CD" w:rsidRDefault="00000000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Figure S1</w:t>
      </w:r>
      <w:r>
        <w:rPr>
          <w:rFonts w:ascii="Arial" w:hAnsi="Arial" w:cs="Arial"/>
          <w:sz w:val="20"/>
          <w:szCs w:val="20"/>
        </w:rPr>
        <w:t xml:space="preserve"> Expression of </w:t>
      </w:r>
      <w:r>
        <w:rPr>
          <w:rFonts w:ascii="Arial" w:hAnsi="Arial" w:cs="Arial" w:hint="eastAsia"/>
          <w:sz w:val="20"/>
          <w:szCs w:val="20"/>
        </w:rPr>
        <w:t>the</w:t>
      </w:r>
      <w:r>
        <w:rPr>
          <w:rFonts w:ascii="Arial" w:hAnsi="Arial" w:cs="Arial"/>
          <w:sz w:val="20"/>
          <w:szCs w:val="20"/>
        </w:rPr>
        <w:t xml:space="preserve"> five differentially expressed hypoxia- and lactate metabolism-related genes in </w:t>
      </w:r>
      <w:r w:rsidR="00B86FF2" w:rsidRPr="00B86FF2">
        <w:rPr>
          <w:rFonts w:ascii="Arial" w:hAnsi="Arial" w:cs="Arial"/>
          <w:sz w:val="20"/>
          <w:szCs w:val="20"/>
        </w:rPr>
        <w:t>GSE149614 cohort</w:t>
      </w:r>
      <w:r>
        <w:rPr>
          <w:rFonts w:ascii="Arial" w:hAnsi="Arial" w:cs="Arial"/>
          <w:sz w:val="20"/>
          <w:szCs w:val="20"/>
        </w:rPr>
        <w:t>. (A, B) Uniform manifold approximation and projection (UMAP) plots of single-cell RNA sequencing. (C) Expression of KIF20A, IRAK1, ADM, PPARGC1A and EPO.</w:t>
      </w:r>
    </w:p>
    <w:p w:rsidR="00B807CD" w:rsidRDefault="003F7B95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274310" cy="5859145"/>
            <wp:effectExtent l="0" t="0" r="0" b="0"/>
            <wp:docPr id="16219601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960141" name="图片 162196014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5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7CD" w:rsidRDefault="00000000">
      <w:pPr>
        <w:spacing w:line="480" w:lineRule="auto"/>
        <w:rPr>
          <w:rFonts w:ascii="Arial" w:hAnsi="Arial" w:cs="Arial"/>
          <w:sz w:val="20"/>
          <w:szCs w:val="20"/>
        </w:rPr>
      </w:pPr>
      <w:bookmarkStart w:id="0" w:name="OLE_LINK320"/>
      <w:bookmarkStart w:id="1" w:name="OLE_LINK321"/>
      <w:r>
        <w:rPr>
          <w:rFonts w:ascii="Arial" w:hAnsi="Arial" w:cs="Arial"/>
          <w:b/>
          <w:bCs/>
          <w:sz w:val="20"/>
          <w:szCs w:val="20"/>
        </w:rPr>
        <w:t>Figure S2</w:t>
      </w:r>
      <w:r>
        <w:rPr>
          <w:rFonts w:ascii="Arial" w:hAnsi="Arial" w:cs="Arial"/>
          <w:sz w:val="20"/>
          <w:szCs w:val="20"/>
        </w:rPr>
        <w:t xml:space="preserve"> KM survival analysis between the two risk groups in subgroups stratified by clinical characteristics. (A) Male. (B) Female. (C) Age</w:t>
      </w:r>
      <w:bookmarkStart w:id="2" w:name="OLE_LINK6"/>
      <w:bookmarkStart w:id="3" w:name="OLE_LINK7"/>
      <w:r w:rsidR="00086C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≥</w:t>
      </w:r>
      <w:bookmarkEnd w:id="2"/>
      <w:bookmarkEnd w:id="3"/>
      <w:r w:rsidR="00086C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60 years. (D) Age</w:t>
      </w:r>
      <w:r w:rsidR="00086CEC">
        <w:rPr>
          <w:rFonts w:ascii="Arial" w:hAnsi="Arial" w:cs="Arial"/>
          <w:sz w:val="20"/>
          <w:szCs w:val="20"/>
        </w:rPr>
        <w:t xml:space="preserve"> &lt; </w:t>
      </w:r>
      <w:r>
        <w:rPr>
          <w:rFonts w:ascii="Arial" w:hAnsi="Arial" w:cs="Arial"/>
          <w:sz w:val="20"/>
          <w:szCs w:val="20"/>
        </w:rPr>
        <w:t>60</w:t>
      </w:r>
      <w:r w:rsidR="00086C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years. (E) BMI</w:t>
      </w:r>
      <w:r w:rsidR="00086C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≥</w:t>
      </w:r>
      <w:r w:rsidR="00086C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25. (F) BMI</w:t>
      </w:r>
      <w:r w:rsidR="00086C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&lt;</w:t>
      </w:r>
      <w:r w:rsidR="00086C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25. (G) AFP</w:t>
      </w:r>
      <w:r w:rsidR="00086CEC">
        <w:rPr>
          <w:rFonts w:ascii="Arial" w:hAnsi="Arial" w:cs="Arial"/>
          <w:sz w:val="20"/>
          <w:szCs w:val="20"/>
        </w:rPr>
        <w:t xml:space="preserve"> </w:t>
      </w:r>
      <w:bookmarkStart w:id="4" w:name="OLE_LINK70"/>
      <w:bookmarkStart w:id="5" w:name="OLE_LINK71"/>
      <w:r>
        <w:rPr>
          <w:rFonts w:ascii="Arial" w:hAnsi="Arial" w:cs="Arial"/>
          <w:sz w:val="20"/>
          <w:szCs w:val="20"/>
        </w:rPr>
        <w:t>≥</w:t>
      </w:r>
      <w:bookmarkEnd w:id="4"/>
      <w:bookmarkEnd w:id="5"/>
      <w:r w:rsidR="00086C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100.</w:t>
      </w:r>
      <w:bookmarkEnd w:id="0"/>
      <w:bookmarkEnd w:id="1"/>
      <w:r>
        <w:rPr>
          <w:rFonts w:ascii="Arial" w:hAnsi="Arial" w:cs="Arial"/>
          <w:sz w:val="20"/>
          <w:szCs w:val="20"/>
        </w:rPr>
        <w:t xml:space="preserve"> (H) AFP</w:t>
      </w:r>
      <w:r w:rsidR="00086C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&lt;</w:t>
      </w:r>
      <w:r w:rsidR="00086C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100. (I) Grade 1-2. (J) Grade 3-4. (K) T 1-2. (L) T 3-4. (M) N0. (N) </w:t>
      </w:r>
      <w:proofErr w:type="spellStart"/>
      <w:r>
        <w:rPr>
          <w:rFonts w:ascii="Arial" w:hAnsi="Arial" w:cs="Arial"/>
          <w:sz w:val="20"/>
          <w:szCs w:val="20"/>
        </w:rPr>
        <w:t>Nx</w:t>
      </w:r>
      <w:proofErr w:type="spellEnd"/>
      <w:r>
        <w:rPr>
          <w:rFonts w:ascii="Arial" w:hAnsi="Arial" w:cs="Arial"/>
          <w:sz w:val="20"/>
          <w:szCs w:val="20"/>
        </w:rPr>
        <w:t>. (O) M0. (P) Mx.</w:t>
      </w:r>
    </w:p>
    <w:p w:rsidR="00B807CD" w:rsidRDefault="00B807CD">
      <w:pPr>
        <w:spacing w:line="480" w:lineRule="auto"/>
        <w:rPr>
          <w:rFonts w:ascii="Arial" w:hAnsi="Arial" w:cs="Arial"/>
          <w:sz w:val="20"/>
          <w:szCs w:val="20"/>
        </w:rPr>
      </w:pPr>
    </w:p>
    <w:p w:rsidR="00B807CD" w:rsidRDefault="00070D38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274310" cy="6353810"/>
            <wp:effectExtent l="0" t="0" r="0" b="0"/>
            <wp:docPr id="10924864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486451" name="图片 109248645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5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7CD" w:rsidRDefault="00000000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Figure S3 </w:t>
      </w:r>
      <w:r>
        <w:rPr>
          <w:rFonts w:ascii="Arial" w:hAnsi="Arial" w:cs="Arial"/>
          <w:sz w:val="20"/>
          <w:szCs w:val="20"/>
        </w:rPr>
        <w:t>The assessment of the response to systemic therapeutic agents. (A-</w:t>
      </w:r>
      <w:r w:rsidR="007D354F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) Comparison of the IC50 values of chemotherapeutic agents in two risk groups, including GNE-317, NVP-ADW72, </w:t>
      </w:r>
      <w:proofErr w:type="spellStart"/>
      <w:r>
        <w:rPr>
          <w:rFonts w:ascii="Arial" w:hAnsi="Arial" w:cs="Arial"/>
          <w:sz w:val="20"/>
          <w:szCs w:val="20"/>
        </w:rPr>
        <w:t>savolitinib</w:t>
      </w:r>
      <w:proofErr w:type="spellEnd"/>
      <w:r>
        <w:rPr>
          <w:rFonts w:ascii="Arial" w:hAnsi="Arial" w:cs="Arial"/>
          <w:sz w:val="20"/>
          <w:szCs w:val="20"/>
        </w:rPr>
        <w:t xml:space="preserve">, WEHI-539, WIIKI4, </w:t>
      </w:r>
      <w:proofErr w:type="spellStart"/>
      <w:r>
        <w:rPr>
          <w:rFonts w:ascii="Arial" w:hAnsi="Arial" w:cs="Arial"/>
          <w:sz w:val="20"/>
          <w:szCs w:val="20"/>
        </w:rPr>
        <w:t>sepantronium</w:t>
      </w:r>
      <w:proofErr w:type="spellEnd"/>
      <w:r>
        <w:rPr>
          <w:rFonts w:ascii="Arial" w:hAnsi="Arial" w:cs="Arial"/>
          <w:sz w:val="20"/>
          <w:szCs w:val="20"/>
        </w:rPr>
        <w:t xml:space="preserve"> bromide, </w:t>
      </w:r>
      <w:proofErr w:type="spellStart"/>
      <w:r>
        <w:rPr>
          <w:rFonts w:ascii="Arial" w:hAnsi="Arial" w:cs="Arial"/>
          <w:sz w:val="20"/>
          <w:szCs w:val="20"/>
        </w:rPr>
        <w:t>foretinib</w:t>
      </w:r>
      <w:proofErr w:type="spellEnd"/>
      <w:r>
        <w:rPr>
          <w:rFonts w:ascii="Arial" w:hAnsi="Arial" w:cs="Arial"/>
          <w:sz w:val="20"/>
          <w:szCs w:val="20"/>
        </w:rPr>
        <w:t xml:space="preserve">, BIBR-1532, </w:t>
      </w:r>
      <w:proofErr w:type="spellStart"/>
      <w:r w:rsidR="007D354F">
        <w:rPr>
          <w:rFonts w:ascii="Arial" w:hAnsi="Arial" w:cs="Arial"/>
          <w:sz w:val="20"/>
          <w:szCs w:val="20"/>
        </w:rPr>
        <w:t>pyridostatin</w:t>
      </w:r>
      <w:proofErr w:type="spellEnd"/>
      <w:r w:rsidR="007D354F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BMS-754807, LJI308, AZ6102, AZD6482</w:t>
      </w:r>
      <w:r w:rsidR="007D354F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AT13148</w:t>
      </w:r>
      <w:r w:rsidR="007D354F">
        <w:rPr>
          <w:rFonts w:ascii="Arial" w:hAnsi="Arial" w:cs="Arial"/>
          <w:sz w:val="20"/>
          <w:szCs w:val="20"/>
        </w:rPr>
        <w:t xml:space="preserve"> and JQ1</w:t>
      </w:r>
      <w:r>
        <w:rPr>
          <w:rFonts w:ascii="Arial" w:hAnsi="Arial" w:cs="Arial"/>
          <w:sz w:val="20"/>
          <w:szCs w:val="20"/>
        </w:rPr>
        <w:t>. (</w:t>
      </w:r>
      <w:r w:rsidR="007D354F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) The correlation between IC50 values of chemotherapeutic agents and expression of HLRGs. C</w:t>
      </w:r>
      <w:r>
        <w:rPr>
          <w:rFonts w:ascii="Arial" w:hAnsi="Arial" w:cs="Arial" w:hint="eastAsia"/>
          <w:sz w:val="20"/>
          <w:szCs w:val="20"/>
        </w:rPr>
        <w:t>or</w:t>
      </w:r>
      <w:r>
        <w:rPr>
          <w:rFonts w:ascii="Arial" w:hAnsi="Arial" w:cs="Arial"/>
          <w:sz w:val="20"/>
          <w:szCs w:val="20"/>
        </w:rPr>
        <w:t>, correlation coefficient.</w:t>
      </w:r>
    </w:p>
    <w:p w:rsidR="00B807CD" w:rsidRDefault="00000000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Supplementary Tables and their legends</w:t>
      </w:r>
    </w:p>
    <w:p w:rsidR="00B807CD" w:rsidRDefault="0000000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Table S1</w:t>
      </w:r>
      <w:r>
        <w:rPr>
          <w:rFonts w:ascii="Arial" w:hAnsi="Arial" w:cs="Arial"/>
          <w:sz w:val="20"/>
          <w:szCs w:val="20"/>
        </w:rPr>
        <w:t xml:space="preserve"> The primer </w:t>
      </w:r>
      <w:r>
        <w:rPr>
          <w:rFonts w:ascii="Arial" w:eastAsia="宋体" w:hAnsi="Arial" w:cs="Arial"/>
          <w:kern w:val="0"/>
          <w:sz w:val="20"/>
          <w:szCs w:val="20"/>
        </w:rPr>
        <w:t>sequences</w:t>
      </w:r>
      <w:r>
        <w:rPr>
          <w:rFonts w:ascii="Arial" w:hAnsi="Arial" w:cs="Arial"/>
          <w:sz w:val="20"/>
          <w:szCs w:val="20"/>
        </w:rPr>
        <w:t xml:space="preserve"> used in the study.</w:t>
      </w:r>
    </w:p>
    <w:tbl>
      <w:tblPr>
        <w:tblW w:w="9771" w:type="dxa"/>
        <w:tblLook w:val="04A0" w:firstRow="1" w:lastRow="0" w:firstColumn="1" w:lastColumn="0" w:noHBand="0" w:noVBand="1"/>
      </w:tblPr>
      <w:tblGrid>
        <w:gridCol w:w="1640"/>
        <w:gridCol w:w="4082"/>
        <w:gridCol w:w="4049"/>
      </w:tblGrid>
      <w:tr w:rsidR="00B807CD">
        <w:trPr>
          <w:trHeight w:val="276"/>
        </w:trPr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B807CD" w:rsidRDefault="0000000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mRNA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B807CD" w:rsidRDefault="0000000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Forward primer (5′-3′)</w:t>
            </w:r>
          </w:p>
        </w:tc>
        <w:tc>
          <w:tcPr>
            <w:tcW w:w="4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B807CD" w:rsidRDefault="0000000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Reverse primer (5′-3′)</w:t>
            </w:r>
          </w:p>
        </w:tc>
      </w:tr>
      <w:tr w:rsidR="00B807CD">
        <w:trPr>
          <w:trHeight w:val="276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807CD" w:rsidRDefault="0000000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KIF-20A</w:t>
            </w: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807CD" w:rsidRDefault="0000000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5'</w:t>
            </w:r>
            <w:r>
              <w:rPr>
                <w:rFonts w:ascii="Cambria Math" w:hAnsi="Cambria Math" w:cs="Cambria Math"/>
                <w:color w:val="000000"/>
                <w:kern w:val="0"/>
                <w:sz w:val="20"/>
                <w:szCs w:val="20"/>
              </w:rPr>
              <w:t>‐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TGCTGTCCGATGACGATGTC</w:t>
            </w:r>
            <w:r>
              <w:rPr>
                <w:rFonts w:ascii="Cambria Math" w:hAnsi="Cambria Math" w:cs="Cambria Math"/>
                <w:color w:val="000000"/>
                <w:kern w:val="0"/>
                <w:sz w:val="20"/>
                <w:szCs w:val="20"/>
              </w:rPr>
              <w:t>‐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3'</w:t>
            </w: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807CD" w:rsidRDefault="0000000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5'</w:t>
            </w:r>
            <w:r>
              <w:rPr>
                <w:rFonts w:ascii="Cambria Math" w:hAnsi="Cambria Math" w:cs="Cambria Math"/>
                <w:color w:val="000000"/>
                <w:kern w:val="0"/>
                <w:sz w:val="20"/>
                <w:szCs w:val="20"/>
              </w:rPr>
              <w:t>‐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AGGTTCTTGCGTACCACAGAC</w:t>
            </w:r>
            <w:r>
              <w:rPr>
                <w:rFonts w:ascii="Cambria Math" w:hAnsi="Cambria Math" w:cs="Cambria Math"/>
                <w:color w:val="000000"/>
                <w:kern w:val="0"/>
                <w:sz w:val="20"/>
                <w:szCs w:val="20"/>
              </w:rPr>
              <w:t>‐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3'</w:t>
            </w:r>
          </w:p>
        </w:tc>
      </w:tr>
      <w:tr w:rsidR="00B807CD">
        <w:trPr>
          <w:trHeight w:val="276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807CD" w:rsidRDefault="0000000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IRAK1</w:t>
            </w: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807CD" w:rsidRDefault="0000000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5'</w:t>
            </w:r>
            <w:r>
              <w:rPr>
                <w:rFonts w:ascii="Cambria Math" w:hAnsi="Cambria Math" w:cs="Cambria Math"/>
                <w:color w:val="000000"/>
                <w:kern w:val="0"/>
                <w:sz w:val="20"/>
                <w:szCs w:val="20"/>
              </w:rPr>
              <w:t>‐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GCACCCACAACTTCTCGGAG</w:t>
            </w:r>
            <w:r>
              <w:rPr>
                <w:rFonts w:ascii="Cambria Math" w:hAnsi="Cambria Math" w:cs="Cambria Math"/>
                <w:color w:val="000000"/>
                <w:kern w:val="0"/>
                <w:sz w:val="20"/>
                <w:szCs w:val="20"/>
              </w:rPr>
              <w:t>‐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3'</w:t>
            </w: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807CD" w:rsidRDefault="0000000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5'</w:t>
            </w:r>
            <w:r>
              <w:rPr>
                <w:rFonts w:ascii="Cambria Math" w:hAnsi="Cambria Math" w:cs="Cambria Math"/>
                <w:color w:val="000000"/>
                <w:kern w:val="0"/>
                <w:sz w:val="20"/>
                <w:szCs w:val="20"/>
              </w:rPr>
              <w:t>‐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CACCGTGTTCCTCATCACCG</w:t>
            </w:r>
            <w:r>
              <w:rPr>
                <w:rFonts w:ascii="Cambria Math" w:hAnsi="Cambria Math" w:cs="Cambria Math"/>
                <w:color w:val="000000"/>
                <w:kern w:val="0"/>
                <w:sz w:val="20"/>
                <w:szCs w:val="20"/>
              </w:rPr>
              <w:t>‐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3'</w:t>
            </w:r>
          </w:p>
        </w:tc>
      </w:tr>
      <w:tr w:rsidR="00B807CD">
        <w:trPr>
          <w:trHeight w:val="276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807CD" w:rsidRDefault="0000000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ADM</w:t>
            </w: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807CD" w:rsidRDefault="0000000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5'</w:t>
            </w:r>
            <w:r>
              <w:rPr>
                <w:rFonts w:ascii="Cambria Math" w:hAnsi="Cambria Math" w:cs="Cambria Math"/>
                <w:color w:val="000000"/>
                <w:kern w:val="0"/>
                <w:sz w:val="20"/>
                <w:szCs w:val="20"/>
              </w:rPr>
              <w:t>‐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CCGAGTGTTTGCCAGGCTTA</w:t>
            </w:r>
            <w:r>
              <w:rPr>
                <w:rFonts w:ascii="Cambria Math" w:hAnsi="Cambria Math" w:cs="Cambria Math"/>
                <w:color w:val="000000"/>
                <w:kern w:val="0"/>
                <w:sz w:val="20"/>
                <w:szCs w:val="20"/>
              </w:rPr>
              <w:t>‐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3'</w:t>
            </w: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807CD" w:rsidRDefault="0000000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5'</w:t>
            </w:r>
            <w:r>
              <w:rPr>
                <w:rFonts w:ascii="Cambria Math" w:hAnsi="Cambria Math" w:cs="Cambria Math"/>
                <w:color w:val="000000"/>
                <w:kern w:val="0"/>
                <w:sz w:val="20"/>
                <w:szCs w:val="20"/>
              </w:rPr>
              <w:t>‐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GGTGACACGCCGTGAGAAAT</w:t>
            </w:r>
            <w:r>
              <w:rPr>
                <w:rFonts w:ascii="Cambria Math" w:hAnsi="Cambria Math" w:cs="Cambria Math"/>
                <w:color w:val="000000"/>
                <w:kern w:val="0"/>
                <w:sz w:val="20"/>
                <w:szCs w:val="20"/>
              </w:rPr>
              <w:t>‐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3'</w:t>
            </w:r>
          </w:p>
        </w:tc>
      </w:tr>
      <w:tr w:rsidR="00B807CD">
        <w:trPr>
          <w:trHeight w:val="288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807CD" w:rsidRDefault="0000000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PPARGC1A</w:t>
            </w: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807CD" w:rsidRDefault="0000000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5'</w:t>
            </w:r>
            <w:r>
              <w:rPr>
                <w:rFonts w:ascii="Cambria Math" w:hAnsi="Cambria Math" w:cs="Cambria Math"/>
                <w:color w:val="000000"/>
                <w:kern w:val="0"/>
                <w:sz w:val="20"/>
                <w:szCs w:val="20"/>
              </w:rPr>
              <w:t>‐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TCTGAGTCTGTATGGAGTGACAT</w:t>
            </w:r>
            <w:r>
              <w:rPr>
                <w:rFonts w:ascii="Cambria Math" w:hAnsi="Cambria Math" w:cs="Cambria Math"/>
                <w:color w:val="000000"/>
                <w:kern w:val="0"/>
                <w:sz w:val="20"/>
                <w:szCs w:val="20"/>
              </w:rPr>
              <w:t>‐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3'</w:t>
            </w: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807CD" w:rsidRDefault="0000000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5'</w:t>
            </w:r>
            <w:r>
              <w:rPr>
                <w:rFonts w:ascii="Cambria Math" w:hAnsi="Cambria Math" w:cs="Cambria Math"/>
                <w:color w:val="000000"/>
                <w:kern w:val="0"/>
                <w:sz w:val="20"/>
                <w:szCs w:val="20"/>
              </w:rPr>
              <w:t>‐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CCAAGTCGTTCACATCTAGTTCA</w:t>
            </w:r>
            <w:r>
              <w:rPr>
                <w:rFonts w:ascii="Cambria Math" w:hAnsi="Cambria Math" w:cs="Cambria Math"/>
                <w:color w:val="000000"/>
                <w:kern w:val="0"/>
                <w:sz w:val="20"/>
                <w:szCs w:val="20"/>
              </w:rPr>
              <w:t>‐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3'</w:t>
            </w:r>
          </w:p>
        </w:tc>
      </w:tr>
      <w:tr w:rsidR="00B807CD">
        <w:trPr>
          <w:trHeight w:val="276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807CD" w:rsidRDefault="0000000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EPO</w:t>
            </w: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807CD" w:rsidRDefault="0000000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5'</w:t>
            </w:r>
            <w:r>
              <w:rPr>
                <w:rFonts w:ascii="Cambria Math" w:hAnsi="Cambria Math" w:cs="Cambria Math"/>
                <w:color w:val="000000"/>
                <w:kern w:val="0"/>
                <w:sz w:val="20"/>
                <w:szCs w:val="20"/>
              </w:rPr>
              <w:t>‐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GGAGGCCGAGAATATCACGAC</w:t>
            </w:r>
            <w:r>
              <w:rPr>
                <w:rFonts w:ascii="Cambria Math" w:hAnsi="Cambria Math" w:cs="Cambria Math"/>
                <w:color w:val="000000"/>
                <w:kern w:val="0"/>
                <w:sz w:val="20"/>
                <w:szCs w:val="20"/>
              </w:rPr>
              <w:t>‐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3'</w:t>
            </w: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807CD" w:rsidRDefault="0000000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5'</w:t>
            </w:r>
            <w:r>
              <w:rPr>
                <w:rFonts w:ascii="Cambria Math" w:hAnsi="Cambria Math" w:cs="Cambria Math"/>
                <w:color w:val="000000"/>
                <w:kern w:val="0"/>
                <w:sz w:val="20"/>
                <w:szCs w:val="20"/>
              </w:rPr>
              <w:t>‐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CCCTGCCAGACTTCTACGG</w:t>
            </w:r>
            <w:r>
              <w:rPr>
                <w:rFonts w:ascii="Cambria Math" w:hAnsi="Cambria Math" w:cs="Cambria Math"/>
                <w:color w:val="000000"/>
                <w:kern w:val="0"/>
                <w:sz w:val="20"/>
                <w:szCs w:val="20"/>
              </w:rPr>
              <w:t>‐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3'</w:t>
            </w:r>
          </w:p>
        </w:tc>
      </w:tr>
      <w:tr w:rsidR="00B807CD">
        <w:trPr>
          <w:trHeight w:val="276"/>
        </w:trPr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807CD" w:rsidRDefault="0000000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ACTIN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807CD" w:rsidRDefault="0000000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5'</w:t>
            </w:r>
            <w:r>
              <w:rPr>
                <w:rFonts w:ascii="Cambria Math" w:hAnsi="Cambria Math" w:cs="Cambria Math"/>
                <w:color w:val="000000"/>
                <w:kern w:val="0"/>
                <w:sz w:val="20"/>
                <w:szCs w:val="20"/>
              </w:rPr>
              <w:t>‐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CACCATTGGCAATGAGCGGTTC</w:t>
            </w:r>
            <w:r>
              <w:rPr>
                <w:rFonts w:ascii="Cambria Math" w:hAnsi="Cambria Math" w:cs="Cambria Math"/>
                <w:color w:val="000000"/>
                <w:kern w:val="0"/>
                <w:sz w:val="20"/>
                <w:szCs w:val="20"/>
              </w:rPr>
              <w:t>‐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3'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807CD" w:rsidRDefault="0000000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5'</w:t>
            </w:r>
            <w:r>
              <w:rPr>
                <w:rFonts w:ascii="Cambria Math" w:hAnsi="Cambria Math" w:cs="Cambria Math"/>
                <w:color w:val="000000"/>
                <w:kern w:val="0"/>
                <w:sz w:val="20"/>
                <w:szCs w:val="20"/>
              </w:rPr>
              <w:t>‐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AGGTCTTTGCGGATGTCCACGT</w:t>
            </w:r>
            <w:r>
              <w:rPr>
                <w:rFonts w:ascii="Cambria Math" w:hAnsi="Cambria Math" w:cs="Cambria Math"/>
                <w:color w:val="000000"/>
                <w:kern w:val="0"/>
                <w:sz w:val="20"/>
                <w:szCs w:val="20"/>
              </w:rPr>
              <w:t>‐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3'</w:t>
            </w:r>
          </w:p>
        </w:tc>
      </w:tr>
    </w:tbl>
    <w:p w:rsidR="00B807CD" w:rsidRDefault="00B807CD">
      <w:pPr>
        <w:spacing w:line="480" w:lineRule="auto"/>
        <w:rPr>
          <w:rFonts w:ascii="Arial" w:hAnsi="Arial" w:cs="Arial"/>
          <w:sz w:val="20"/>
          <w:szCs w:val="20"/>
        </w:rPr>
      </w:pPr>
    </w:p>
    <w:sectPr w:rsidR="00B807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CC2"/>
    <w:rsid w:val="EB6BE2AC"/>
    <w:rsid w:val="00031285"/>
    <w:rsid w:val="00031C37"/>
    <w:rsid w:val="00061E7D"/>
    <w:rsid w:val="0006580C"/>
    <w:rsid w:val="00070D38"/>
    <w:rsid w:val="00086CEC"/>
    <w:rsid w:val="00087794"/>
    <w:rsid w:val="000A4823"/>
    <w:rsid w:val="000D5198"/>
    <w:rsid w:val="00113926"/>
    <w:rsid w:val="00135CCE"/>
    <w:rsid w:val="001C2C1B"/>
    <w:rsid w:val="00214B97"/>
    <w:rsid w:val="00217E92"/>
    <w:rsid w:val="00220BF6"/>
    <w:rsid w:val="002252FC"/>
    <w:rsid w:val="0023498A"/>
    <w:rsid w:val="00257BCD"/>
    <w:rsid w:val="00270E6B"/>
    <w:rsid w:val="00284FFD"/>
    <w:rsid w:val="002B5ABC"/>
    <w:rsid w:val="002C71B7"/>
    <w:rsid w:val="00336DDB"/>
    <w:rsid w:val="00370CC5"/>
    <w:rsid w:val="00377B6A"/>
    <w:rsid w:val="00395B60"/>
    <w:rsid w:val="003E0E90"/>
    <w:rsid w:val="003E3076"/>
    <w:rsid w:val="003F7B95"/>
    <w:rsid w:val="00437B08"/>
    <w:rsid w:val="00483B79"/>
    <w:rsid w:val="00491B0A"/>
    <w:rsid w:val="004C6E60"/>
    <w:rsid w:val="00500CED"/>
    <w:rsid w:val="00554284"/>
    <w:rsid w:val="00576044"/>
    <w:rsid w:val="00583917"/>
    <w:rsid w:val="005D2BC0"/>
    <w:rsid w:val="00613C40"/>
    <w:rsid w:val="00677C50"/>
    <w:rsid w:val="006F5290"/>
    <w:rsid w:val="00712243"/>
    <w:rsid w:val="007734C8"/>
    <w:rsid w:val="007B48D1"/>
    <w:rsid w:val="007D354F"/>
    <w:rsid w:val="008344C9"/>
    <w:rsid w:val="00857B45"/>
    <w:rsid w:val="008C66D4"/>
    <w:rsid w:val="008D3F2E"/>
    <w:rsid w:val="008E62C2"/>
    <w:rsid w:val="009115DF"/>
    <w:rsid w:val="00931A62"/>
    <w:rsid w:val="00935902"/>
    <w:rsid w:val="00935E1F"/>
    <w:rsid w:val="009904ED"/>
    <w:rsid w:val="00996E7A"/>
    <w:rsid w:val="009E3B41"/>
    <w:rsid w:val="00AB0ADF"/>
    <w:rsid w:val="00AC5EAA"/>
    <w:rsid w:val="00AF6DAB"/>
    <w:rsid w:val="00B4209D"/>
    <w:rsid w:val="00B47EF4"/>
    <w:rsid w:val="00B807CD"/>
    <w:rsid w:val="00B86FF2"/>
    <w:rsid w:val="00C01A3B"/>
    <w:rsid w:val="00C05BC0"/>
    <w:rsid w:val="00C84D43"/>
    <w:rsid w:val="00CE5B2B"/>
    <w:rsid w:val="00D44317"/>
    <w:rsid w:val="00D559CA"/>
    <w:rsid w:val="00D668A3"/>
    <w:rsid w:val="00DB0CF2"/>
    <w:rsid w:val="00DC1F91"/>
    <w:rsid w:val="00E07665"/>
    <w:rsid w:val="00E15AD1"/>
    <w:rsid w:val="00E21647"/>
    <w:rsid w:val="00E27CC2"/>
    <w:rsid w:val="00E30B0F"/>
    <w:rsid w:val="00E416B4"/>
    <w:rsid w:val="00E62599"/>
    <w:rsid w:val="00E66C11"/>
    <w:rsid w:val="00E77B10"/>
    <w:rsid w:val="00E837CF"/>
    <w:rsid w:val="00EA380A"/>
    <w:rsid w:val="00EB0D03"/>
    <w:rsid w:val="00F53BB7"/>
    <w:rsid w:val="00F725AC"/>
    <w:rsid w:val="00F76418"/>
    <w:rsid w:val="00F76655"/>
    <w:rsid w:val="00F80412"/>
    <w:rsid w:val="00FA0BC0"/>
    <w:rsid w:val="00FA61DA"/>
    <w:rsid w:val="00FA658A"/>
    <w:rsid w:val="00FB13CC"/>
    <w:rsid w:val="00FB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7CED5A-D300-944A-A2D2-2593692C8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unhideWhenUsed/>
    <w:rsid w:val="007D354F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76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240</Words>
  <Characters>1371</Characters>
  <Application>Microsoft Office Word</Application>
  <DocSecurity>0</DocSecurity>
  <Lines>11</Lines>
  <Paragraphs>3</Paragraphs>
  <ScaleCrop>false</ScaleCrop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洵 邱</dc:creator>
  <cp:lastModifiedBy>洵 邱</cp:lastModifiedBy>
  <cp:revision>19</cp:revision>
  <dcterms:created xsi:type="dcterms:W3CDTF">2023-12-10T19:46:00Z</dcterms:created>
  <dcterms:modified xsi:type="dcterms:W3CDTF">2024-01-09T02:51:00Z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468F06B04C407781EC537E6583F367C9_42</vt:lpwstr>
  </property>
</Properties>
</file>