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05"/>
        <w:tblW w:w="22168" w:type="dxa"/>
        <w:tblLayout w:type="fixed"/>
        <w:tblLook w:val="04A0" w:firstRow="1" w:lastRow="0" w:firstColumn="1" w:lastColumn="0" w:noHBand="0" w:noVBand="1"/>
      </w:tblPr>
      <w:tblGrid>
        <w:gridCol w:w="302"/>
        <w:gridCol w:w="792"/>
        <w:gridCol w:w="948"/>
        <w:gridCol w:w="743"/>
        <w:gridCol w:w="990"/>
        <w:gridCol w:w="1145"/>
        <w:gridCol w:w="1604"/>
        <w:gridCol w:w="915"/>
        <w:gridCol w:w="1047"/>
        <w:gridCol w:w="774"/>
        <w:gridCol w:w="1047"/>
        <w:gridCol w:w="963"/>
        <w:gridCol w:w="1047"/>
        <w:gridCol w:w="774"/>
        <w:gridCol w:w="1047"/>
        <w:gridCol w:w="774"/>
        <w:gridCol w:w="923"/>
        <w:gridCol w:w="1004"/>
        <w:gridCol w:w="1047"/>
        <w:gridCol w:w="1009"/>
        <w:gridCol w:w="1047"/>
        <w:gridCol w:w="1113"/>
        <w:gridCol w:w="1113"/>
      </w:tblGrid>
      <w:tr w:rsidR="00031223" w:rsidRPr="00570465" w14:paraId="291E9531" w14:textId="77777777" w:rsidTr="00E918D5">
        <w:tc>
          <w:tcPr>
            <w:tcW w:w="22168" w:type="dxa"/>
            <w:gridSpan w:val="23"/>
          </w:tcPr>
          <w:p w14:paraId="723CFF64" w14:textId="7B55B84C" w:rsidR="00031223" w:rsidRPr="00811B72" w:rsidRDefault="006811D5" w:rsidP="00E918D5">
            <w:pP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 xml:space="preserve">Supplementary </w:t>
            </w:r>
            <w:r w:rsidR="00031223" w:rsidRPr="00811B72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Table.1</w:t>
            </w:r>
            <w:r w:rsidR="00031223">
              <w:rPr>
                <w:rFonts w:asciiTheme="majorBidi" w:hAnsiTheme="majorBidi" w:cstheme="majorBidi"/>
                <w:sz w:val="17"/>
                <w:szCs w:val="17"/>
              </w:rPr>
              <w:t xml:space="preserve"> Demographic characteristics of the included studies </w:t>
            </w:r>
          </w:p>
        </w:tc>
      </w:tr>
      <w:tr w:rsidR="00031223" w:rsidRPr="00570465" w14:paraId="3EC2B4F3" w14:textId="77777777" w:rsidTr="00E918D5">
        <w:tc>
          <w:tcPr>
            <w:tcW w:w="1094" w:type="dxa"/>
            <w:gridSpan w:val="2"/>
            <w:vMerge w:val="restart"/>
            <w:vAlign w:val="center"/>
          </w:tcPr>
          <w:p w14:paraId="154E4801" w14:textId="77777777" w:rsidR="00031223" w:rsidRPr="00570465" w:rsidRDefault="00031223" w:rsidP="00E918D5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Study ID</w:t>
            </w:r>
          </w:p>
        </w:tc>
        <w:tc>
          <w:tcPr>
            <w:tcW w:w="948" w:type="dxa"/>
            <w:vMerge w:val="restart"/>
            <w:vAlign w:val="center"/>
          </w:tcPr>
          <w:p w14:paraId="772D019C" w14:textId="77777777" w:rsidR="00031223" w:rsidRPr="00570465" w:rsidRDefault="00031223" w:rsidP="00E918D5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Study Region</w:t>
            </w:r>
          </w:p>
        </w:tc>
        <w:tc>
          <w:tcPr>
            <w:tcW w:w="743" w:type="dxa"/>
            <w:vMerge w:val="restart"/>
            <w:vAlign w:val="center"/>
          </w:tcPr>
          <w:p w14:paraId="14A3C72B" w14:textId="77777777" w:rsidR="00031223" w:rsidRPr="00570465" w:rsidRDefault="00031223" w:rsidP="00E918D5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Study Design</w:t>
            </w:r>
          </w:p>
        </w:tc>
        <w:tc>
          <w:tcPr>
            <w:tcW w:w="990" w:type="dxa"/>
            <w:vMerge w:val="restart"/>
            <w:vAlign w:val="center"/>
          </w:tcPr>
          <w:p w14:paraId="6A1C7C15" w14:textId="77777777" w:rsidR="00031223" w:rsidRPr="00570465" w:rsidRDefault="00031223" w:rsidP="00E918D5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Registration Number</w:t>
            </w:r>
          </w:p>
        </w:tc>
        <w:tc>
          <w:tcPr>
            <w:tcW w:w="1145" w:type="dxa"/>
            <w:vMerge w:val="restart"/>
            <w:vAlign w:val="center"/>
          </w:tcPr>
          <w:p w14:paraId="61D12C0F" w14:textId="77777777" w:rsidR="00031223" w:rsidRPr="00570465" w:rsidRDefault="00031223" w:rsidP="00E918D5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Study Period</w:t>
            </w:r>
          </w:p>
        </w:tc>
        <w:tc>
          <w:tcPr>
            <w:tcW w:w="1604" w:type="dxa"/>
            <w:vMerge w:val="restart"/>
            <w:vAlign w:val="center"/>
          </w:tcPr>
          <w:p w14:paraId="30943403" w14:textId="77777777" w:rsidR="00031223" w:rsidRPr="00570465" w:rsidRDefault="00031223" w:rsidP="00E918D5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Intervention</w:t>
            </w:r>
          </w:p>
        </w:tc>
        <w:tc>
          <w:tcPr>
            <w:tcW w:w="915" w:type="dxa"/>
            <w:vMerge w:val="restart"/>
            <w:vAlign w:val="center"/>
          </w:tcPr>
          <w:p w14:paraId="409C1488" w14:textId="77777777" w:rsidR="00031223" w:rsidRPr="00570465" w:rsidRDefault="00031223" w:rsidP="00E918D5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Control</w:t>
            </w:r>
          </w:p>
        </w:tc>
        <w:tc>
          <w:tcPr>
            <w:tcW w:w="1821" w:type="dxa"/>
            <w:gridSpan w:val="2"/>
            <w:vMerge w:val="restart"/>
            <w:vAlign w:val="center"/>
          </w:tcPr>
          <w:p w14:paraId="3ECC7D26" w14:textId="77777777" w:rsidR="00031223" w:rsidRPr="00570465" w:rsidRDefault="00031223" w:rsidP="00E918D5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sz w:val="17"/>
                <w:szCs w:val="17"/>
              </w:rPr>
              <w:t>Sample Size</w:t>
            </w:r>
          </w:p>
        </w:tc>
        <w:tc>
          <w:tcPr>
            <w:tcW w:w="2010" w:type="dxa"/>
            <w:gridSpan w:val="2"/>
            <w:vMerge w:val="restart"/>
            <w:vAlign w:val="center"/>
          </w:tcPr>
          <w:p w14:paraId="45E9E92E" w14:textId="77777777" w:rsidR="00031223" w:rsidRPr="00570465" w:rsidRDefault="00031223" w:rsidP="00E918D5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sz w:val="17"/>
                <w:szCs w:val="17"/>
              </w:rPr>
              <w:t>Age (Years)</w:t>
            </w:r>
          </w:p>
        </w:tc>
        <w:tc>
          <w:tcPr>
            <w:tcW w:w="3642" w:type="dxa"/>
            <w:gridSpan w:val="4"/>
            <w:vAlign w:val="center"/>
          </w:tcPr>
          <w:p w14:paraId="39A36367" w14:textId="77777777" w:rsidR="00031223" w:rsidRPr="00570465" w:rsidRDefault="00031223" w:rsidP="00E918D5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sz w:val="17"/>
                <w:szCs w:val="17"/>
              </w:rPr>
              <w:t>Gender</w:t>
            </w:r>
          </w:p>
        </w:tc>
        <w:tc>
          <w:tcPr>
            <w:tcW w:w="6143" w:type="dxa"/>
            <w:gridSpan w:val="6"/>
            <w:vAlign w:val="center"/>
          </w:tcPr>
          <w:p w14:paraId="4C292A27" w14:textId="77777777" w:rsidR="00031223" w:rsidRPr="00570465" w:rsidRDefault="00031223" w:rsidP="00E918D5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Glaucoma related measures</w:t>
            </w:r>
          </w:p>
        </w:tc>
        <w:tc>
          <w:tcPr>
            <w:tcW w:w="1113" w:type="dxa"/>
            <w:vMerge w:val="restart"/>
          </w:tcPr>
          <w:p w14:paraId="6242FBCC" w14:textId="77777777" w:rsidR="00031223" w:rsidRDefault="00031223" w:rsidP="00E918D5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 xml:space="preserve">Follow-up Periods </w:t>
            </w:r>
          </w:p>
        </w:tc>
      </w:tr>
      <w:tr w:rsidR="00031223" w:rsidRPr="00570465" w14:paraId="2AFB2411" w14:textId="77777777" w:rsidTr="00E918D5">
        <w:tc>
          <w:tcPr>
            <w:tcW w:w="1094" w:type="dxa"/>
            <w:gridSpan w:val="2"/>
            <w:vMerge/>
          </w:tcPr>
          <w:p w14:paraId="4EA4A11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948" w:type="dxa"/>
            <w:vMerge/>
          </w:tcPr>
          <w:p w14:paraId="1CC424BB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743" w:type="dxa"/>
            <w:vMerge/>
          </w:tcPr>
          <w:p w14:paraId="2BC1D0B5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990" w:type="dxa"/>
            <w:vMerge/>
          </w:tcPr>
          <w:p w14:paraId="45708120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1145" w:type="dxa"/>
            <w:vMerge/>
          </w:tcPr>
          <w:p w14:paraId="08168C8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1604" w:type="dxa"/>
            <w:vMerge/>
          </w:tcPr>
          <w:p w14:paraId="64190F9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915" w:type="dxa"/>
            <w:vMerge/>
          </w:tcPr>
          <w:p w14:paraId="307744A8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</w:tcPr>
          <w:p w14:paraId="6A91BB18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2010" w:type="dxa"/>
            <w:gridSpan w:val="2"/>
            <w:vMerge/>
          </w:tcPr>
          <w:p w14:paraId="73C36E4B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1821" w:type="dxa"/>
            <w:gridSpan w:val="2"/>
          </w:tcPr>
          <w:p w14:paraId="2B6B26A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sz w:val="17"/>
                <w:szCs w:val="17"/>
              </w:rPr>
              <w:t xml:space="preserve">Females </w:t>
            </w:r>
          </w:p>
        </w:tc>
        <w:tc>
          <w:tcPr>
            <w:tcW w:w="1821" w:type="dxa"/>
            <w:gridSpan w:val="2"/>
          </w:tcPr>
          <w:p w14:paraId="48B60A90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sz w:val="17"/>
                <w:szCs w:val="17"/>
              </w:rPr>
              <w:t xml:space="preserve">Males </w:t>
            </w:r>
          </w:p>
        </w:tc>
        <w:tc>
          <w:tcPr>
            <w:tcW w:w="1927" w:type="dxa"/>
            <w:gridSpan w:val="2"/>
            <w:vAlign w:val="bottom"/>
          </w:tcPr>
          <w:p w14:paraId="0AC01DDE" w14:textId="77777777" w:rsidR="00031223" w:rsidRPr="00811B72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811B72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IOP (mm Hg) </w:t>
            </w:r>
          </w:p>
        </w:tc>
        <w:tc>
          <w:tcPr>
            <w:tcW w:w="2056" w:type="dxa"/>
            <w:gridSpan w:val="2"/>
            <w:vAlign w:val="bottom"/>
          </w:tcPr>
          <w:p w14:paraId="0746822D" w14:textId="77777777" w:rsidR="00031223" w:rsidRPr="00811B72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811B72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Axial length (mm)</w:t>
            </w:r>
          </w:p>
        </w:tc>
        <w:tc>
          <w:tcPr>
            <w:tcW w:w="2160" w:type="dxa"/>
            <w:gridSpan w:val="2"/>
            <w:vAlign w:val="bottom"/>
          </w:tcPr>
          <w:p w14:paraId="36FCB87D" w14:textId="77777777" w:rsidR="00031223" w:rsidRPr="00811B72" w:rsidRDefault="00031223" w:rsidP="00E918D5">
            <w:pPr>
              <w:ind w:left="-111" w:right="-201"/>
              <w:rPr>
                <w:rFonts w:asciiTheme="majorBidi" w:hAnsiTheme="majorBidi" w:cstheme="majorBidi"/>
                <w:sz w:val="17"/>
                <w:szCs w:val="17"/>
              </w:rPr>
            </w:pPr>
            <w:r w:rsidRPr="00811B72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Anterior chamber depth (mm)</w:t>
            </w:r>
          </w:p>
        </w:tc>
        <w:tc>
          <w:tcPr>
            <w:tcW w:w="1113" w:type="dxa"/>
            <w:vMerge/>
          </w:tcPr>
          <w:p w14:paraId="183E5979" w14:textId="77777777" w:rsidR="00031223" w:rsidRPr="00811B72" w:rsidRDefault="00031223" w:rsidP="00E918D5">
            <w:pPr>
              <w:ind w:left="-111" w:right="-201"/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</w:p>
        </w:tc>
      </w:tr>
      <w:tr w:rsidR="00031223" w:rsidRPr="00570465" w14:paraId="2561DB5F" w14:textId="77777777" w:rsidTr="00E918D5">
        <w:tc>
          <w:tcPr>
            <w:tcW w:w="1094" w:type="dxa"/>
            <w:gridSpan w:val="2"/>
            <w:vMerge/>
          </w:tcPr>
          <w:p w14:paraId="7FA360FC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948" w:type="dxa"/>
            <w:vMerge/>
          </w:tcPr>
          <w:p w14:paraId="39CCA85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743" w:type="dxa"/>
            <w:vMerge/>
          </w:tcPr>
          <w:p w14:paraId="7B622688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990" w:type="dxa"/>
            <w:vMerge/>
          </w:tcPr>
          <w:p w14:paraId="7F6D19F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1145" w:type="dxa"/>
            <w:vMerge/>
          </w:tcPr>
          <w:p w14:paraId="17898ADF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1604" w:type="dxa"/>
            <w:vMerge/>
          </w:tcPr>
          <w:p w14:paraId="12A14FC7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915" w:type="dxa"/>
            <w:vMerge/>
          </w:tcPr>
          <w:p w14:paraId="517E32B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1047" w:type="dxa"/>
            <w:vAlign w:val="bottom"/>
          </w:tcPr>
          <w:p w14:paraId="716BD9B6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Intervention</w:t>
            </w:r>
          </w:p>
        </w:tc>
        <w:tc>
          <w:tcPr>
            <w:tcW w:w="774" w:type="dxa"/>
            <w:vAlign w:val="bottom"/>
          </w:tcPr>
          <w:p w14:paraId="518C0F68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Control</w:t>
            </w:r>
          </w:p>
        </w:tc>
        <w:tc>
          <w:tcPr>
            <w:tcW w:w="1047" w:type="dxa"/>
            <w:vAlign w:val="bottom"/>
          </w:tcPr>
          <w:p w14:paraId="0537DF07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Intervention</w:t>
            </w:r>
          </w:p>
        </w:tc>
        <w:tc>
          <w:tcPr>
            <w:tcW w:w="963" w:type="dxa"/>
            <w:vAlign w:val="bottom"/>
          </w:tcPr>
          <w:p w14:paraId="4B73C5A4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Control</w:t>
            </w:r>
          </w:p>
        </w:tc>
        <w:tc>
          <w:tcPr>
            <w:tcW w:w="1047" w:type="dxa"/>
            <w:vAlign w:val="bottom"/>
          </w:tcPr>
          <w:p w14:paraId="337203F7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Intervention</w:t>
            </w:r>
          </w:p>
        </w:tc>
        <w:tc>
          <w:tcPr>
            <w:tcW w:w="774" w:type="dxa"/>
            <w:vAlign w:val="bottom"/>
          </w:tcPr>
          <w:p w14:paraId="380ED6F9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Control</w:t>
            </w:r>
          </w:p>
        </w:tc>
        <w:tc>
          <w:tcPr>
            <w:tcW w:w="1047" w:type="dxa"/>
            <w:vAlign w:val="bottom"/>
          </w:tcPr>
          <w:p w14:paraId="2C59E9CC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Intervention</w:t>
            </w:r>
          </w:p>
        </w:tc>
        <w:tc>
          <w:tcPr>
            <w:tcW w:w="774" w:type="dxa"/>
            <w:vAlign w:val="bottom"/>
          </w:tcPr>
          <w:p w14:paraId="106AFAB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Control</w:t>
            </w:r>
          </w:p>
        </w:tc>
        <w:tc>
          <w:tcPr>
            <w:tcW w:w="923" w:type="dxa"/>
            <w:vAlign w:val="bottom"/>
          </w:tcPr>
          <w:p w14:paraId="7320525B" w14:textId="77777777" w:rsidR="00031223" w:rsidRPr="00570465" w:rsidRDefault="00031223" w:rsidP="00E918D5">
            <w:pPr>
              <w:ind w:left="-89" w:right="-112"/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Intervention</w:t>
            </w:r>
          </w:p>
        </w:tc>
        <w:tc>
          <w:tcPr>
            <w:tcW w:w="1004" w:type="dxa"/>
            <w:vAlign w:val="bottom"/>
          </w:tcPr>
          <w:p w14:paraId="3A046924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Control</w:t>
            </w:r>
          </w:p>
        </w:tc>
        <w:tc>
          <w:tcPr>
            <w:tcW w:w="1047" w:type="dxa"/>
            <w:vAlign w:val="bottom"/>
          </w:tcPr>
          <w:p w14:paraId="56425C20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Intervention</w:t>
            </w:r>
          </w:p>
        </w:tc>
        <w:tc>
          <w:tcPr>
            <w:tcW w:w="1009" w:type="dxa"/>
            <w:vAlign w:val="bottom"/>
          </w:tcPr>
          <w:p w14:paraId="4AD50D7E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Control</w:t>
            </w:r>
          </w:p>
        </w:tc>
        <w:tc>
          <w:tcPr>
            <w:tcW w:w="1047" w:type="dxa"/>
            <w:vAlign w:val="bottom"/>
          </w:tcPr>
          <w:p w14:paraId="6A737AC1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Intervention</w:t>
            </w:r>
          </w:p>
        </w:tc>
        <w:tc>
          <w:tcPr>
            <w:tcW w:w="1113" w:type="dxa"/>
            <w:vAlign w:val="bottom"/>
          </w:tcPr>
          <w:p w14:paraId="6B39321A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Control</w:t>
            </w:r>
          </w:p>
        </w:tc>
        <w:tc>
          <w:tcPr>
            <w:tcW w:w="1113" w:type="dxa"/>
            <w:vMerge/>
          </w:tcPr>
          <w:p w14:paraId="0C43F02E" w14:textId="77777777" w:rsidR="00031223" w:rsidRPr="00570465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</w:p>
        </w:tc>
      </w:tr>
      <w:tr w:rsidR="00031223" w:rsidRPr="00570465" w14:paraId="67DD7FC7" w14:textId="77777777" w:rsidTr="00E918D5">
        <w:tc>
          <w:tcPr>
            <w:tcW w:w="1094" w:type="dxa"/>
            <w:gridSpan w:val="2"/>
            <w:vMerge/>
          </w:tcPr>
          <w:p w14:paraId="36298A01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948" w:type="dxa"/>
            <w:vMerge/>
          </w:tcPr>
          <w:p w14:paraId="72A00E91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743" w:type="dxa"/>
            <w:vMerge/>
          </w:tcPr>
          <w:p w14:paraId="015BD87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990" w:type="dxa"/>
            <w:vMerge/>
          </w:tcPr>
          <w:p w14:paraId="3B8B6C59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1145" w:type="dxa"/>
            <w:vMerge/>
          </w:tcPr>
          <w:p w14:paraId="6EC8717D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1604" w:type="dxa"/>
            <w:vMerge/>
          </w:tcPr>
          <w:p w14:paraId="1AB6C7F1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915" w:type="dxa"/>
            <w:vMerge/>
          </w:tcPr>
          <w:p w14:paraId="71212205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1047" w:type="dxa"/>
            <w:vAlign w:val="bottom"/>
          </w:tcPr>
          <w:p w14:paraId="1F22FFDF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Number</w:t>
            </w:r>
          </w:p>
        </w:tc>
        <w:tc>
          <w:tcPr>
            <w:tcW w:w="774" w:type="dxa"/>
            <w:vAlign w:val="bottom"/>
          </w:tcPr>
          <w:p w14:paraId="1CBED0C6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Number</w:t>
            </w:r>
          </w:p>
        </w:tc>
        <w:tc>
          <w:tcPr>
            <w:tcW w:w="1047" w:type="dxa"/>
            <w:vAlign w:val="bottom"/>
          </w:tcPr>
          <w:p w14:paraId="5F5C0FB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Mean±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</w:t>
            </w: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SD</w:t>
            </w:r>
          </w:p>
        </w:tc>
        <w:tc>
          <w:tcPr>
            <w:tcW w:w="963" w:type="dxa"/>
            <w:vAlign w:val="bottom"/>
          </w:tcPr>
          <w:p w14:paraId="69D322B6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Mean±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</w:t>
            </w: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SD</w:t>
            </w:r>
          </w:p>
        </w:tc>
        <w:tc>
          <w:tcPr>
            <w:tcW w:w="1047" w:type="dxa"/>
            <w:vAlign w:val="bottom"/>
          </w:tcPr>
          <w:p w14:paraId="63E79467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Number</w:t>
            </w:r>
          </w:p>
        </w:tc>
        <w:tc>
          <w:tcPr>
            <w:tcW w:w="774" w:type="dxa"/>
            <w:vAlign w:val="bottom"/>
          </w:tcPr>
          <w:p w14:paraId="46353006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Number</w:t>
            </w:r>
          </w:p>
        </w:tc>
        <w:tc>
          <w:tcPr>
            <w:tcW w:w="1047" w:type="dxa"/>
            <w:vAlign w:val="bottom"/>
          </w:tcPr>
          <w:p w14:paraId="018032A5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Number</w:t>
            </w:r>
          </w:p>
        </w:tc>
        <w:tc>
          <w:tcPr>
            <w:tcW w:w="774" w:type="dxa"/>
            <w:vAlign w:val="bottom"/>
          </w:tcPr>
          <w:p w14:paraId="2E239CF7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Number</w:t>
            </w:r>
          </w:p>
        </w:tc>
        <w:tc>
          <w:tcPr>
            <w:tcW w:w="923" w:type="dxa"/>
            <w:vAlign w:val="bottom"/>
          </w:tcPr>
          <w:p w14:paraId="27496BFA" w14:textId="77777777" w:rsidR="00031223" w:rsidRPr="00570465" w:rsidRDefault="00031223" w:rsidP="00E918D5">
            <w:pPr>
              <w:ind w:right="-202"/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Mean±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</w:t>
            </w: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SD</w:t>
            </w:r>
          </w:p>
        </w:tc>
        <w:tc>
          <w:tcPr>
            <w:tcW w:w="1004" w:type="dxa"/>
            <w:vAlign w:val="bottom"/>
          </w:tcPr>
          <w:p w14:paraId="46C0164C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Mean±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</w:t>
            </w: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SD</w:t>
            </w:r>
          </w:p>
        </w:tc>
        <w:tc>
          <w:tcPr>
            <w:tcW w:w="1047" w:type="dxa"/>
            <w:vAlign w:val="bottom"/>
          </w:tcPr>
          <w:p w14:paraId="522433D8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Mean±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</w:t>
            </w: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SD</w:t>
            </w:r>
          </w:p>
        </w:tc>
        <w:tc>
          <w:tcPr>
            <w:tcW w:w="1009" w:type="dxa"/>
            <w:vAlign w:val="bottom"/>
          </w:tcPr>
          <w:p w14:paraId="51E5B98A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Mean±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</w:t>
            </w: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SD</w:t>
            </w:r>
          </w:p>
        </w:tc>
        <w:tc>
          <w:tcPr>
            <w:tcW w:w="1047" w:type="dxa"/>
            <w:vAlign w:val="bottom"/>
          </w:tcPr>
          <w:p w14:paraId="750BB554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Mean±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</w:t>
            </w: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SD</w:t>
            </w:r>
          </w:p>
        </w:tc>
        <w:tc>
          <w:tcPr>
            <w:tcW w:w="1113" w:type="dxa"/>
            <w:vAlign w:val="bottom"/>
          </w:tcPr>
          <w:p w14:paraId="5D383B52" w14:textId="77777777" w:rsidR="00031223" w:rsidRPr="00570465" w:rsidRDefault="00031223" w:rsidP="00E918D5">
            <w:pPr>
              <w:ind w:right="-111"/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Mean±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</w:t>
            </w: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SD</w:t>
            </w:r>
          </w:p>
        </w:tc>
        <w:tc>
          <w:tcPr>
            <w:tcW w:w="1113" w:type="dxa"/>
            <w:vMerge/>
          </w:tcPr>
          <w:p w14:paraId="51489088" w14:textId="77777777" w:rsidR="00031223" w:rsidRPr="00570465" w:rsidRDefault="00031223" w:rsidP="00E918D5">
            <w:pPr>
              <w:ind w:right="-111"/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</w:p>
        </w:tc>
      </w:tr>
      <w:tr w:rsidR="00031223" w:rsidRPr="00570465" w14:paraId="3BD6EA6A" w14:textId="77777777" w:rsidTr="00E918D5">
        <w:tc>
          <w:tcPr>
            <w:tcW w:w="302" w:type="dxa"/>
          </w:tcPr>
          <w:p w14:paraId="377BF559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sz w:val="17"/>
                <w:szCs w:val="17"/>
              </w:rPr>
              <w:t>1</w:t>
            </w:r>
          </w:p>
        </w:tc>
        <w:tc>
          <w:tcPr>
            <w:tcW w:w="792" w:type="dxa"/>
            <w:vAlign w:val="bottom"/>
          </w:tcPr>
          <w:p w14:paraId="29801B1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Azuara-Blanco et al., 2016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instrText xml:space="preserve"> ADDIN EN.CITE &lt;EndNote&gt;&lt;Cite&gt;&lt;Author&gt;Azuara-Blanco&lt;/Author&gt;&lt;Year&gt;2016&lt;/Year&gt;&lt;RecNum&gt;6&lt;/RecNum&gt;&lt;DisplayText&gt;[7]&lt;/DisplayText&gt;&lt;record&gt;&lt;rec-number&gt;6&lt;/rec-number&gt;&lt;foreign-keys&gt;&lt;key app="EN" db-id="5adsrsw0aawtetex2fj5wda15wvrxwxdpvfp" timestamp="1689450056"&gt;6&lt;/key&gt;&lt;/foreign-keys&gt;&lt;ref-type name="Journal Article"&gt;17&lt;/ref-type&gt;&lt;contributors&gt;&lt;authors&gt;&lt;author&gt;Azuara-Blanco, Augusto&lt;/author&gt;&lt;author&gt;Burr, Jennifer&lt;/author&gt;&lt;author&gt;Ramsay, Craig&lt;/author&gt;&lt;author&gt;Cooper, David&lt;/author&gt;&lt;author&gt;Foster, Paul J&lt;/author&gt;&lt;author&gt;Friedman, David S&lt;/author&gt;&lt;author&gt;Scotland, Graham&lt;/author&gt;&lt;author&gt;Javanbakht, Mehdi&lt;/author&gt;&lt;author&gt;Cochrane, Claire&lt;/author&gt;&lt;author&gt;Norrie, John&lt;/author&gt;&lt;/authors&gt;&lt;/contributors&gt;&lt;titles&gt;&lt;title&gt;Effectiveness of early lens extraction for the treatment of primary angle-closure glaucoma (EAGLE): a randomised controlled trial&lt;/title&gt;&lt;secondary-title&gt;The Lancet&lt;/secondary-title&gt;&lt;/titles&gt;&lt;periodical&gt;&lt;full-title&gt;The Lancet&lt;/full-title&gt;&lt;/periodical&gt;&lt;pages&gt;1389-1397&lt;/pages&gt;&lt;volume&gt;388&lt;/volume&gt;&lt;number&gt;10052&lt;/number&gt;&lt;dates&gt;&lt;year&gt;2016&lt;/year&gt;&lt;/dates&gt;&lt;isbn&gt;0140-6736&lt;/isbn&gt;&lt;urls&gt;&lt;/urls&gt;&lt;/record&gt;&lt;/Cite&gt;&lt;/EndNote&gt;</w:instrTex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color w:val="000000"/>
                <w:sz w:val="17"/>
                <w:szCs w:val="17"/>
              </w:rPr>
              <w:t>[15]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948" w:type="dxa"/>
            <w:vAlign w:val="bottom"/>
          </w:tcPr>
          <w:p w14:paraId="329B3CCF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UK</w:t>
            </w:r>
          </w:p>
        </w:tc>
        <w:tc>
          <w:tcPr>
            <w:tcW w:w="743" w:type="dxa"/>
            <w:vAlign w:val="bottom"/>
          </w:tcPr>
          <w:p w14:paraId="08789EAE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RCT</w:t>
            </w:r>
          </w:p>
        </w:tc>
        <w:tc>
          <w:tcPr>
            <w:tcW w:w="990" w:type="dxa"/>
            <w:vAlign w:val="bottom"/>
          </w:tcPr>
          <w:p w14:paraId="166C25A5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ISRCTN44464607</w:t>
            </w:r>
          </w:p>
        </w:tc>
        <w:tc>
          <w:tcPr>
            <w:tcW w:w="1145" w:type="dxa"/>
            <w:vAlign w:val="bottom"/>
          </w:tcPr>
          <w:p w14:paraId="4DECF9C4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Jan 8, 2009, to Dec 28, 2011</w:t>
            </w:r>
          </w:p>
        </w:tc>
        <w:tc>
          <w:tcPr>
            <w:tcW w:w="1604" w:type="dxa"/>
            <w:vAlign w:val="bottom"/>
          </w:tcPr>
          <w:p w14:paraId="1736B158" w14:textId="77777777" w:rsidR="00031223" w:rsidRPr="00570465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Clear-lens extraction</w:t>
            </w:r>
          </w:p>
        </w:tc>
        <w:tc>
          <w:tcPr>
            <w:tcW w:w="915" w:type="dxa"/>
            <w:vAlign w:val="bottom"/>
          </w:tcPr>
          <w:p w14:paraId="283E27FB" w14:textId="77777777" w:rsidR="00031223" w:rsidRPr="00570465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Laser peripheral iridotomy</w:t>
            </w:r>
          </w:p>
        </w:tc>
        <w:tc>
          <w:tcPr>
            <w:tcW w:w="1047" w:type="dxa"/>
            <w:vAlign w:val="bottom"/>
          </w:tcPr>
          <w:p w14:paraId="739085B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208</w:t>
            </w:r>
          </w:p>
        </w:tc>
        <w:tc>
          <w:tcPr>
            <w:tcW w:w="774" w:type="dxa"/>
            <w:vAlign w:val="bottom"/>
          </w:tcPr>
          <w:p w14:paraId="0A6602BE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211</w:t>
            </w:r>
          </w:p>
        </w:tc>
        <w:tc>
          <w:tcPr>
            <w:tcW w:w="1047" w:type="dxa"/>
            <w:vAlign w:val="bottom"/>
          </w:tcPr>
          <w:p w14:paraId="0683D6EB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67·0 (61·0–73·0) *</w:t>
            </w:r>
          </w:p>
        </w:tc>
        <w:tc>
          <w:tcPr>
            <w:tcW w:w="963" w:type="dxa"/>
            <w:vAlign w:val="bottom"/>
          </w:tcPr>
          <w:p w14:paraId="0AD8A91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67·0 (61·0–73·0) *</w:t>
            </w:r>
          </w:p>
        </w:tc>
        <w:tc>
          <w:tcPr>
            <w:tcW w:w="1047" w:type="dxa"/>
            <w:vAlign w:val="bottom"/>
          </w:tcPr>
          <w:p w14:paraId="34DAFE1E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122</w:t>
            </w:r>
          </w:p>
        </w:tc>
        <w:tc>
          <w:tcPr>
            <w:tcW w:w="774" w:type="dxa"/>
            <w:vAlign w:val="bottom"/>
          </w:tcPr>
          <w:p w14:paraId="505391ED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121</w:t>
            </w:r>
          </w:p>
        </w:tc>
        <w:tc>
          <w:tcPr>
            <w:tcW w:w="1047" w:type="dxa"/>
            <w:vAlign w:val="bottom"/>
          </w:tcPr>
          <w:p w14:paraId="3112007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14</w:t>
            </w:r>
          </w:p>
        </w:tc>
        <w:tc>
          <w:tcPr>
            <w:tcW w:w="774" w:type="dxa"/>
            <w:vAlign w:val="bottom"/>
          </w:tcPr>
          <w:p w14:paraId="1AA7FCF8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90</w:t>
            </w:r>
          </w:p>
        </w:tc>
        <w:tc>
          <w:tcPr>
            <w:tcW w:w="923" w:type="dxa"/>
            <w:vAlign w:val="bottom"/>
          </w:tcPr>
          <w:p w14:paraId="39A06A9F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30 (24·0 to 33·0) *</w:t>
            </w:r>
          </w:p>
        </w:tc>
        <w:tc>
          <w:tcPr>
            <w:tcW w:w="1004" w:type="dxa"/>
            <w:vAlign w:val="bottom"/>
          </w:tcPr>
          <w:p w14:paraId="5A2715E6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30 (26·0 to 33·0) * </w:t>
            </w:r>
          </w:p>
        </w:tc>
        <w:tc>
          <w:tcPr>
            <w:tcW w:w="1047" w:type="dxa"/>
            <w:vAlign w:val="bottom"/>
          </w:tcPr>
          <w:p w14:paraId="288004FA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22·5 (22·0 to 23·1) *</w:t>
            </w:r>
          </w:p>
        </w:tc>
        <w:tc>
          <w:tcPr>
            <w:tcW w:w="1009" w:type="dxa"/>
            <w:vAlign w:val="bottom"/>
          </w:tcPr>
          <w:p w14:paraId="524BBE4A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22·7 (22·1 to 23·2) *</w:t>
            </w:r>
          </w:p>
        </w:tc>
        <w:tc>
          <w:tcPr>
            <w:tcW w:w="1047" w:type="dxa"/>
            <w:vAlign w:val="bottom"/>
          </w:tcPr>
          <w:p w14:paraId="3ED0040F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2·5 (2·3 to 2·7) *</w:t>
            </w:r>
          </w:p>
        </w:tc>
        <w:tc>
          <w:tcPr>
            <w:tcW w:w="1113" w:type="dxa"/>
            <w:vAlign w:val="bottom"/>
          </w:tcPr>
          <w:p w14:paraId="4D3891DC" w14:textId="77777777" w:rsidR="00031223" w:rsidRPr="00570465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2·5 (2·3 to </w:t>
            </w:r>
          </w:p>
          <w:p w14:paraId="0E4079AB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2·7) *</w:t>
            </w:r>
          </w:p>
        </w:tc>
        <w:tc>
          <w:tcPr>
            <w:tcW w:w="1113" w:type="dxa"/>
            <w:vAlign w:val="bottom"/>
          </w:tcPr>
          <w:p w14:paraId="5A88594E" w14:textId="77777777" w:rsidR="00031223" w:rsidRPr="008A3528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8A3528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baseline and 6, 12, 24, and 36 months </w:t>
            </w:r>
          </w:p>
        </w:tc>
      </w:tr>
      <w:tr w:rsidR="00031223" w:rsidRPr="00570465" w14:paraId="373D3282" w14:textId="77777777" w:rsidTr="00E918D5">
        <w:tc>
          <w:tcPr>
            <w:tcW w:w="302" w:type="dxa"/>
          </w:tcPr>
          <w:p w14:paraId="3EEBBF9F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sz w:val="17"/>
                <w:szCs w:val="17"/>
              </w:rPr>
              <w:t>2</w:t>
            </w:r>
          </w:p>
        </w:tc>
        <w:tc>
          <w:tcPr>
            <w:tcW w:w="792" w:type="dxa"/>
            <w:vAlign w:val="bottom"/>
          </w:tcPr>
          <w:p w14:paraId="75230BCD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Chan et al.,2021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instrText xml:space="preserve"> ADDIN EN.CITE &lt;EndNote&gt;&lt;Cite&gt;&lt;Author&gt;Chan&lt;/Author&gt;&lt;Year&gt;2021&lt;/Year&gt;&lt;RecNum&gt;7&lt;/RecNum&gt;&lt;DisplayText&gt;[8]&lt;/DisplayText&gt;&lt;record&gt;&lt;rec-number&gt;7&lt;/rec-number&gt;&lt;foreign-keys&gt;&lt;key app="EN" db-id="5adsrsw0aawtetex2fj5wda15wvrxwxdpvfp" timestamp="1689450069"&gt;7&lt;/key&gt;&lt;/foreign-keys&gt;&lt;ref-type name="Journal Article"&gt;17&lt;/ref-type&gt;&lt;contributors&gt;&lt;authors&gt;&lt;author&gt;Chan, Poemen P&lt;/author&gt;&lt;author&gt;Tang, Fang Y&lt;/author&gt;&lt;author&gt;Leung, Dexter Y&lt;/author&gt;&lt;author&gt;Lam, Thomas C&lt;/author&gt;&lt;author&gt;Baig, Nafees&lt;/author&gt;&lt;author&gt;Tham, Clement C&lt;/author&gt;&lt;/authors&gt;&lt;/contributors&gt;&lt;titles&gt;&lt;title&gt;Ten-year clinical outcomes of acute primary angle closure randomized to receive early phacoemulsification versus laser peripheral iridotomy&lt;/title&gt;&lt;secondary-title&gt;Journal of Glaucoma&lt;/secondary-title&gt;&lt;/titles&gt;&lt;periodical&gt;&lt;full-title&gt;Journal of Glaucoma&lt;/full-title&gt;&lt;/periodical&gt;&lt;pages&gt;332-339&lt;/pages&gt;&lt;volume&gt;30&lt;/volume&gt;&lt;number&gt;4&lt;/number&gt;&lt;dates&gt;&lt;year&gt;2021&lt;/year&gt;&lt;/dates&gt;&lt;isbn&gt;1057-0829&lt;/isbn&gt;&lt;urls&gt;&lt;/urls&gt;&lt;/record&gt;&lt;/Cite&gt;&lt;/EndNote&gt;</w:instrTex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color w:val="000000"/>
                <w:sz w:val="17"/>
                <w:szCs w:val="17"/>
              </w:rPr>
              <w:t>[16]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948" w:type="dxa"/>
            <w:vAlign w:val="bottom"/>
          </w:tcPr>
          <w:p w14:paraId="5C88BDE5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China</w:t>
            </w:r>
          </w:p>
        </w:tc>
        <w:tc>
          <w:tcPr>
            <w:tcW w:w="743" w:type="dxa"/>
            <w:vAlign w:val="bottom"/>
          </w:tcPr>
          <w:p w14:paraId="04E9CEF0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RCT</w:t>
            </w:r>
          </w:p>
        </w:tc>
        <w:tc>
          <w:tcPr>
            <w:tcW w:w="990" w:type="dxa"/>
            <w:vAlign w:val="bottom"/>
          </w:tcPr>
          <w:p w14:paraId="18B49160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1145" w:type="dxa"/>
            <w:vAlign w:val="bottom"/>
          </w:tcPr>
          <w:p w14:paraId="6239CE97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February 2004 and August 2005.</w:t>
            </w:r>
          </w:p>
        </w:tc>
        <w:tc>
          <w:tcPr>
            <w:tcW w:w="1604" w:type="dxa"/>
            <w:vAlign w:val="bottom"/>
          </w:tcPr>
          <w:p w14:paraId="5EB751F7" w14:textId="77777777" w:rsidR="00031223" w:rsidRPr="00570465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phacoemulsification</w:t>
            </w:r>
          </w:p>
        </w:tc>
        <w:tc>
          <w:tcPr>
            <w:tcW w:w="915" w:type="dxa"/>
            <w:vAlign w:val="bottom"/>
          </w:tcPr>
          <w:p w14:paraId="39D06C23" w14:textId="77777777" w:rsidR="00031223" w:rsidRPr="00570465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laser peripheral iridotomy</w:t>
            </w:r>
          </w:p>
        </w:tc>
        <w:tc>
          <w:tcPr>
            <w:tcW w:w="1047" w:type="dxa"/>
            <w:vAlign w:val="bottom"/>
          </w:tcPr>
          <w:p w14:paraId="0BD15AC7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31</w:t>
            </w:r>
          </w:p>
        </w:tc>
        <w:tc>
          <w:tcPr>
            <w:tcW w:w="774" w:type="dxa"/>
            <w:vAlign w:val="bottom"/>
          </w:tcPr>
          <w:p w14:paraId="79943285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31</w:t>
            </w:r>
          </w:p>
        </w:tc>
        <w:tc>
          <w:tcPr>
            <w:tcW w:w="1047" w:type="dxa"/>
            <w:vAlign w:val="bottom"/>
          </w:tcPr>
          <w:p w14:paraId="45631B4B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72.3 ± 7.3 </w:t>
            </w:r>
          </w:p>
        </w:tc>
        <w:tc>
          <w:tcPr>
            <w:tcW w:w="963" w:type="dxa"/>
            <w:vAlign w:val="bottom"/>
          </w:tcPr>
          <w:p w14:paraId="061AD335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69.0 ± 7.8 </w:t>
            </w:r>
          </w:p>
        </w:tc>
        <w:tc>
          <w:tcPr>
            <w:tcW w:w="1047" w:type="dxa"/>
            <w:vAlign w:val="bottom"/>
          </w:tcPr>
          <w:p w14:paraId="4E254C41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5</w:t>
            </w:r>
          </w:p>
        </w:tc>
        <w:tc>
          <w:tcPr>
            <w:tcW w:w="774" w:type="dxa"/>
            <w:vAlign w:val="bottom"/>
          </w:tcPr>
          <w:p w14:paraId="07EB35B4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47" w:type="dxa"/>
            <w:vAlign w:val="bottom"/>
          </w:tcPr>
          <w:p w14:paraId="6577F6EE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26</w:t>
            </w:r>
          </w:p>
        </w:tc>
        <w:tc>
          <w:tcPr>
            <w:tcW w:w="774" w:type="dxa"/>
            <w:vAlign w:val="bottom"/>
          </w:tcPr>
          <w:p w14:paraId="4648FFAC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23</w:t>
            </w:r>
          </w:p>
        </w:tc>
        <w:tc>
          <w:tcPr>
            <w:tcW w:w="923" w:type="dxa"/>
            <w:vAlign w:val="bottom"/>
          </w:tcPr>
          <w:p w14:paraId="798542F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59.7 ± 8.7 </w:t>
            </w:r>
          </w:p>
        </w:tc>
        <w:tc>
          <w:tcPr>
            <w:tcW w:w="1004" w:type="dxa"/>
            <w:vAlign w:val="bottom"/>
          </w:tcPr>
          <w:p w14:paraId="08663979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57.9 ± 11.8 </w:t>
            </w:r>
          </w:p>
        </w:tc>
        <w:tc>
          <w:tcPr>
            <w:tcW w:w="1047" w:type="dxa"/>
            <w:vAlign w:val="bottom"/>
          </w:tcPr>
          <w:p w14:paraId="54B79EAA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22.42 ± 0.87</w:t>
            </w:r>
          </w:p>
        </w:tc>
        <w:tc>
          <w:tcPr>
            <w:tcW w:w="1009" w:type="dxa"/>
            <w:vAlign w:val="bottom"/>
          </w:tcPr>
          <w:p w14:paraId="234EB315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22.46 ± 0.57</w:t>
            </w:r>
          </w:p>
        </w:tc>
        <w:tc>
          <w:tcPr>
            <w:tcW w:w="1047" w:type="dxa"/>
            <w:vAlign w:val="bottom"/>
          </w:tcPr>
          <w:p w14:paraId="1D38DF8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2.11 ± 0.51</w:t>
            </w:r>
          </w:p>
        </w:tc>
        <w:tc>
          <w:tcPr>
            <w:tcW w:w="1113" w:type="dxa"/>
            <w:vAlign w:val="bottom"/>
          </w:tcPr>
          <w:p w14:paraId="29E33E84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1.97 ± 0.25</w:t>
            </w:r>
          </w:p>
        </w:tc>
        <w:tc>
          <w:tcPr>
            <w:tcW w:w="1113" w:type="dxa"/>
            <w:vAlign w:val="bottom"/>
          </w:tcPr>
          <w:p w14:paraId="0DE221F3" w14:textId="77777777" w:rsidR="00031223" w:rsidRPr="008A3528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8A3528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1; week 1; months 1, 3, 6, 9, 12 and then every 6 months for 18 months.</w:t>
            </w:r>
          </w:p>
        </w:tc>
      </w:tr>
      <w:tr w:rsidR="00031223" w:rsidRPr="00570465" w14:paraId="4E1D1C54" w14:textId="77777777" w:rsidTr="00E918D5">
        <w:tc>
          <w:tcPr>
            <w:tcW w:w="302" w:type="dxa"/>
          </w:tcPr>
          <w:p w14:paraId="41C766CA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sz w:val="17"/>
                <w:szCs w:val="17"/>
              </w:rPr>
              <w:t>3</w:t>
            </w:r>
          </w:p>
        </w:tc>
        <w:tc>
          <w:tcPr>
            <w:tcW w:w="792" w:type="dxa"/>
            <w:vAlign w:val="bottom"/>
          </w:tcPr>
          <w:p w14:paraId="19BF2AC0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Dias-Santos et al., 2014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instrText xml:space="preserve"> ADDIN EN.CITE &lt;EndNote&gt;&lt;Cite&gt;&lt;Author&gt;Dias-Santos&lt;/Author&gt;&lt;Year&gt;2015&lt;/Year&gt;&lt;RecNum&gt;8&lt;/RecNum&gt;&lt;DisplayText&gt;[9]&lt;/DisplayText&gt;&lt;record&gt;&lt;rec-number&gt;8&lt;/rec-number&gt;&lt;foreign-keys&gt;&lt;key app="EN" db-id="5adsrsw0aawtetex2fj5wda15wvrxwxdpvfp" timestamp="1689450080"&gt;8&lt;/key&gt;&lt;/foreign-keys&gt;&lt;ref-type name="Journal Article"&gt;17&lt;/ref-type&gt;&lt;contributors&gt;&lt;authors&gt;&lt;author&gt;Dias-Santos, Arnaldo&lt;/author&gt;&lt;author&gt;Ferreira, Joana&lt;/author&gt;&lt;author&gt;Abegão Pinto, Luís&lt;/author&gt;&lt;author&gt;Domingues, Isabel&lt;/author&gt;&lt;author&gt;Silva, José Pedro&lt;/author&gt;&lt;author&gt;Cunha, Joao Paulo&lt;/author&gt;&lt;author&gt;Reina, Maria&lt;/author&gt;&lt;/authors&gt;&lt;/contributors&gt;&lt;titles&gt;&lt;title&gt;Phacoemulsification versus peripheral iridotomy in the management of chronic primary angle closure: long-term follow-up&lt;/title&gt;&lt;secondary-title&gt;International ophthalmology&lt;/secondary-title&gt;&lt;/titles&gt;&lt;periodical&gt;&lt;full-title&gt;International ophthalmology&lt;/full-title&gt;&lt;/periodical&gt;&lt;pages&gt;173-178&lt;/pages&gt;&lt;volume&gt;35&lt;/volume&gt;&lt;dates&gt;&lt;year&gt;2015&lt;/year&gt;&lt;/dates&gt;&lt;isbn&gt;0165-5701&lt;/isbn&gt;&lt;urls&gt;&lt;/urls&gt;&lt;/record&gt;&lt;/Cite&gt;&lt;/EndNote&gt;</w:instrTex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color w:val="000000"/>
                <w:sz w:val="17"/>
                <w:szCs w:val="17"/>
              </w:rPr>
              <w:t>[17]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948" w:type="dxa"/>
            <w:vAlign w:val="bottom"/>
          </w:tcPr>
          <w:p w14:paraId="55D7D9A5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Portugal</w:t>
            </w:r>
          </w:p>
        </w:tc>
        <w:tc>
          <w:tcPr>
            <w:tcW w:w="743" w:type="dxa"/>
            <w:vAlign w:val="bottom"/>
          </w:tcPr>
          <w:p w14:paraId="54C57D3C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RCT</w:t>
            </w:r>
          </w:p>
        </w:tc>
        <w:tc>
          <w:tcPr>
            <w:tcW w:w="990" w:type="dxa"/>
            <w:vAlign w:val="bottom"/>
          </w:tcPr>
          <w:p w14:paraId="37624F06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1145" w:type="dxa"/>
            <w:vAlign w:val="bottom"/>
          </w:tcPr>
          <w:p w14:paraId="517E660E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January and June 2010</w:t>
            </w:r>
          </w:p>
        </w:tc>
        <w:tc>
          <w:tcPr>
            <w:tcW w:w="1604" w:type="dxa"/>
            <w:vAlign w:val="bottom"/>
          </w:tcPr>
          <w:p w14:paraId="791E0EDC" w14:textId="77777777" w:rsidR="00031223" w:rsidRPr="00570465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Phacoemulsification with IOL implantation </w:t>
            </w:r>
          </w:p>
        </w:tc>
        <w:tc>
          <w:tcPr>
            <w:tcW w:w="915" w:type="dxa"/>
            <w:vAlign w:val="bottom"/>
          </w:tcPr>
          <w:p w14:paraId="112CFDB8" w14:textId="77777777" w:rsidR="00031223" w:rsidRPr="00570465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Laser peripheral iridotomy</w:t>
            </w:r>
          </w:p>
        </w:tc>
        <w:tc>
          <w:tcPr>
            <w:tcW w:w="1047" w:type="dxa"/>
            <w:vAlign w:val="bottom"/>
          </w:tcPr>
          <w:p w14:paraId="060E2FA0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15</w:t>
            </w:r>
          </w:p>
        </w:tc>
        <w:tc>
          <w:tcPr>
            <w:tcW w:w="774" w:type="dxa"/>
            <w:vAlign w:val="bottom"/>
          </w:tcPr>
          <w:p w14:paraId="6945ADF1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047" w:type="dxa"/>
            <w:vAlign w:val="bottom"/>
          </w:tcPr>
          <w:p w14:paraId="312EE5D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65.10 ± 9.49</w:t>
            </w:r>
          </w:p>
        </w:tc>
        <w:tc>
          <w:tcPr>
            <w:tcW w:w="963" w:type="dxa"/>
            <w:vAlign w:val="bottom"/>
          </w:tcPr>
          <w:p w14:paraId="6F33790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69.5 ± 11.34</w:t>
            </w:r>
          </w:p>
        </w:tc>
        <w:tc>
          <w:tcPr>
            <w:tcW w:w="1047" w:type="dxa"/>
            <w:vAlign w:val="bottom"/>
          </w:tcPr>
          <w:p w14:paraId="24B64C1F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12</w:t>
            </w:r>
          </w:p>
        </w:tc>
        <w:tc>
          <w:tcPr>
            <w:tcW w:w="774" w:type="dxa"/>
            <w:vAlign w:val="bottom"/>
          </w:tcPr>
          <w:p w14:paraId="009307A0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11</w:t>
            </w:r>
          </w:p>
        </w:tc>
        <w:tc>
          <w:tcPr>
            <w:tcW w:w="1047" w:type="dxa"/>
            <w:vAlign w:val="bottom"/>
          </w:tcPr>
          <w:p w14:paraId="239827BE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3</w:t>
            </w:r>
          </w:p>
        </w:tc>
        <w:tc>
          <w:tcPr>
            <w:tcW w:w="774" w:type="dxa"/>
            <w:vAlign w:val="bottom"/>
          </w:tcPr>
          <w:p w14:paraId="1F397AB8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4</w:t>
            </w:r>
          </w:p>
        </w:tc>
        <w:tc>
          <w:tcPr>
            <w:tcW w:w="923" w:type="dxa"/>
            <w:vAlign w:val="bottom"/>
          </w:tcPr>
          <w:p w14:paraId="7B25A9E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15.07 ± 3.26</w:t>
            </w:r>
          </w:p>
        </w:tc>
        <w:tc>
          <w:tcPr>
            <w:tcW w:w="1004" w:type="dxa"/>
            <w:vAlign w:val="bottom"/>
          </w:tcPr>
          <w:p w14:paraId="6EF3652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19.93 ± 8.30</w:t>
            </w:r>
          </w:p>
        </w:tc>
        <w:tc>
          <w:tcPr>
            <w:tcW w:w="1047" w:type="dxa"/>
            <w:vAlign w:val="bottom"/>
          </w:tcPr>
          <w:p w14:paraId="0A7BAEBC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1009" w:type="dxa"/>
            <w:vAlign w:val="bottom"/>
          </w:tcPr>
          <w:p w14:paraId="45EB0CA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1047" w:type="dxa"/>
            <w:vAlign w:val="bottom"/>
          </w:tcPr>
          <w:p w14:paraId="65506E61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2.02 ± 0.29</w:t>
            </w:r>
          </w:p>
        </w:tc>
        <w:tc>
          <w:tcPr>
            <w:tcW w:w="1113" w:type="dxa"/>
            <w:vAlign w:val="bottom"/>
          </w:tcPr>
          <w:p w14:paraId="59A75CAC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1.82 ± 0.33</w:t>
            </w:r>
          </w:p>
        </w:tc>
        <w:tc>
          <w:tcPr>
            <w:tcW w:w="1113" w:type="dxa"/>
            <w:vAlign w:val="bottom"/>
          </w:tcPr>
          <w:p w14:paraId="049B1FBC" w14:textId="77777777" w:rsidR="00031223" w:rsidRPr="008A3528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8A3528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31.13 ± 4.97 months.</w:t>
            </w:r>
          </w:p>
        </w:tc>
      </w:tr>
      <w:tr w:rsidR="00031223" w:rsidRPr="00570465" w14:paraId="663F9BAB" w14:textId="77777777" w:rsidTr="00E918D5">
        <w:tc>
          <w:tcPr>
            <w:tcW w:w="302" w:type="dxa"/>
          </w:tcPr>
          <w:p w14:paraId="4DD4A2B9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sz w:val="17"/>
                <w:szCs w:val="17"/>
              </w:rPr>
              <w:t>4</w:t>
            </w:r>
          </w:p>
        </w:tc>
        <w:tc>
          <w:tcPr>
            <w:tcW w:w="792" w:type="dxa"/>
            <w:vAlign w:val="bottom"/>
          </w:tcPr>
          <w:p w14:paraId="717375BC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Husain et al., 2012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instrText xml:space="preserve"> ADDIN EN.CITE &lt;EndNote&gt;&lt;Cite&gt;&lt;Author&gt;Husain&lt;/Author&gt;&lt;Year&gt;2012&lt;/Year&gt;&lt;RecNum&gt;9&lt;/RecNum&gt;&lt;DisplayText&gt;[10]&lt;/DisplayText&gt;&lt;record&gt;&lt;rec-number&gt;9&lt;/rec-number&gt;&lt;foreign-keys&gt;&lt;key app="EN" db-id="5adsrsw0aawtetex2fj5wda15wvrxwxdpvfp" timestamp="1689450090"&gt;9&lt;/key&gt;&lt;/foreign-keys&gt;&lt;ref-type name="Journal Article"&gt;17&lt;/ref-type&gt;&lt;contributors&gt;&lt;authors&gt;&lt;author&gt;Husain, Rahat&lt;/author&gt;&lt;author&gt;Gazzard, Gus&lt;/author&gt;&lt;author&gt;Aung, Tin&lt;/author&gt;&lt;author&gt;Chen, Yuming&lt;/author&gt;&lt;author&gt;Padmanabhan, Vishwanath&lt;/author&gt;&lt;author&gt;Oen, Francis TS&lt;/author&gt;&lt;author&gt;Seah, Steve KL&lt;/author&gt;&lt;author&gt;Hoh, Sek-Tien&lt;/author&gt;&lt;/authors&gt;&lt;/contributors&gt;&lt;titles&gt;&lt;title&gt;Initial management of acute primary angle closure: a randomized trial comparing phacoemulsification with laser peripheral iridotomy&lt;/title&gt;&lt;secondary-title&gt;Ophthalmology&lt;/secondary-title&gt;&lt;/titles&gt;&lt;periodical&gt;&lt;full-title&gt;Ophthalmology&lt;/full-title&gt;&lt;/periodical&gt;&lt;pages&gt;2274-2281&lt;/pages&gt;&lt;volume&gt;119&lt;/volume&gt;&lt;number&gt;11&lt;/number&gt;&lt;dates&gt;&lt;year&gt;2012&lt;/year&gt;&lt;/dates&gt;&lt;isbn&gt;0161-6420&lt;/isbn&gt;&lt;urls&gt;&lt;/urls&gt;&lt;/record&gt;&lt;/Cite&gt;&lt;/EndNote&gt;</w:instrTex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color w:val="000000"/>
                <w:sz w:val="17"/>
                <w:szCs w:val="17"/>
              </w:rPr>
              <w:t>[18]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948" w:type="dxa"/>
            <w:vAlign w:val="bottom"/>
          </w:tcPr>
          <w:p w14:paraId="7578A807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Singapore </w:t>
            </w:r>
          </w:p>
        </w:tc>
        <w:tc>
          <w:tcPr>
            <w:tcW w:w="743" w:type="dxa"/>
            <w:vAlign w:val="bottom"/>
          </w:tcPr>
          <w:p w14:paraId="30D302C4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RCT</w:t>
            </w:r>
          </w:p>
        </w:tc>
        <w:tc>
          <w:tcPr>
            <w:tcW w:w="990" w:type="dxa"/>
            <w:vAlign w:val="bottom"/>
          </w:tcPr>
          <w:p w14:paraId="2A1DD42C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NCT00350428</w:t>
            </w:r>
          </w:p>
        </w:tc>
        <w:tc>
          <w:tcPr>
            <w:tcW w:w="1145" w:type="dxa"/>
            <w:vAlign w:val="bottom"/>
          </w:tcPr>
          <w:p w14:paraId="556173F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1604" w:type="dxa"/>
            <w:vAlign w:val="bottom"/>
          </w:tcPr>
          <w:p w14:paraId="16AA148F" w14:textId="77777777" w:rsidR="00031223" w:rsidRPr="00570465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Phacoemulsification with IOL Implantation</w:t>
            </w:r>
          </w:p>
        </w:tc>
        <w:tc>
          <w:tcPr>
            <w:tcW w:w="915" w:type="dxa"/>
            <w:vAlign w:val="bottom"/>
          </w:tcPr>
          <w:p w14:paraId="15E37F47" w14:textId="77777777" w:rsidR="00031223" w:rsidRPr="00570465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Laser Peripheral Iridotomy</w:t>
            </w:r>
          </w:p>
        </w:tc>
        <w:tc>
          <w:tcPr>
            <w:tcW w:w="1047" w:type="dxa"/>
            <w:vAlign w:val="bottom"/>
          </w:tcPr>
          <w:p w14:paraId="53968BA7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19</w:t>
            </w:r>
          </w:p>
        </w:tc>
        <w:tc>
          <w:tcPr>
            <w:tcW w:w="774" w:type="dxa"/>
            <w:vAlign w:val="bottom"/>
          </w:tcPr>
          <w:p w14:paraId="51785CBC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18</w:t>
            </w:r>
          </w:p>
        </w:tc>
        <w:tc>
          <w:tcPr>
            <w:tcW w:w="1047" w:type="dxa"/>
            <w:vAlign w:val="bottom"/>
          </w:tcPr>
          <w:p w14:paraId="118A74B0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65.9 (42–82)*</w:t>
            </w:r>
          </w:p>
        </w:tc>
        <w:tc>
          <w:tcPr>
            <w:tcW w:w="963" w:type="dxa"/>
            <w:vAlign w:val="bottom"/>
          </w:tcPr>
          <w:p w14:paraId="07AB35FE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66.1 (48–85) *</w:t>
            </w:r>
          </w:p>
        </w:tc>
        <w:tc>
          <w:tcPr>
            <w:tcW w:w="1047" w:type="dxa"/>
            <w:vAlign w:val="bottom"/>
          </w:tcPr>
          <w:p w14:paraId="4E4311A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16</w:t>
            </w:r>
          </w:p>
        </w:tc>
        <w:tc>
          <w:tcPr>
            <w:tcW w:w="774" w:type="dxa"/>
            <w:vAlign w:val="bottom"/>
          </w:tcPr>
          <w:p w14:paraId="7E08752D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13</w:t>
            </w:r>
          </w:p>
        </w:tc>
        <w:tc>
          <w:tcPr>
            <w:tcW w:w="1047" w:type="dxa"/>
            <w:vAlign w:val="bottom"/>
          </w:tcPr>
          <w:p w14:paraId="25842CD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3</w:t>
            </w:r>
          </w:p>
        </w:tc>
        <w:tc>
          <w:tcPr>
            <w:tcW w:w="774" w:type="dxa"/>
            <w:vAlign w:val="bottom"/>
          </w:tcPr>
          <w:p w14:paraId="5AB8364D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5</w:t>
            </w:r>
          </w:p>
        </w:tc>
        <w:tc>
          <w:tcPr>
            <w:tcW w:w="923" w:type="dxa"/>
            <w:vAlign w:val="bottom"/>
          </w:tcPr>
          <w:p w14:paraId="680802C9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57.4±  16.9 </w:t>
            </w:r>
          </w:p>
        </w:tc>
        <w:tc>
          <w:tcPr>
            <w:tcW w:w="1004" w:type="dxa"/>
            <w:vAlign w:val="bottom"/>
          </w:tcPr>
          <w:p w14:paraId="165FB88E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55.8± 13.2 </w:t>
            </w:r>
          </w:p>
        </w:tc>
        <w:tc>
          <w:tcPr>
            <w:tcW w:w="1047" w:type="dxa"/>
            <w:vAlign w:val="bottom"/>
          </w:tcPr>
          <w:p w14:paraId="7137E9C3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1009" w:type="dxa"/>
            <w:vAlign w:val="bottom"/>
          </w:tcPr>
          <w:p w14:paraId="090FD74D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1047" w:type="dxa"/>
            <w:vAlign w:val="bottom"/>
          </w:tcPr>
          <w:p w14:paraId="3FC3696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1113" w:type="dxa"/>
            <w:vAlign w:val="bottom"/>
          </w:tcPr>
          <w:p w14:paraId="46AEA839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1113" w:type="dxa"/>
            <w:vAlign w:val="bottom"/>
          </w:tcPr>
          <w:p w14:paraId="35786175" w14:textId="77777777" w:rsidR="00031223" w:rsidRPr="008A3528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8A3528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</w:tr>
      <w:tr w:rsidR="00031223" w:rsidRPr="00570465" w14:paraId="7A8E4C8B" w14:textId="77777777" w:rsidTr="00E918D5">
        <w:tc>
          <w:tcPr>
            <w:tcW w:w="302" w:type="dxa"/>
          </w:tcPr>
          <w:p w14:paraId="3143EAFB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sz w:val="17"/>
                <w:szCs w:val="17"/>
              </w:rPr>
              <w:t>5</w:t>
            </w:r>
          </w:p>
        </w:tc>
        <w:tc>
          <w:tcPr>
            <w:tcW w:w="792" w:type="dxa"/>
            <w:vAlign w:val="bottom"/>
          </w:tcPr>
          <w:p w14:paraId="159A5C54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Mitchell et al., 2022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begin"/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instrText xml:space="preserve"> ADDIN EN.CITE &lt;EndNote&gt;&lt;Cite&gt;&lt;Author&gt;Mitchell&lt;/Author&gt;&lt;Year&gt;2022&lt;/Year&gt;&lt;RecNum&gt;10&lt;/RecNum&gt;&lt;DisplayText&gt;[11]&lt;/DisplayText&gt;&lt;record&gt;&lt;rec-number&gt;10&lt;/rec-number&gt;&lt;foreign-keys&gt;&lt;key app="EN" db-id="5adsrsw0aawtetex2fj5wda15wvrxwxdpvfp" timestamp="1689450104"&gt;10&lt;/key&gt;&lt;/foreign-keys&gt;&lt;ref-type name="Journal Article"&gt;17&lt;/ref-type&gt;&lt;contributors&gt;&lt;authors&gt;&lt;author&gt;Mitchell, William G&lt;/author&gt;&lt;author&gt;Azuara-Blanco, Augusto&lt;/author&gt;&lt;author&gt;Foster, Paul J&lt;/author&gt;&lt;author&gt;Halawa, Omar&lt;/author&gt;&lt;author&gt;Burr, Jennifer&lt;/author&gt;&lt;author&gt;Ramsay, Craig R&lt;/author&gt;&lt;author&gt;Cooper, David&lt;/author&gt;&lt;author&gt;Cochran, Claire&lt;/author&gt;&lt;author&gt;Norrie, John&lt;/author&gt;&lt;author&gt;Friedman, David&lt;/author&gt;&lt;/authors&gt;&lt;/contributors&gt;&lt;titles&gt;&lt;title&gt;Predictors of long-term intraocular pressure control after lens extraction in primary angle closure glaucoma: results from the EAGLE trial&lt;/title&gt;&lt;secondary-title&gt;British Journal of Ophthalmology&lt;/secondary-title&gt;&lt;/titles&gt;&lt;periodical&gt;&lt;full-title&gt;British Journal of Ophthalmology&lt;/full-title&gt;&lt;/periodical&gt;&lt;dates&gt;&lt;year&gt;2022&lt;/year&gt;&lt;/dates&gt;&lt;isbn&gt;0007-1161&lt;/isbn&gt;&lt;urls&gt;&lt;/urls&gt;&lt;/record&gt;&lt;/Cite&gt;&lt;/EndNote&gt;</w:instrTex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color w:val="000000"/>
                <w:sz w:val="17"/>
                <w:szCs w:val="17"/>
              </w:rPr>
              <w:t>[19]</w:t>
            </w: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948" w:type="dxa"/>
            <w:vAlign w:val="bottom"/>
          </w:tcPr>
          <w:p w14:paraId="5DD4BE62" w14:textId="77777777" w:rsidR="00031223" w:rsidRPr="00570465" w:rsidRDefault="00031223" w:rsidP="00E918D5">
            <w:pPr>
              <w:ind w:right="-131"/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UK, China, Singapore, Malaysia, Australia</w:t>
            </w:r>
          </w:p>
        </w:tc>
        <w:tc>
          <w:tcPr>
            <w:tcW w:w="743" w:type="dxa"/>
            <w:vAlign w:val="bottom"/>
          </w:tcPr>
          <w:p w14:paraId="45989476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RCT</w:t>
            </w:r>
          </w:p>
        </w:tc>
        <w:tc>
          <w:tcPr>
            <w:tcW w:w="990" w:type="dxa"/>
            <w:vAlign w:val="bottom"/>
          </w:tcPr>
          <w:p w14:paraId="09844B10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ISRCTN44464607</w:t>
            </w:r>
          </w:p>
        </w:tc>
        <w:tc>
          <w:tcPr>
            <w:tcW w:w="1145" w:type="dxa"/>
            <w:vAlign w:val="bottom"/>
          </w:tcPr>
          <w:p w14:paraId="33405046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Jan 8, 2009, to Dec 28, 2011</w:t>
            </w:r>
          </w:p>
        </w:tc>
        <w:tc>
          <w:tcPr>
            <w:tcW w:w="1604" w:type="dxa"/>
            <w:vAlign w:val="bottom"/>
          </w:tcPr>
          <w:p w14:paraId="45544E64" w14:textId="77777777" w:rsidR="00031223" w:rsidRPr="00570465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Clear-lens extraction</w:t>
            </w:r>
          </w:p>
        </w:tc>
        <w:tc>
          <w:tcPr>
            <w:tcW w:w="915" w:type="dxa"/>
            <w:vAlign w:val="bottom"/>
          </w:tcPr>
          <w:p w14:paraId="4E503EAD" w14:textId="77777777" w:rsidR="00031223" w:rsidRPr="00570465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Laser peripheral iridotomy</w:t>
            </w:r>
          </w:p>
        </w:tc>
        <w:tc>
          <w:tcPr>
            <w:tcW w:w="1047" w:type="dxa"/>
            <w:vAlign w:val="bottom"/>
          </w:tcPr>
          <w:p w14:paraId="77813F59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182</w:t>
            </w:r>
          </w:p>
        </w:tc>
        <w:tc>
          <w:tcPr>
            <w:tcW w:w="774" w:type="dxa"/>
            <w:vAlign w:val="bottom"/>
          </w:tcPr>
          <w:p w14:paraId="346824A1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187</w:t>
            </w:r>
          </w:p>
        </w:tc>
        <w:tc>
          <w:tcPr>
            <w:tcW w:w="1047" w:type="dxa"/>
            <w:vAlign w:val="bottom"/>
          </w:tcPr>
          <w:p w14:paraId="1A521287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963" w:type="dxa"/>
            <w:vAlign w:val="bottom"/>
          </w:tcPr>
          <w:p w14:paraId="599D76F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1047" w:type="dxa"/>
            <w:vAlign w:val="bottom"/>
          </w:tcPr>
          <w:p w14:paraId="08E8FAB5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774" w:type="dxa"/>
            <w:vAlign w:val="bottom"/>
          </w:tcPr>
          <w:p w14:paraId="6CE6AE98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1047" w:type="dxa"/>
            <w:vAlign w:val="bottom"/>
          </w:tcPr>
          <w:p w14:paraId="68C4E9F0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774" w:type="dxa"/>
            <w:vAlign w:val="bottom"/>
          </w:tcPr>
          <w:p w14:paraId="654F8B9B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NR</w:t>
            </w:r>
          </w:p>
        </w:tc>
        <w:tc>
          <w:tcPr>
            <w:tcW w:w="923" w:type="dxa"/>
            <w:vAlign w:val="bottom"/>
          </w:tcPr>
          <w:p w14:paraId="37AB96F8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30·0 (24·0 to 33·0) *</w:t>
            </w:r>
          </w:p>
        </w:tc>
        <w:tc>
          <w:tcPr>
            <w:tcW w:w="1004" w:type="dxa"/>
            <w:vAlign w:val="bottom"/>
          </w:tcPr>
          <w:p w14:paraId="4CCB83E1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30·0 (26·0 to 33·0) *</w:t>
            </w:r>
          </w:p>
        </w:tc>
        <w:tc>
          <w:tcPr>
            <w:tcW w:w="1047" w:type="dxa"/>
            <w:vAlign w:val="bottom"/>
          </w:tcPr>
          <w:p w14:paraId="368F3C22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22·5 (22·0 to 23·1) *</w:t>
            </w:r>
          </w:p>
        </w:tc>
        <w:tc>
          <w:tcPr>
            <w:tcW w:w="1009" w:type="dxa"/>
            <w:vAlign w:val="bottom"/>
          </w:tcPr>
          <w:p w14:paraId="3002C5AF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22·7 (22·1 to 23·2) *</w:t>
            </w:r>
          </w:p>
        </w:tc>
        <w:tc>
          <w:tcPr>
            <w:tcW w:w="1047" w:type="dxa"/>
            <w:vAlign w:val="bottom"/>
          </w:tcPr>
          <w:p w14:paraId="7566A289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2·5 (2·3 to 2·7) *</w:t>
            </w:r>
          </w:p>
        </w:tc>
        <w:tc>
          <w:tcPr>
            <w:tcW w:w="1113" w:type="dxa"/>
            <w:vAlign w:val="bottom"/>
          </w:tcPr>
          <w:p w14:paraId="7D766B69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>2·5 (2·3 to 2·7) *</w:t>
            </w:r>
          </w:p>
        </w:tc>
        <w:tc>
          <w:tcPr>
            <w:tcW w:w="1113" w:type="dxa"/>
            <w:vAlign w:val="bottom"/>
          </w:tcPr>
          <w:p w14:paraId="43038EE9" w14:textId="77777777" w:rsidR="00031223" w:rsidRPr="008A3528" w:rsidRDefault="00031223" w:rsidP="00E918D5">
            <w:pPr>
              <w:rPr>
                <w:rFonts w:asciiTheme="majorBidi" w:hAnsiTheme="majorBidi" w:cstheme="majorBidi"/>
                <w:color w:val="000000"/>
                <w:sz w:val="17"/>
                <w:szCs w:val="17"/>
              </w:rPr>
            </w:pPr>
            <w:r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36 months </w:t>
            </w:r>
          </w:p>
        </w:tc>
      </w:tr>
      <w:tr w:rsidR="00031223" w:rsidRPr="00570465" w14:paraId="70679A4E" w14:textId="77777777" w:rsidTr="00E918D5">
        <w:tc>
          <w:tcPr>
            <w:tcW w:w="21055" w:type="dxa"/>
            <w:gridSpan w:val="22"/>
          </w:tcPr>
          <w:p w14:paraId="401B70C6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570465">
              <w:rPr>
                <w:rFonts w:asciiTheme="majorBidi" w:hAnsiTheme="majorBidi" w:cstheme="majorBidi"/>
                <w:sz w:val="17"/>
                <w:szCs w:val="17"/>
              </w:rPr>
              <w:t>Abbreviations; RCT=Randomized Controlled Trial, IOL=</w:t>
            </w:r>
            <w:r w:rsidRPr="00570465">
              <w:rPr>
                <w:rFonts w:asciiTheme="majorBidi" w:hAnsiTheme="majorBidi" w:cstheme="majorBidi"/>
                <w:color w:val="000000"/>
                <w:sz w:val="17"/>
                <w:szCs w:val="17"/>
              </w:rPr>
              <w:t xml:space="preserve"> Intraocular Lens, * Data reported using median and range, NR=non-Reported </w:t>
            </w:r>
          </w:p>
        </w:tc>
        <w:tc>
          <w:tcPr>
            <w:tcW w:w="1113" w:type="dxa"/>
          </w:tcPr>
          <w:p w14:paraId="77C23491" w14:textId="77777777" w:rsidR="00031223" w:rsidRPr="00570465" w:rsidRDefault="00031223" w:rsidP="00E918D5">
            <w:pPr>
              <w:rPr>
                <w:rFonts w:asciiTheme="majorBidi" w:hAnsiTheme="majorBidi" w:cstheme="majorBidi"/>
                <w:sz w:val="17"/>
                <w:szCs w:val="17"/>
              </w:rPr>
            </w:pPr>
          </w:p>
        </w:tc>
      </w:tr>
    </w:tbl>
    <w:p w14:paraId="7F07BEFB" w14:textId="77777777" w:rsidR="00E725D6" w:rsidRDefault="00E725D6"/>
    <w:sectPr w:rsidR="00E725D6" w:rsidSect="0047793F">
      <w:footerReference w:type="even" r:id="rId6"/>
      <w:footerReference w:type="default" r:id="rId7"/>
      <w:footerReference w:type="first" r:id="rId8"/>
      <w:pgSz w:w="27360" w:h="1872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C19E" w14:textId="77777777" w:rsidR="0047793F" w:rsidRDefault="0047793F" w:rsidP="00AF61CC">
      <w:r>
        <w:separator/>
      </w:r>
    </w:p>
  </w:endnote>
  <w:endnote w:type="continuationSeparator" w:id="0">
    <w:p w14:paraId="2B7C7B59" w14:textId="77777777" w:rsidR="0047793F" w:rsidRDefault="0047793F" w:rsidP="00AF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E2C8" w14:textId="2FB8E688" w:rsidR="00AF61CC" w:rsidRDefault="00AF61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70BA42" wp14:editId="6646C6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5214360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8B95B" w14:textId="321B9234" w:rsidR="00AF61CC" w:rsidRPr="00AF61CC" w:rsidRDefault="00AF61CC" w:rsidP="00AF61C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61C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0BA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3E8B95B" w14:textId="321B9234" w:rsidR="00AF61CC" w:rsidRPr="00AF61CC" w:rsidRDefault="00AF61CC" w:rsidP="00AF61C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61C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CDCA" w14:textId="2F4C6B7C" w:rsidR="00AF61CC" w:rsidRDefault="00AF61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C43516" wp14:editId="076580A6">
              <wp:simplePos x="914400" y="1125923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8868573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96611" w14:textId="10DD82A1" w:rsidR="00AF61CC" w:rsidRPr="00AF61CC" w:rsidRDefault="00AF61CC" w:rsidP="00AF61C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61C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435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E496611" w14:textId="10DD82A1" w:rsidR="00AF61CC" w:rsidRPr="00AF61CC" w:rsidRDefault="00AF61CC" w:rsidP="00AF61C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61C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D66B" w14:textId="0CCAA443" w:rsidR="00AF61CC" w:rsidRDefault="00AF61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0C5EC7" wp14:editId="692562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7932717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B4FC4" w14:textId="399FBC2A" w:rsidR="00AF61CC" w:rsidRPr="00AF61CC" w:rsidRDefault="00AF61CC" w:rsidP="00AF61C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61C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C5E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52B4FC4" w14:textId="399FBC2A" w:rsidR="00AF61CC" w:rsidRPr="00AF61CC" w:rsidRDefault="00AF61CC" w:rsidP="00AF61C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61C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C694" w14:textId="77777777" w:rsidR="0047793F" w:rsidRDefault="0047793F" w:rsidP="00AF61CC">
      <w:r>
        <w:separator/>
      </w:r>
    </w:p>
  </w:footnote>
  <w:footnote w:type="continuationSeparator" w:id="0">
    <w:p w14:paraId="1A95A020" w14:textId="77777777" w:rsidR="0047793F" w:rsidRDefault="0047793F" w:rsidP="00AF6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23"/>
    <w:rsid w:val="00031223"/>
    <w:rsid w:val="000B5DBB"/>
    <w:rsid w:val="000D738F"/>
    <w:rsid w:val="0047793F"/>
    <w:rsid w:val="006811D5"/>
    <w:rsid w:val="00AF61CC"/>
    <w:rsid w:val="00E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8DEB"/>
  <w15:chartTrackingRefBased/>
  <w15:docId w15:val="{68F63620-C0B3-7943-9F3B-B9344FD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2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223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F6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1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Fahad A Aljahdali</dc:creator>
  <cp:keywords/>
  <dc:description/>
  <cp:lastModifiedBy>Lee, Boon</cp:lastModifiedBy>
  <cp:revision>3</cp:revision>
  <dcterms:created xsi:type="dcterms:W3CDTF">2024-03-21T18:41:00Z</dcterms:created>
  <dcterms:modified xsi:type="dcterms:W3CDTF">2024-03-21T18:41:00Z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464b1acb,38c08ef3,290c82aa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2024-03-21T18:41:06Z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ff1a39ff-49fb-4b37-bfd3-4ac7494c1816</vt:lpwstr>
  </property>
  <property fmtid="{D5CDD505-2E9C-101B-9397-08002B2CF9AE}" pid="11" name="MSIP_Label_2bbab825-a111-45e4-86a1-18cee0005896_ContentBits">
    <vt:lpwstr>2</vt:lpwstr>
  </property>
</Properties>
</file>