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6EAD8" w14:textId="5F0BFF03" w:rsidR="00F8121C" w:rsidRPr="004C1A00" w:rsidRDefault="00354514">
      <w:pPr>
        <w:pStyle w:val="PlainText"/>
        <w:spacing w:line="480" w:lineRule="auto"/>
        <w:rPr>
          <w:rFonts w:ascii="Arial" w:eastAsia="SimSun" w:hAnsi="Arial" w:cs="Arial"/>
          <w:b/>
          <w:bCs/>
          <w:color w:val="000000"/>
          <w:sz w:val="24"/>
        </w:rPr>
      </w:pPr>
      <w:bookmarkStart w:id="0" w:name="OLE_LINK1"/>
      <w:r w:rsidRPr="004C1A00">
        <w:rPr>
          <w:rFonts w:ascii="Arial" w:eastAsia="SimSun" w:hAnsi="Arial" w:cs="Arial"/>
          <w:b/>
          <w:bCs/>
          <w:color w:val="000000"/>
          <w:sz w:val="24"/>
        </w:rPr>
        <w:t>Supplemental data 1</w:t>
      </w:r>
    </w:p>
    <w:p w14:paraId="634C0602" w14:textId="77777777" w:rsidR="00F8121C" w:rsidRPr="004C1A00" w:rsidRDefault="00F8121C">
      <w:pPr>
        <w:pStyle w:val="PlainText"/>
        <w:spacing w:line="480" w:lineRule="auto"/>
        <w:rPr>
          <w:rFonts w:ascii="Arial" w:hAnsi="Arial" w:cs="Arial"/>
          <w:color w:val="000000"/>
          <w:position w:val="6"/>
          <w:sz w:val="24"/>
        </w:rPr>
      </w:pPr>
    </w:p>
    <w:p w14:paraId="768F54A3" w14:textId="77777777" w:rsidR="00F8121C" w:rsidRPr="004C1A00" w:rsidRDefault="004C1A00">
      <w:pPr>
        <w:spacing w:line="480" w:lineRule="auto"/>
        <w:rPr>
          <w:rFonts w:ascii="Arial" w:eastAsia="SimSun" w:hAnsi="Arial" w:cs="Arial"/>
          <w:b/>
          <w:bCs/>
          <w:color w:val="000000"/>
          <w:sz w:val="24"/>
        </w:rPr>
      </w:pPr>
      <w:bookmarkStart w:id="1" w:name="OLE_LINK39"/>
      <w:bookmarkStart w:id="2" w:name="OLE_LINK53"/>
      <w:r w:rsidRPr="004C1A00">
        <w:rPr>
          <w:rFonts w:ascii="Arial" w:eastAsia="SimSun" w:hAnsi="Arial" w:cs="Arial"/>
          <w:b/>
          <w:bCs/>
          <w:color w:val="000000"/>
          <w:sz w:val="24"/>
        </w:rPr>
        <w:t>The safety and efficacy of remimazolam</w:t>
      </w:r>
      <w:r w:rsidRPr="004C1A00">
        <w:rPr>
          <w:rFonts w:ascii="Arial" w:eastAsia="SimSun" w:hAnsi="Arial" w:cs="Arial"/>
          <w:b/>
          <w:bCs/>
          <w:color w:val="000000"/>
          <w:sz w:val="24"/>
        </w:rPr>
        <w:t xml:space="preserve"> compared to dexmedetomidine for awake tracheal intubation by flexible bronchoscopy: A randomized, double-blind, controlled trial</w:t>
      </w:r>
      <w:bookmarkEnd w:id="1"/>
    </w:p>
    <w:p w14:paraId="73AEF037" w14:textId="77777777" w:rsidR="00F8121C" w:rsidRPr="004C1A00" w:rsidRDefault="00F8121C">
      <w:pPr>
        <w:spacing w:line="480" w:lineRule="auto"/>
        <w:rPr>
          <w:rFonts w:ascii="Arial" w:eastAsia="SimSun" w:hAnsi="Arial" w:cs="Arial"/>
          <w:b/>
          <w:bCs/>
          <w:color w:val="000000"/>
          <w:sz w:val="20"/>
          <w:szCs w:val="20"/>
        </w:rPr>
      </w:pPr>
    </w:p>
    <w:bookmarkEnd w:id="2"/>
    <w:p w14:paraId="194269B1" w14:textId="77777777" w:rsidR="00F8121C" w:rsidRPr="004C1A00" w:rsidRDefault="004C1A00">
      <w:pPr>
        <w:spacing w:line="480" w:lineRule="auto"/>
        <w:rPr>
          <w:rFonts w:ascii="Arial" w:hAnsi="Arial" w:cs="Arial"/>
          <w:b/>
          <w:bCs/>
          <w:color w:val="000000"/>
          <w:sz w:val="20"/>
          <w:szCs w:val="20"/>
        </w:rPr>
      </w:pPr>
      <w:r w:rsidRPr="004C1A00">
        <w:rPr>
          <w:rFonts w:ascii="Arial" w:hAnsi="Arial" w:cs="Arial"/>
          <w:color w:val="000000"/>
          <w:sz w:val="20"/>
          <w:szCs w:val="20"/>
        </w:rPr>
        <w:t>Qiumiao Chen</w:t>
      </w:r>
      <w:r w:rsidRPr="004C1A00">
        <w:rPr>
          <w:rFonts w:ascii="Arial" w:hAnsi="Arial" w:cs="Arial"/>
          <w:color w:val="000000"/>
          <w:sz w:val="20"/>
          <w:szCs w:val="20"/>
          <w:vertAlign w:val="superscript"/>
        </w:rPr>
        <w:t>1</w:t>
      </w:r>
      <w:r w:rsidRPr="004C1A00">
        <w:rPr>
          <w:rFonts w:ascii="Arial" w:hAnsi="Arial" w:cs="Arial"/>
          <w:color w:val="000000"/>
          <w:sz w:val="20"/>
          <w:szCs w:val="20"/>
        </w:rPr>
        <w:t>,</w:t>
      </w:r>
      <w:r w:rsidRPr="004C1A00">
        <w:rPr>
          <w:rFonts w:ascii="Arial" w:eastAsia="MyriadPro-Semibold" w:hAnsi="Arial" w:cs="Arial"/>
          <w:b/>
          <w:bCs/>
          <w:color w:val="000000"/>
          <w:kern w:val="0"/>
          <w:sz w:val="20"/>
          <w:szCs w:val="20"/>
          <w:lang w:bidi="ar"/>
        </w:rPr>
        <w:t xml:space="preserve"> </w:t>
      </w:r>
      <w:r w:rsidRPr="004C1A00">
        <w:rPr>
          <w:rFonts w:ascii="Arial" w:eastAsia="SimSun" w:hAnsi="Arial" w:cs="Arial"/>
          <w:color w:val="000000"/>
          <w:sz w:val="20"/>
          <w:szCs w:val="20"/>
        </w:rPr>
        <w:t>Bin Qin</w:t>
      </w:r>
      <w:r w:rsidRPr="004C1A00">
        <w:rPr>
          <w:rFonts w:ascii="Arial" w:eastAsia="SimSun" w:hAnsi="Arial" w:cs="Arial"/>
          <w:color w:val="000000"/>
          <w:sz w:val="20"/>
          <w:szCs w:val="20"/>
          <w:vertAlign w:val="superscript"/>
        </w:rPr>
        <w:t>2</w:t>
      </w:r>
      <w:r w:rsidRPr="004C1A00">
        <w:rPr>
          <w:rFonts w:ascii="Arial" w:eastAsia="SimSun" w:hAnsi="Arial" w:cs="Arial"/>
          <w:color w:val="000000"/>
          <w:sz w:val="20"/>
          <w:szCs w:val="20"/>
        </w:rPr>
        <w:t>,</w:t>
      </w:r>
      <w:r w:rsidRPr="004C1A00">
        <w:rPr>
          <w:rFonts w:ascii="Arial" w:eastAsia="MyriadPro-Semibold" w:hAnsi="Arial" w:cs="Arial"/>
          <w:b/>
          <w:bCs/>
          <w:color w:val="000000"/>
          <w:kern w:val="0"/>
          <w:sz w:val="20"/>
          <w:szCs w:val="20"/>
          <w:lang w:bidi="ar"/>
        </w:rPr>
        <w:t xml:space="preserve"> </w:t>
      </w:r>
      <w:r w:rsidRPr="004C1A00">
        <w:rPr>
          <w:rFonts w:ascii="Arial" w:hAnsi="Arial" w:cs="Arial"/>
          <w:color w:val="000000"/>
          <w:sz w:val="20"/>
          <w:szCs w:val="20"/>
        </w:rPr>
        <w:t>Manqing Zhang</w:t>
      </w:r>
      <w:r w:rsidRPr="004C1A00">
        <w:rPr>
          <w:rFonts w:ascii="Arial" w:hAnsi="Arial" w:cs="Arial"/>
          <w:color w:val="000000"/>
          <w:sz w:val="20"/>
          <w:szCs w:val="20"/>
          <w:vertAlign w:val="superscript"/>
        </w:rPr>
        <w:t>2</w:t>
      </w:r>
      <w:r w:rsidRPr="004C1A00">
        <w:rPr>
          <w:rFonts w:ascii="Arial" w:hAnsi="Arial" w:cs="Arial"/>
          <w:color w:val="000000"/>
          <w:sz w:val="20"/>
          <w:szCs w:val="20"/>
        </w:rPr>
        <w:t>, Yumei Zhou</w:t>
      </w:r>
      <w:r w:rsidRPr="004C1A00">
        <w:rPr>
          <w:rFonts w:ascii="Arial" w:hAnsi="Arial" w:cs="Arial"/>
          <w:color w:val="000000"/>
          <w:sz w:val="20"/>
          <w:szCs w:val="20"/>
          <w:vertAlign w:val="superscript"/>
        </w:rPr>
        <w:t>2</w:t>
      </w:r>
      <w:r w:rsidRPr="004C1A00">
        <w:rPr>
          <w:rFonts w:ascii="Arial" w:hAnsi="Arial" w:cs="Arial"/>
          <w:color w:val="000000"/>
          <w:sz w:val="20"/>
          <w:szCs w:val="20"/>
        </w:rPr>
        <w:t>,</w:t>
      </w:r>
      <w:r w:rsidRPr="004C1A00">
        <w:rPr>
          <w:rFonts w:ascii="Arial" w:eastAsia="MyriadPro-Semibold" w:hAnsi="Arial" w:cs="Arial"/>
          <w:b/>
          <w:bCs/>
          <w:color w:val="000000"/>
          <w:kern w:val="0"/>
          <w:sz w:val="20"/>
          <w:szCs w:val="20"/>
          <w:lang w:bidi="ar"/>
        </w:rPr>
        <w:t xml:space="preserve"> </w:t>
      </w:r>
      <w:r w:rsidRPr="004C1A00">
        <w:rPr>
          <w:rFonts w:ascii="Arial" w:hAnsi="Arial" w:cs="Arial"/>
          <w:color w:val="000000"/>
          <w:sz w:val="20"/>
          <w:szCs w:val="20"/>
        </w:rPr>
        <w:t>Xiaotong Shi</w:t>
      </w:r>
      <w:r w:rsidRPr="004C1A00">
        <w:rPr>
          <w:rFonts w:ascii="Arial" w:hAnsi="Arial" w:cs="Arial"/>
          <w:color w:val="000000"/>
          <w:sz w:val="20"/>
          <w:szCs w:val="20"/>
          <w:vertAlign w:val="superscript"/>
        </w:rPr>
        <w:t>2</w:t>
      </w:r>
      <w:r w:rsidRPr="004C1A00">
        <w:rPr>
          <w:rFonts w:ascii="Arial" w:hAnsi="Arial" w:cs="Arial"/>
          <w:color w:val="000000"/>
          <w:sz w:val="20"/>
          <w:szCs w:val="20"/>
        </w:rPr>
        <w:t>, Yubo Xie</w:t>
      </w:r>
      <w:r w:rsidRPr="004C1A00">
        <w:rPr>
          <w:rFonts w:ascii="Arial" w:hAnsi="Arial" w:cs="Arial"/>
          <w:color w:val="000000"/>
          <w:sz w:val="20"/>
          <w:szCs w:val="20"/>
          <w:vertAlign w:val="superscript"/>
        </w:rPr>
        <w:t>1,3</w:t>
      </w:r>
    </w:p>
    <w:p w14:paraId="23DD5A95" w14:textId="77777777" w:rsidR="00F8121C" w:rsidRPr="004C1A00" w:rsidRDefault="00F8121C">
      <w:pPr>
        <w:spacing w:line="480" w:lineRule="auto"/>
        <w:rPr>
          <w:rFonts w:ascii="Arial" w:eastAsia="SimSun" w:hAnsi="Arial" w:cs="Arial"/>
          <w:b/>
          <w:bCs/>
          <w:color w:val="000000"/>
          <w:sz w:val="20"/>
          <w:szCs w:val="20"/>
        </w:rPr>
      </w:pPr>
    </w:p>
    <w:p w14:paraId="7DE8D134" w14:textId="77777777" w:rsidR="00F8121C" w:rsidRPr="004C1A00" w:rsidRDefault="004C1A00">
      <w:pPr>
        <w:spacing w:line="480" w:lineRule="auto"/>
        <w:rPr>
          <w:rFonts w:ascii="Arial" w:eastAsia="SimSun" w:hAnsi="Arial" w:cs="Arial"/>
          <w:color w:val="000000"/>
          <w:sz w:val="20"/>
          <w:szCs w:val="20"/>
        </w:rPr>
      </w:pPr>
      <w:r w:rsidRPr="004C1A00">
        <w:rPr>
          <w:rFonts w:ascii="Arial" w:hAnsi="Arial" w:cs="Arial"/>
          <w:color w:val="000000"/>
          <w:sz w:val="20"/>
          <w:szCs w:val="20"/>
          <w:vertAlign w:val="superscript"/>
        </w:rPr>
        <w:t>1</w:t>
      </w:r>
      <w:r w:rsidRPr="004C1A00">
        <w:rPr>
          <w:rFonts w:ascii="Arial" w:eastAsia="SimSun" w:hAnsi="Arial" w:cs="Arial"/>
          <w:color w:val="000000"/>
          <w:sz w:val="20"/>
          <w:szCs w:val="20"/>
        </w:rPr>
        <w:t xml:space="preserve">Department of Anesthesiology, The First Affiliated Hospital of Guangxi Medical University, Nanning, People’s Republic of China; </w:t>
      </w:r>
      <w:r w:rsidRPr="004C1A00">
        <w:rPr>
          <w:rFonts w:ascii="Arial" w:eastAsia="SimSun" w:hAnsi="Arial" w:cs="Arial"/>
          <w:color w:val="000000"/>
          <w:sz w:val="20"/>
          <w:szCs w:val="20"/>
          <w:vertAlign w:val="superscript"/>
        </w:rPr>
        <w:t>2</w:t>
      </w:r>
      <w:r w:rsidRPr="004C1A00">
        <w:rPr>
          <w:rFonts w:ascii="Arial" w:eastAsia="SimSun" w:hAnsi="Arial" w:cs="Arial"/>
          <w:color w:val="000000"/>
          <w:sz w:val="20"/>
          <w:szCs w:val="20"/>
        </w:rPr>
        <w:t xml:space="preserve">Department of Anesthesiology, College of Stomatology, Hospital of Stomatology, Guangxi Medical University, Nanning, People’s Republic of China; </w:t>
      </w:r>
      <w:r w:rsidRPr="004C1A00">
        <w:rPr>
          <w:rFonts w:ascii="Arial" w:hAnsi="Arial" w:cs="Arial"/>
          <w:color w:val="000000"/>
          <w:sz w:val="20"/>
          <w:szCs w:val="20"/>
          <w:vertAlign w:val="superscript"/>
        </w:rPr>
        <w:t>3</w:t>
      </w:r>
      <w:r w:rsidRPr="004C1A00">
        <w:rPr>
          <w:rFonts w:ascii="Arial" w:eastAsia="SimSun" w:hAnsi="Arial" w:cs="Arial"/>
          <w:color w:val="000000"/>
          <w:sz w:val="20"/>
          <w:szCs w:val="20"/>
        </w:rPr>
        <w:t>Guangxi Key Laboratory of Enhanced Recovery after Surgery for Gastrointestinal Cancer, The First Affiliated Hospital of Guangxi Medical University, Nanning, People’s Republic of China</w:t>
      </w:r>
    </w:p>
    <w:p w14:paraId="67AEB83E" w14:textId="77777777" w:rsidR="00F8121C" w:rsidRPr="004C1A00" w:rsidRDefault="00F8121C">
      <w:pPr>
        <w:spacing w:line="480" w:lineRule="auto"/>
        <w:rPr>
          <w:rFonts w:ascii="Arial" w:eastAsia="SimSun" w:hAnsi="Arial" w:cs="Arial"/>
          <w:color w:val="000000"/>
          <w:sz w:val="20"/>
          <w:szCs w:val="20"/>
        </w:rPr>
      </w:pPr>
    </w:p>
    <w:p w14:paraId="34DF0235" w14:textId="77777777" w:rsidR="00F8121C" w:rsidRPr="004C1A00" w:rsidRDefault="004C1A00">
      <w:pPr>
        <w:spacing w:line="480" w:lineRule="auto"/>
        <w:rPr>
          <w:rFonts w:ascii="Arial" w:eastAsia="SimSun" w:hAnsi="Arial" w:cs="Arial"/>
          <w:color w:val="000000"/>
          <w:sz w:val="20"/>
          <w:szCs w:val="20"/>
        </w:rPr>
      </w:pPr>
      <w:r w:rsidRPr="004C1A00">
        <w:rPr>
          <w:rFonts w:ascii="Arial" w:eastAsia="SimSun" w:hAnsi="Arial" w:cs="Arial"/>
          <w:color w:val="000000"/>
          <w:sz w:val="20"/>
          <w:szCs w:val="20"/>
        </w:rPr>
        <w:t xml:space="preserve">Correspondence: Yubo Xie; </w:t>
      </w:r>
      <w:r w:rsidRPr="004C1A00">
        <w:rPr>
          <w:rFonts w:ascii="Arial" w:hAnsi="Arial" w:cs="Arial"/>
          <w:color w:val="000000"/>
          <w:sz w:val="20"/>
          <w:szCs w:val="20"/>
        </w:rPr>
        <w:t>Xiaotong Shi,</w:t>
      </w:r>
      <w:r w:rsidRPr="004C1A00">
        <w:rPr>
          <w:rFonts w:ascii="Arial" w:eastAsia="SimSun" w:hAnsi="Arial" w:cs="Arial"/>
          <w:color w:val="000000"/>
          <w:sz w:val="20"/>
          <w:szCs w:val="20"/>
        </w:rPr>
        <w:t xml:space="preserve"> Email</w:t>
      </w:r>
      <w:hyperlink r:id="rId6" w:history="1">
        <w:r w:rsidRPr="004C1A00">
          <w:rPr>
            <w:rFonts w:ascii="Arial" w:eastAsia="SimSun" w:hAnsi="Arial" w:cs="Arial"/>
            <w:color w:val="000000"/>
            <w:sz w:val="20"/>
            <w:szCs w:val="20"/>
          </w:rPr>
          <w:t xml:space="preserve"> </w:t>
        </w:r>
        <w:hyperlink r:id="rId7" w:history="1">
          <w:r w:rsidRPr="004C1A00">
            <w:rPr>
              <w:rFonts w:ascii="Arial" w:eastAsia="SimSun" w:hAnsi="Arial" w:cs="Arial"/>
              <w:color w:val="000000"/>
              <w:sz w:val="20"/>
              <w:szCs w:val="20"/>
            </w:rPr>
            <w:t>xybdoctor@163.com</w:t>
          </w:r>
        </w:hyperlink>
      </w:hyperlink>
      <w:r w:rsidRPr="004C1A00">
        <w:rPr>
          <w:rFonts w:ascii="Arial" w:eastAsia="SimSun" w:hAnsi="Arial" w:cs="Arial"/>
          <w:color w:val="000000"/>
          <w:sz w:val="20"/>
          <w:szCs w:val="20"/>
        </w:rPr>
        <w:t>; Hbb38@163.com</w:t>
      </w:r>
    </w:p>
    <w:p w14:paraId="6A64835E" w14:textId="77777777" w:rsidR="00F8121C" w:rsidRPr="004C1A00" w:rsidRDefault="00F8121C">
      <w:pPr>
        <w:pStyle w:val="PlainText"/>
        <w:spacing w:line="480" w:lineRule="auto"/>
        <w:rPr>
          <w:rFonts w:ascii="Arial" w:hAnsi="Arial" w:cs="Arial"/>
          <w:color w:val="000000"/>
          <w:position w:val="6"/>
          <w:sz w:val="24"/>
        </w:rPr>
      </w:pPr>
    </w:p>
    <w:p w14:paraId="2D109E5E" w14:textId="77777777" w:rsidR="00F8121C" w:rsidRPr="004C1A00" w:rsidRDefault="004C1A00">
      <w:pPr>
        <w:spacing w:line="480" w:lineRule="auto"/>
        <w:rPr>
          <w:rFonts w:ascii="Arial" w:eastAsia="SimSun" w:hAnsi="Arial" w:cs="Arial"/>
          <w:b/>
          <w:bCs/>
          <w:color w:val="000000"/>
          <w:sz w:val="24"/>
        </w:rPr>
      </w:pPr>
      <w:r w:rsidRPr="004C1A00">
        <w:rPr>
          <w:rFonts w:ascii="Arial" w:eastAsia="SimSun" w:hAnsi="Arial" w:cs="Arial"/>
          <w:b/>
          <w:bCs/>
          <w:color w:val="000000"/>
          <w:sz w:val="24"/>
        </w:rPr>
        <w:t>The ED50 and ED95 doses of remimazolam</w:t>
      </w:r>
      <w:r w:rsidRPr="004C1A00">
        <w:rPr>
          <w:rFonts w:ascii="Arial" w:eastAsia="SimSun" w:hAnsi="Arial" w:cs="Arial"/>
          <w:b/>
          <w:bCs/>
          <w:color w:val="000000"/>
          <w:sz w:val="24"/>
        </w:rPr>
        <w:t xml:space="preserve"> for sedation undergoing ATI-FB</w:t>
      </w:r>
    </w:p>
    <w:p w14:paraId="7198413B" w14:textId="77777777" w:rsidR="00F8121C" w:rsidRPr="004C1A00" w:rsidRDefault="00F8121C">
      <w:pPr>
        <w:pStyle w:val="PlainText"/>
        <w:spacing w:line="480" w:lineRule="auto"/>
        <w:rPr>
          <w:rFonts w:ascii="Arial" w:hAnsi="Arial" w:cs="Arial"/>
          <w:color w:val="000000"/>
          <w:position w:val="6"/>
          <w:sz w:val="24"/>
        </w:rPr>
      </w:pPr>
    </w:p>
    <w:p w14:paraId="790B6067" w14:textId="77777777" w:rsidR="00F8121C" w:rsidRPr="004C1A00" w:rsidRDefault="004C1A00">
      <w:pPr>
        <w:pStyle w:val="PlainText"/>
        <w:spacing w:line="480" w:lineRule="auto"/>
        <w:rPr>
          <w:rFonts w:ascii="Arial" w:hAnsi="Arial" w:cs="Arial"/>
          <w:color w:val="000000"/>
          <w:position w:val="6"/>
          <w:sz w:val="24"/>
        </w:rPr>
      </w:pPr>
      <w:r w:rsidRPr="004C1A00">
        <w:rPr>
          <w:rFonts w:ascii="Arial" w:eastAsia="SimSun" w:hAnsi="Arial" w:cs="Arial"/>
          <w:b/>
          <w:bCs/>
          <w:color w:val="000000"/>
          <w:sz w:val="24"/>
        </w:rPr>
        <w:t>Methods</w:t>
      </w:r>
      <w:r w:rsidRPr="004C1A00">
        <w:rPr>
          <w:rFonts w:ascii="Arial" w:hAnsi="Arial" w:cs="Arial"/>
          <w:color w:val="000000"/>
          <w:position w:val="6"/>
          <w:sz w:val="24"/>
        </w:rPr>
        <w:t xml:space="preserve"> </w:t>
      </w:r>
    </w:p>
    <w:p w14:paraId="447E45E1" w14:textId="77777777" w:rsidR="00F8121C" w:rsidRPr="004C1A00" w:rsidRDefault="004C1A00">
      <w:pPr>
        <w:pStyle w:val="PlainText"/>
        <w:spacing w:line="480" w:lineRule="auto"/>
        <w:rPr>
          <w:rFonts w:ascii="Arial" w:eastAsia="SimSun" w:hAnsi="Arial" w:cs="Arial"/>
          <w:b/>
          <w:bCs/>
          <w:color w:val="000000"/>
          <w:sz w:val="24"/>
        </w:rPr>
      </w:pPr>
      <w:r w:rsidRPr="004C1A00">
        <w:rPr>
          <w:rFonts w:ascii="Arial" w:eastAsia="SimSun" w:hAnsi="Arial" w:cs="Arial"/>
          <w:color w:val="000000"/>
          <w:sz w:val="20"/>
          <w:szCs w:val="20"/>
        </w:rPr>
        <w:t xml:space="preserve">Dixon's modified up-and-down method was used to determine the ED50 and ED95 doses of remimazolam for sedation in patients undergoing awake tracheal intubation by flexible </w:t>
      </w:r>
      <w:r w:rsidRPr="004C1A00">
        <w:rPr>
          <w:rFonts w:ascii="Arial" w:eastAsia="SimSun" w:hAnsi="Arial" w:cs="Arial"/>
          <w:color w:val="000000"/>
          <w:sz w:val="20"/>
          <w:szCs w:val="20"/>
        </w:rPr>
        <w:lastRenderedPageBreak/>
        <w:t>bronchoscopy</w:t>
      </w:r>
      <w:r w:rsidRPr="004C1A00">
        <w:rPr>
          <w:rFonts w:ascii="Arial" w:eastAsia="SimSun" w:hAnsi="Arial" w:cs="Arial" w:hint="eastAsia"/>
          <w:color w:val="000000"/>
          <w:sz w:val="20"/>
          <w:szCs w:val="20"/>
        </w:rPr>
        <w:t xml:space="preserve"> (</w:t>
      </w:r>
      <w:r w:rsidRPr="004C1A00">
        <w:rPr>
          <w:rFonts w:ascii="Arial" w:eastAsia="SimSun" w:hAnsi="Arial" w:cs="Arial"/>
          <w:color w:val="000000"/>
          <w:sz w:val="20"/>
          <w:szCs w:val="20"/>
        </w:rPr>
        <w:t>ATI-FB</w:t>
      </w:r>
      <w:r w:rsidRPr="004C1A00">
        <w:rPr>
          <w:rFonts w:ascii="Arial" w:eastAsia="SimSun" w:hAnsi="Arial" w:cs="Arial" w:hint="eastAsia"/>
          <w:color w:val="000000"/>
          <w:sz w:val="20"/>
          <w:szCs w:val="20"/>
        </w:rPr>
        <w:t>)</w:t>
      </w:r>
      <w:r w:rsidRPr="004C1A00">
        <w:rPr>
          <w:rFonts w:ascii="Arial" w:eastAsia="SimSun" w:hAnsi="Arial" w:cs="Arial"/>
          <w:color w:val="000000"/>
          <w:sz w:val="20"/>
          <w:szCs w:val="20"/>
        </w:rPr>
        <w:t xml:space="preserve">. The initial dose of remimazolam (Yichang Renfu Pharmaceutical Co. Ltd., approval No. H20200006) was set at 0.08 mg/kg and the dose was designed following the geometric progression with a ratio of 1.2. </w:t>
      </w:r>
      <w:bookmarkEnd w:id="0"/>
      <w:r w:rsidRPr="004C1A00">
        <w:rPr>
          <w:rFonts w:ascii="Arial" w:eastAsia="SimSun" w:hAnsi="Arial" w:cs="Arial"/>
          <w:color w:val="000000"/>
          <w:sz w:val="20"/>
          <w:szCs w:val="20"/>
        </w:rPr>
        <w:t>The dosage for the following case would be established based on the experimental medicine's response in the preceding case. If the previous participant was successfully sedated, the dosage of remimazolam for the subsequent participant would be lowered by one increment. In contrast, if th</w:t>
      </w:r>
      <w:r w:rsidRPr="004C1A00">
        <w:rPr>
          <w:rFonts w:ascii="Arial" w:eastAsia="SimSun" w:hAnsi="Arial" w:cs="Arial"/>
          <w:color w:val="000000"/>
          <w:sz w:val="20"/>
          <w:szCs w:val="20"/>
        </w:rPr>
        <w:t>e previous participant was unsuccessfully sedated, the dosage of remimazolam for the subsequent participant would be increased by one increment. The experiment ended when at least six positive and negative outcomes alternated in the waveform. The successful sedation needed the following requirements to be satisfied at the same time: a. collaborate to accomplish tracheal intubation; b. no rescue sedative; c. no rescue local anesthetic. The number of cases in the test was counted from the previous participant</w:t>
      </w:r>
      <w:r w:rsidRPr="004C1A00">
        <w:rPr>
          <w:rFonts w:ascii="Arial" w:eastAsia="SimSun" w:hAnsi="Arial" w:cs="Arial"/>
          <w:color w:val="000000"/>
          <w:sz w:val="20"/>
          <w:szCs w:val="20"/>
        </w:rPr>
        <w:t xml:space="preserve"> whose response changed. So, 34 participants were enrolled, but 33 participants were included in the statistical analysis in this study. Dixon’s modified up-and-down method results for participants were presented in Figure S1.</w:t>
      </w:r>
    </w:p>
    <w:p w14:paraId="3B4BA952" w14:textId="77777777" w:rsidR="00F8121C" w:rsidRPr="004C1A00" w:rsidRDefault="00F8121C">
      <w:pPr>
        <w:pStyle w:val="PlainText"/>
        <w:spacing w:line="480" w:lineRule="auto"/>
        <w:rPr>
          <w:rFonts w:ascii="Arial" w:eastAsia="SimSun" w:hAnsi="Arial" w:cs="Arial"/>
          <w:b/>
          <w:bCs/>
          <w:color w:val="0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8121C" w:rsidRPr="004C1A00" w14:paraId="306BB13D" w14:textId="77777777">
        <w:tc>
          <w:tcPr>
            <w:tcW w:w="8720" w:type="dxa"/>
          </w:tcPr>
          <w:p w14:paraId="60AB8DCC" w14:textId="77777777" w:rsidR="00F8121C" w:rsidRPr="004C1A00" w:rsidRDefault="004C1A00">
            <w:pPr>
              <w:pStyle w:val="PlainText"/>
              <w:spacing w:line="480" w:lineRule="auto"/>
              <w:jc w:val="center"/>
              <w:rPr>
                <w:rFonts w:ascii="Arial" w:eastAsia="SimSun" w:hAnsi="Arial" w:cs="Arial"/>
                <w:b/>
                <w:bCs/>
                <w:color w:val="000000"/>
                <w:sz w:val="24"/>
              </w:rPr>
            </w:pPr>
            <w:r w:rsidRPr="004C1A00">
              <w:rPr>
                <w:rFonts w:ascii="Arial" w:eastAsia="SimSun" w:hAnsi="Arial" w:cs="Arial"/>
                <w:b/>
                <w:bCs/>
                <w:color w:val="000000"/>
                <w:sz w:val="24"/>
              </w:rPr>
              <w:lastRenderedPageBreak/>
              <w:drawing>
                <wp:inline distT="0" distB="0" distL="114300" distR="114300" wp14:anchorId="498072DF" wp14:editId="5FC3BF69">
                  <wp:extent cx="5396230" cy="2747645"/>
                  <wp:effectExtent l="0" t="0" r="0" b="0"/>
                  <wp:docPr id="2" name="图片 2" descr="序贯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序贯法"/>
                          <pic:cNvPicPr>
                            <a:picLocks noChangeAspect="1"/>
                          </pic:cNvPicPr>
                        </pic:nvPicPr>
                        <pic:blipFill>
                          <a:blip r:embed="rId8"/>
                          <a:stretch>
                            <a:fillRect/>
                          </a:stretch>
                        </pic:blipFill>
                        <pic:spPr>
                          <a:xfrm>
                            <a:off x="0" y="0"/>
                            <a:ext cx="5396230" cy="2747645"/>
                          </a:xfrm>
                          <a:prstGeom prst="rect">
                            <a:avLst/>
                          </a:prstGeom>
                        </pic:spPr>
                      </pic:pic>
                    </a:graphicData>
                  </a:graphic>
                </wp:inline>
              </w:drawing>
            </w:r>
          </w:p>
        </w:tc>
      </w:tr>
      <w:tr w:rsidR="00F8121C" w:rsidRPr="004C1A00" w14:paraId="48894CBC" w14:textId="77777777">
        <w:tc>
          <w:tcPr>
            <w:tcW w:w="8720" w:type="dxa"/>
          </w:tcPr>
          <w:p w14:paraId="2E7B3ABE" w14:textId="77777777" w:rsidR="00F8121C" w:rsidRPr="004C1A00" w:rsidRDefault="004C1A00">
            <w:pPr>
              <w:pStyle w:val="PlainText"/>
              <w:spacing w:line="480" w:lineRule="auto"/>
              <w:rPr>
                <w:rFonts w:ascii="Arial" w:eastAsia="SimSun" w:hAnsi="Arial" w:cs="Arial"/>
                <w:b/>
                <w:bCs/>
                <w:color w:val="000000"/>
                <w:sz w:val="24"/>
              </w:rPr>
            </w:pPr>
            <w:r w:rsidRPr="004C1A00">
              <w:rPr>
                <w:rFonts w:ascii="Arial" w:eastAsia="SimSun" w:hAnsi="Arial" w:cs="Arial"/>
                <w:color w:val="000000"/>
                <w:position w:val="6"/>
                <w:sz w:val="20"/>
                <w:szCs w:val="20"/>
              </w:rPr>
              <w:t xml:space="preserve">Figure S1 The Dixon up-and-down plots demonstrating remimazolam dose reported as successful sedation (solid circle) and failed sedation (hollow circle) in patients for awake tracheal intubation </w:t>
            </w:r>
            <w:r w:rsidRPr="004C1A00">
              <w:rPr>
                <w:rFonts w:ascii="Arial" w:eastAsia="SimSun" w:hAnsi="Arial" w:cs="Arial" w:hint="eastAsia"/>
                <w:color w:val="000000"/>
                <w:position w:val="6"/>
                <w:sz w:val="20"/>
                <w:szCs w:val="20"/>
              </w:rPr>
              <w:t>by</w:t>
            </w:r>
            <w:r w:rsidRPr="004C1A00">
              <w:rPr>
                <w:rFonts w:ascii="Arial" w:eastAsia="SimSun" w:hAnsi="Arial" w:cs="Arial"/>
                <w:color w:val="000000"/>
                <w:position w:val="6"/>
                <w:sz w:val="20"/>
                <w:szCs w:val="20"/>
              </w:rPr>
              <w:t xml:space="preserve"> flexible bronchoscopy. The ED50 and ED95 doses of remimazolam</w:t>
            </w:r>
            <w:r w:rsidRPr="004C1A00">
              <w:rPr>
                <w:rFonts w:ascii="Arial" w:eastAsia="SimSun" w:hAnsi="Arial" w:cs="Arial" w:hint="eastAsia"/>
                <w:color w:val="000000"/>
                <w:position w:val="6"/>
                <w:sz w:val="20"/>
                <w:szCs w:val="20"/>
              </w:rPr>
              <w:t xml:space="preserve"> </w:t>
            </w:r>
            <w:r w:rsidRPr="004C1A00">
              <w:rPr>
                <w:rFonts w:ascii="Arial" w:eastAsia="SimSun" w:hAnsi="Arial" w:cs="Arial"/>
                <w:color w:val="000000"/>
                <w:position w:val="6"/>
                <w:sz w:val="20"/>
                <w:szCs w:val="20"/>
              </w:rPr>
              <w:t>for sedation undergoing ATI-FB w</w:t>
            </w:r>
            <w:r w:rsidRPr="004C1A00">
              <w:rPr>
                <w:rFonts w:ascii="Arial" w:eastAsia="SimSun" w:hAnsi="Arial" w:cs="Arial" w:hint="eastAsia"/>
                <w:color w:val="000000"/>
                <w:position w:val="6"/>
                <w:sz w:val="20"/>
                <w:szCs w:val="20"/>
              </w:rPr>
              <w:t>ere</w:t>
            </w:r>
            <w:r w:rsidRPr="004C1A00">
              <w:rPr>
                <w:rFonts w:ascii="Arial" w:eastAsia="SimSun" w:hAnsi="Arial" w:cs="Arial"/>
                <w:color w:val="000000"/>
                <w:position w:val="6"/>
                <w:sz w:val="20"/>
                <w:szCs w:val="20"/>
              </w:rPr>
              <w:t xml:space="preserve"> 0.073 (95%CI</w:t>
            </w:r>
            <w:r w:rsidRPr="004C1A00">
              <w:rPr>
                <w:rFonts w:ascii="Arial" w:eastAsia="SimSun" w:hAnsi="Arial" w:cs="Arial"/>
                <w:color w:val="000000"/>
                <w:position w:val="6"/>
                <w:sz w:val="20"/>
                <w:szCs w:val="20"/>
              </w:rPr>
              <w:t>：</w:t>
            </w:r>
            <w:r w:rsidRPr="004C1A00">
              <w:rPr>
                <w:rFonts w:ascii="Arial" w:eastAsia="SimSun" w:hAnsi="Arial" w:cs="Arial"/>
                <w:color w:val="000000"/>
                <w:position w:val="6"/>
                <w:sz w:val="20"/>
                <w:szCs w:val="20"/>
              </w:rPr>
              <w:t>0.066</w:t>
            </w:r>
            <w:r w:rsidRPr="004C1A00">
              <w:rPr>
                <w:rFonts w:ascii="Arial" w:eastAsia="SimSun" w:hAnsi="Arial" w:cs="Arial"/>
                <w:color w:val="000000"/>
                <w:position w:val="6"/>
                <w:sz w:val="20"/>
                <w:szCs w:val="20"/>
              </w:rPr>
              <w:t>～</w:t>
            </w:r>
            <w:r w:rsidRPr="004C1A00">
              <w:rPr>
                <w:rFonts w:ascii="Arial" w:eastAsia="SimSun" w:hAnsi="Arial" w:cs="Arial"/>
                <w:color w:val="000000"/>
                <w:position w:val="6"/>
                <w:sz w:val="20"/>
                <w:szCs w:val="20"/>
              </w:rPr>
              <w:t>0.080) mg/kg and 0.093 (95%CI</w:t>
            </w:r>
            <w:r w:rsidRPr="004C1A00">
              <w:rPr>
                <w:rFonts w:ascii="Arial" w:eastAsia="SimSun" w:hAnsi="Arial" w:cs="Arial"/>
                <w:color w:val="000000"/>
                <w:position w:val="6"/>
                <w:sz w:val="20"/>
                <w:szCs w:val="20"/>
              </w:rPr>
              <w:t>：</w:t>
            </w:r>
            <w:r w:rsidRPr="004C1A00">
              <w:rPr>
                <w:rFonts w:ascii="Arial" w:eastAsia="SimSun" w:hAnsi="Arial" w:cs="Arial"/>
                <w:color w:val="000000"/>
                <w:position w:val="6"/>
                <w:sz w:val="20"/>
                <w:szCs w:val="20"/>
              </w:rPr>
              <w:t>0.083</w:t>
            </w:r>
            <w:r w:rsidRPr="004C1A00">
              <w:rPr>
                <w:rFonts w:ascii="Arial" w:eastAsia="SimSun" w:hAnsi="Arial" w:cs="Arial"/>
                <w:color w:val="000000"/>
                <w:position w:val="6"/>
                <w:sz w:val="20"/>
                <w:szCs w:val="20"/>
              </w:rPr>
              <w:t>～</w:t>
            </w:r>
            <w:r w:rsidRPr="004C1A00">
              <w:rPr>
                <w:rFonts w:ascii="Arial" w:eastAsia="SimSun" w:hAnsi="Arial" w:cs="Arial"/>
                <w:color w:val="000000"/>
                <w:position w:val="6"/>
                <w:sz w:val="20"/>
                <w:szCs w:val="20"/>
              </w:rPr>
              <w:t>0.149) mg/kg by the probit regression model.</w:t>
            </w:r>
          </w:p>
        </w:tc>
      </w:tr>
    </w:tbl>
    <w:p w14:paraId="5651AD99" w14:textId="77777777" w:rsidR="00F8121C" w:rsidRPr="004C1A00" w:rsidRDefault="00F8121C">
      <w:pPr>
        <w:pStyle w:val="PlainText"/>
        <w:spacing w:line="480" w:lineRule="auto"/>
        <w:rPr>
          <w:rFonts w:ascii="Arial" w:eastAsia="SimSun" w:hAnsi="Arial" w:cs="Arial"/>
          <w:b/>
          <w:bCs/>
          <w:color w:val="000000"/>
          <w:sz w:val="24"/>
        </w:rPr>
      </w:pPr>
    </w:p>
    <w:p w14:paraId="167DB69A" w14:textId="77777777" w:rsidR="00F8121C" w:rsidRPr="004C1A00" w:rsidRDefault="00F8121C">
      <w:pPr>
        <w:pStyle w:val="PlainText"/>
        <w:spacing w:line="480" w:lineRule="auto"/>
        <w:rPr>
          <w:rFonts w:ascii="Arial" w:eastAsia="SimSun" w:hAnsi="Arial" w:cs="Arial"/>
          <w:b/>
          <w:bCs/>
          <w:color w:val="000000"/>
          <w:sz w:val="24"/>
        </w:rPr>
      </w:pPr>
    </w:p>
    <w:p w14:paraId="6FD2FAA0" w14:textId="77777777" w:rsidR="00F8121C" w:rsidRPr="004C1A00" w:rsidRDefault="00F8121C">
      <w:pPr>
        <w:pStyle w:val="PlainText"/>
        <w:spacing w:line="480" w:lineRule="auto"/>
        <w:rPr>
          <w:rFonts w:ascii="Arial" w:eastAsia="SimSun" w:hAnsi="Arial" w:cs="Arial"/>
          <w:b/>
          <w:bCs/>
          <w:color w:val="000000"/>
          <w:sz w:val="24"/>
        </w:rPr>
      </w:pPr>
    </w:p>
    <w:p w14:paraId="0BE5AD4F" w14:textId="77777777" w:rsidR="00F8121C" w:rsidRPr="004C1A00" w:rsidRDefault="00F8121C">
      <w:pPr>
        <w:pStyle w:val="PlainText"/>
        <w:spacing w:line="480" w:lineRule="auto"/>
        <w:rPr>
          <w:rFonts w:ascii="Arial" w:eastAsia="SimSun" w:hAnsi="Arial" w:cs="Arial"/>
          <w:b/>
          <w:bCs/>
          <w:color w:val="000000"/>
          <w:sz w:val="24"/>
        </w:rPr>
      </w:pPr>
    </w:p>
    <w:p w14:paraId="053679CF" w14:textId="77777777" w:rsidR="00F8121C" w:rsidRPr="004C1A00" w:rsidRDefault="00F8121C">
      <w:pPr>
        <w:pStyle w:val="PlainText"/>
        <w:spacing w:line="480" w:lineRule="auto"/>
        <w:rPr>
          <w:rFonts w:ascii="Arial" w:eastAsia="SimSun" w:hAnsi="Arial" w:cs="Arial"/>
          <w:b/>
          <w:bCs/>
          <w:color w:val="000000"/>
          <w:sz w:val="24"/>
        </w:rPr>
      </w:pPr>
    </w:p>
    <w:p w14:paraId="15EB9FF7" w14:textId="77777777" w:rsidR="00F8121C" w:rsidRPr="004C1A00" w:rsidRDefault="00F8121C">
      <w:pPr>
        <w:pStyle w:val="PlainText"/>
        <w:spacing w:line="480" w:lineRule="auto"/>
        <w:rPr>
          <w:rFonts w:ascii="Arial" w:eastAsia="SimSun" w:hAnsi="Arial" w:cs="Arial"/>
          <w:b/>
          <w:bCs/>
          <w:color w:val="000000"/>
          <w:sz w:val="24"/>
        </w:rPr>
      </w:pPr>
    </w:p>
    <w:p w14:paraId="0B648F31" w14:textId="77777777" w:rsidR="00F8121C" w:rsidRPr="004C1A00" w:rsidRDefault="00F8121C">
      <w:pPr>
        <w:pStyle w:val="PlainText"/>
        <w:spacing w:line="480" w:lineRule="auto"/>
        <w:rPr>
          <w:rFonts w:ascii="Arial" w:eastAsia="SimSun" w:hAnsi="Arial" w:cs="Arial"/>
          <w:b/>
          <w:bCs/>
          <w:color w:val="000000"/>
          <w:sz w:val="24"/>
        </w:rPr>
      </w:pPr>
    </w:p>
    <w:p w14:paraId="2BD5F0B7" w14:textId="77777777" w:rsidR="00F8121C" w:rsidRPr="004C1A00" w:rsidRDefault="00F8121C">
      <w:pPr>
        <w:pStyle w:val="PlainText"/>
        <w:spacing w:line="480" w:lineRule="auto"/>
        <w:rPr>
          <w:rFonts w:ascii="Arial" w:eastAsia="SimSun" w:hAnsi="Arial" w:cs="Arial"/>
          <w:b/>
          <w:bCs/>
          <w:color w:val="000000"/>
          <w:sz w:val="24"/>
        </w:rPr>
      </w:pPr>
    </w:p>
    <w:sectPr w:rsidR="00F8121C" w:rsidRPr="004C1A00">
      <w:footerReference w:type="even" r:id="rId9"/>
      <w:footerReference w:type="default" r:id="rId10"/>
      <w:footerReference w:type="first" r:id="rId11"/>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27298" w14:textId="77777777" w:rsidR="00117B32" w:rsidRDefault="00117B32" w:rsidP="00354514">
      <w:r>
        <w:separator/>
      </w:r>
    </w:p>
  </w:endnote>
  <w:endnote w:type="continuationSeparator" w:id="0">
    <w:p w14:paraId="3A949AEE" w14:textId="77777777" w:rsidR="00117B32" w:rsidRDefault="00117B32" w:rsidP="00354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Semibold">
    <w:altName w:val="Segoe Print"/>
    <w:charset w:val="00"/>
    <w:family w:val="auto"/>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17FE" w14:textId="59799159" w:rsidR="004C1A00" w:rsidRDefault="004C1A00">
    <w:pPr>
      <w:pStyle w:val="Footer"/>
    </w:pPr>
    <w:r>
      <w:rPr>
        <w:noProof/>
      </w:rPr>
      <mc:AlternateContent>
        <mc:Choice Requires="wps">
          <w:drawing>
            <wp:anchor distT="0" distB="0" distL="0" distR="0" simplePos="0" relativeHeight="251659264" behindDoc="0" locked="0" layoutInCell="1" allowOverlap="1" wp14:anchorId="27C9F60D" wp14:editId="307D76D5">
              <wp:simplePos x="635" y="635"/>
              <wp:positionH relativeFrom="page">
                <wp:align>left</wp:align>
              </wp:positionH>
              <wp:positionV relativeFrom="page">
                <wp:align>bottom</wp:align>
              </wp:positionV>
              <wp:extent cx="443865" cy="443865"/>
              <wp:effectExtent l="0" t="0" r="18415" b="0"/>
              <wp:wrapNone/>
              <wp:docPr id="50095406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24F0C6" w14:textId="4835E220" w:rsidR="004C1A00" w:rsidRPr="004C1A00" w:rsidRDefault="004C1A00" w:rsidP="004C1A00">
                          <w:pPr>
                            <w:rPr>
                              <w:rFonts w:ascii="Rockwell" w:eastAsia="Rockwell" w:hAnsi="Rockwell" w:cs="Rockwell"/>
                              <w:noProof/>
                              <w:color w:val="0078D7"/>
                              <w:sz w:val="18"/>
                              <w:szCs w:val="18"/>
                            </w:rPr>
                          </w:pPr>
                          <w:r w:rsidRPr="004C1A0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C9F60D"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424F0C6" w14:textId="4835E220" w:rsidR="004C1A00" w:rsidRPr="004C1A00" w:rsidRDefault="004C1A00" w:rsidP="004C1A00">
                    <w:pPr>
                      <w:rPr>
                        <w:rFonts w:ascii="Rockwell" w:eastAsia="Rockwell" w:hAnsi="Rockwell" w:cs="Rockwell"/>
                        <w:noProof/>
                        <w:color w:val="0078D7"/>
                        <w:sz w:val="18"/>
                        <w:szCs w:val="18"/>
                      </w:rPr>
                    </w:pPr>
                    <w:r w:rsidRPr="004C1A0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D01" w14:textId="5790628E" w:rsidR="004C1A00" w:rsidRDefault="004C1A00">
    <w:pPr>
      <w:pStyle w:val="Footer"/>
    </w:pPr>
    <w:r>
      <w:rPr>
        <w:noProof/>
      </w:rPr>
      <mc:AlternateContent>
        <mc:Choice Requires="wps">
          <w:drawing>
            <wp:anchor distT="0" distB="0" distL="0" distR="0" simplePos="0" relativeHeight="251660288" behindDoc="0" locked="0" layoutInCell="1" allowOverlap="1" wp14:anchorId="5921CD1B" wp14:editId="60C3AE32">
              <wp:simplePos x="1081377" y="9923228"/>
              <wp:positionH relativeFrom="page">
                <wp:align>left</wp:align>
              </wp:positionH>
              <wp:positionV relativeFrom="page">
                <wp:align>bottom</wp:align>
              </wp:positionV>
              <wp:extent cx="443865" cy="443865"/>
              <wp:effectExtent l="0" t="0" r="18415" b="0"/>
              <wp:wrapNone/>
              <wp:docPr id="61737338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73FC96" w14:textId="6FADC43B" w:rsidR="004C1A00" w:rsidRPr="004C1A00" w:rsidRDefault="004C1A00" w:rsidP="004C1A00">
                          <w:pPr>
                            <w:rPr>
                              <w:rFonts w:ascii="Rockwell" w:eastAsia="Rockwell" w:hAnsi="Rockwell" w:cs="Rockwell"/>
                              <w:noProof/>
                              <w:color w:val="0078D7"/>
                              <w:sz w:val="18"/>
                              <w:szCs w:val="18"/>
                            </w:rPr>
                          </w:pPr>
                          <w:r w:rsidRPr="004C1A0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21CD1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F73FC96" w14:textId="6FADC43B" w:rsidR="004C1A00" w:rsidRPr="004C1A00" w:rsidRDefault="004C1A00" w:rsidP="004C1A00">
                    <w:pPr>
                      <w:rPr>
                        <w:rFonts w:ascii="Rockwell" w:eastAsia="Rockwell" w:hAnsi="Rockwell" w:cs="Rockwell"/>
                        <w:noProof/>
                        <w:color w:val="0078D7"/>
                        <w:sz w:val="18"/>
                        <w:szCs w:val="18"/>
                      </w:rPr>
                    </w:pPr>
                    <w:r w:rsidRPr="004C1A0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DAEC" w14:textId="53E00EDC" w:rsidR="004C1A00" w:rsidRDefault="004C1A00">
    <w:pPr>
      <w:pStyle w:val="Footer"/>
    </w:pPr>
    <w:r>
      <w:rPr>
        <w:noProof/>
      </w:rPr>
      <mc:AlternateContent>
        <mc:Choice Requires="wps">
          <w:drawing>
            <wp:anchor distT="0" distB="0" distL="0" distR="0" simplePos="0" relativeHeight="251658240" behindDoc="0" locked="0" layoutInCell="1" allowOverlap="1" wp14:anchorId="55A6F2D9" wp14:editId="296737A8">
              <wp:simplePos x="635" y="635"/>
              <wp:positionH relativeFrom="page">
                <wp:align>left</wp:align>
              </wp:positionH>
              <wp:positionV relativeFrom="page">
                <wp:align>bottom</wp:align>
              </wp:positionV>
              <wp:extent cx="443865" cy="443865"/>
              <wp:effectExtent l="0" t="0" r="18415" b="0"/>
              <wp:wrapNone/>
              <wp:docPr id="83837434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57786B" w14:textId="2BB387F9" w:rsidR="004C1A00" w:rsidRPr="004C1A00" w:rsidRDefault="004C1A00" w:rsidP="004C1A00">
                          <w:pPr>
                            <w:rPr>
                              <w:rFonts w:ascii="Rockwell" w:eastAsia="Rockwell" w:hAnsi="Rockwell" w:cs="Rockwell"/>
                              <w:noProof/>
                              <w:color w:val="0078D7"/>
                              <w:sz w:val="18"/>
                              <w:szCs w:val="18"/>
                            </w:rPr>
                          </w:pPr>
                          <w:r w:rsidRPr="004C1A0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A6F2D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957786B" w14:textId="2BB387F9" w:rsidR="004C1A00" w:rsidRPr="004C1A00" w:rsidRDefault="004C1A00" w:rsidP="004C1A00">
                    <w:pPr>
                      <w:rPr>
                        <w:rFonts w:ascii="Rockwell" w:eastAsia="Rockwell" w:hAnsi="Rockwell" w:cs="Rockwell"/>
                        <w:noProof/>
                        <w:color w:val="0078D7"/>
                        <w:sz w:val="18"/>
                        <w:szCs w:val="18"/>
                      </w:rPr>
                    </w:pPr>
                    <w:r w:rsidRPr="004C1A0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B70BE" w14:textId="77777777" w:rsidR="00117B32" w:rsidRDefault="00117B32" w:rsidP="00354514">
      <w:r>
        <w:separator/>
      </w:r>
    </w:p>
  </w:footnote>
  <w:footnote w:type="continuationSeparator" w:id="0">
    <w:p w14:paraId="2605F2AF" w14:textId="77777777" w:rsidR="00117B32" w:rsidRDefault="00117B32" w:rsidP="00354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oNotTrackFormatting/>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VhNzUyZmMxNGNhNDA2MGMxMGIyZGFiMmM3YzE2M2IifQ=="/>
  </w:docVars>
  <w:rsids>
    <w:rsidRoot w:val="00F8121C"/>
    <w:rsid w:val="00117B32"/>
    <w:rsid w:val="0014664E"/>
    <w:rsid w:val="00354514"/>
    <w:rsid w:val="004C1A00"/>
    <w:rsid w:val="00F8121C"/>
    <w:rsid w:val="022F2531"/>
    <w:rsid w:val="03E616E4"/>
    <w:rsid w:val="17984958"/>
    <w:rsid w:val="216929AF"/>
    <w:rsid w:val="30C10490"/>
    <w:rsid w:val="30CD79E2"/>
    <w:rsid w:val="37CE4EB3"/>
    <w:rsid w:val="3DF24001"/>
    <w:rsid w:val="3F292EA2"/>
    <w:rsid w:val="3F6C79EF"/>
    <w:rsid w:val="48B02AAF"/>
    <w:rsid w:val="4C1C493F"/>
    <w:rsid w:val="4CCE3E8B"/>
    <w:rsid w:val="4D987AE8"/>
    <w:rsid w:val="4EE3315A"/>
    <w:rsid w:val="50AB003F"/>
    <w:rsid w:val="5273512B"/>
    <w:rsid w:val="556A671B"/>
    <w:rsid w:val="57D63BF4"/>
    <w:rsid w:val="590C6951"/>
    <w:rsid w:val="5A7140A7"/>
    <w:rsid w:val="5CC07EE2"/>
    <w:rsid w:val="5E196F30"/>
    <w:rsid w:val="5F6214F0"/>
    <w:rsid w:val="642F4508"/>
    <w:rsid w:val="6928049C"/>
    <w:rsid w:val="70C41FE1"/>
    <w:rsid w:val="740A4EF9"/>
    <w:rsid w:val="79CD6CC2"/>
    <w:rsid w:val="7E3C03A5"/>
    <w:rsid w:val="7FFD6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C8164"/>
  <w15:docId w15:val="{5CA34A0C-EE22-420D-995C-1FB3005E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autoRedefine/>
    <w:qFormat/>
    <w:rPr>
      <w:rFonts w:ascii="SimSun" w:hAnsi="Courier New"/>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4514"/>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354514"/>
    <w:rPr>
      <w:rFonts w:asciiTheme="minorHAnsi" w:eastAsiaTheme="minorEastAsia" w:hAnsiTheme="minorHAnsi" w:cstheme="minorBidi"/>
      <w:kern w:val="2"/>
      <w:sz w:val="18"/>
      <w:szCs w:val="18"/>
    </w:rPr>
  </w:style>
  <w:style w:type="paragraph" w:styleId="Footer">
    <w:name w:val="footer"/>
    <w:basedOn w:val="Normal"/>
    <w:link w:val="FooterChar"/>
    <w:rsid w:val="00354514"/>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35451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xybdoctor@163.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157817791@qq.com,"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陈秋妙</dc:creator>
  <cp:lastModifiedBy>Khanapur, Soumya</cp:lastModifiedBy>
  <cp:revision>2</cp:revision>
  <dcterms:created xsi:type="dcterms:W3CDTF">2024-03-03T21:43:00Z</dcterms:created>
  <dcterms:modified xsi:type="dcterms:W3CDTF">2024-03-03T21:43:00Z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91518DF739CA4C6D91224F5936E9CB8E_12</vt:lpwstr>
  </property>
  <property fmtid="{D5CDD505-2E9C-101B-9397-08002B2CF9AE}" pid="4" name="GrammarlyDocumentId">
    <vt:lpwstr>b180e8217defe9e1ac241c1a72945cf56d82297547a93654d992c22e68faf331</vt:lpwstr>
  </property>
  <property fmtid="{D5CDD505-2E9C-101B-9397-08002B2CF9AE}" pid="5" name="ClassificationContentMarkingFooterShapeIds">
    <vt:lpwstr>31f893c4,1ddbf3cf,24cc5ec6</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2024-03-03T21:43:16Z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e262372e-0428-45e7-b6b8-a7fe55f4df5d</vt:lpwstr>
  </property>
  <property fmtid="{D5CDD505-2E9C-101B-9397-08002B2CF9AE}" pid="14" name="MSIP_Label_2bbab825-a111-45e4-86a1-18cee0005896_ContentBits">
    <vt:lpwstr>2</vt:lpwstr>
  </property>
</Properties>
</file>