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F6D86" w14:textId="446ECDEE" w:rsidR="00242204" w:rsidRPr="002D6A99" w:rsidRDefault="00242204" w:rsidP="002D6A99">
      <w:pPr>
        <w:jc w:val="center"/>
        <w:rPr>
          <w:noProof/>
          <w:sz w:val="32"/>
          <w:szCs w:val="32"/>
        </w:rPr>
      </w:pPr>
      <w:r w:rsidRPr="002D6A99">
        <w:rPr>
          <w:noProof/>
          <w:sz w:val="32"/>
          <w:szCs w:val="32"/>
        </w:rPr>
        <w:t>Supplementary file</w:t>
      </w:r>
    </w:p>
    <w:p w14:paraId="15FF2F80" w14:textId="36DA22BA" w:rsidR="002D6A99" w:rsidRDefault="002D6A99" w:rsidP="002D6A99">
      <w:pPr>
        <w:jc w:val="both"/>
        <w:rPr>
          <w:b/>
          <w:bCs/>
          <w:noProof/>
          <w:sz w:val="24"/>
        </w:rPr>
      </w:pPr>
      <w:r w:rsidRPr="00863C9D">
        <w:rPr>
          <w:b/>
          <w:bCs/>
          <w:noProof/>
          <w:sz w:val="24"/>
        </w:rPr>
        <w:t>Development of SERS active Nanoprobe for Selective Adsorption and Detection of Alzheimer’s Disease Biomarkers Based on Molecular Docking</w:t>
      </w:r>
    </w:p>
    <w:p w14:paraId="3ED95C8E" w14:textId="77777777" w:rsidR="00BF087B" w:rsidRDefault="00BF087B" w:rsidP="00BF087B">
      <w:r>
        <w:t>Umesh Chandra Garnaik</w:t>
      </w:r>
      <w:r w:rsidRPr="00DF6A1F">
        <w:rPr>
          <w:szCs w:val="20"/>
          <w:vertAlign w:val="superscript"/>
        </w:rPr>
        <w:t>1</w:t>
      </w:r>
      <w:r>
        <w:t xml:space="preserve"> </w:t>
      </w:r>
    </w:p>
    <w:p w14:paraId="33C09A17" w14:textId="77777777" w:rsidR="00BF087B" w:rsidRDefault="00BF087B" w:rsidP="00BF087B">
      <w:pPr>
        <w:rPr>
          <w:szCs w:val="20"/>
          <w:vertAlign w:val="superscript"/>
        </w:rPr>
      </w:pPr>
      <w:r>
        <w:t>Anshuman Chandra</w:t>
      </w:r>
      <w:r>
        <w:rPr>
          <w:szCs w:val="20"/>
          <w:vertAlign w:val="superscript"/>
        </w:rPr>
        <w:t>1</w:t>
      </w:r>
    </w:p>
    <w:p w14:paraId="7EE42A69" w14:textId="77777777" w:rsidR="00BF087B" w:rsidRDefault="00BF087B" w:rsidP="00BF087B">
      <w:r w:rsidRPr="003477B2">
        <w:t>Vijay K</w:t>
      </w:r>
      <w:r>
        <w:t>umar</w:t>
      </w:r>
      <w:r w:rsidRPr="003477B2">
        <w:t xml:space="preserve"> Goel</w:t>
      </w:r>
      <w:r>
        <w:rPr>
          <w:vertAlign w:val="superscript"/>
        </w:rPr>
        <w:t>1</w:t>
      </w:r>
    </w:p>
    <w:p w14:paraId="123BF7FB" w14:textId="77777777" w:rsidR="00BF087B" w:rsidRDefault="00BF087B" w:rsidP="00BF087B">
      <w:r w:rsidRPr="003477B2">
        <w:t>Bal</w:t>
      </w:r>
      <w:r>
        <w:t>a</w:t>
      </w:r>
      <w:r w:rsidRPr="003477B2">
        <w:t>zs Gulyas</w:t>
      </w:r>
      <w:r>
        <w:rPr>
          <w:vertAlign w:val="superscript"/>
        </w:rPr>
        <w:t>2</w:t>
      </w:r>
    </w:p>
    <w:p w14:paraId="21A51926" w14:textId="77777777" w:rsidR="00BF087B" w:rsidRDefault="00BF087B" w:rsidP="00BF087B">
      <w:r w:rsidRPr="003477B2">
        <w:t>Parasuraman Padmanabhan</w:t>
      </w:r>
      <w:r>
        <w:rPr>
          <w:vertAlign w:val="superscript"/>
        </w:rPr>
        <w:t>2*</w:t>
      </w:r>
    </w:p>
    <w:p w14:paraId="55C28CC9" w14:textId="77777777" w:rsidR="00BF087B" w:rsidRPr="003477B2" w:rsidRDefault="00BF087B" w:rsidP="00BF087B">
      <w:pPr>
        <w:rPr>
          <w:vertAlign w:val="superscript"/>
        </w:rPr>
      </w:pPr>
      <w:r w:rsidRPr="003477B2">
        <w:t>Shilpi Agarwal</w:t>
      </w:r>
      <w:r>
        <w:rPr>
          <w:vertAlign w:val="superscript"/>
        </w:rPr>
        <w:t>1*</w:t>
      </w:r>
    </w:p>
    <w:p w14:paraId="4975E266" w14:textId="77777777" w:rsidR="00BF087B" w:rsidRDefault="00BF087B" w:rsidP="00BF087B">
      <w:r w:rsidRPr="00DF6A1F">
        <w:rPr>
          <w:szCs w:val="20"/>
          <w:vertAlign w:val="superscript"/>
        </w:rPr>
        <w:t>1</w:t>
      </w:r>
      <w:r w:rsidRPr="003477B2">
        <w:t xml:space="preserve"> </w:t>
      </w:r>
      <w:bookmarkStart w:id="0" w:name="_Hlk148538007"/>
      <w:r w:rsidRPr="003477B2">
        <w:t xml:space="preserve">School of Physical Sciences, Jawaharlal Nehru University, New Delhi, </w:t>
      </w:r>
      <w:proofErr w:type="gramStart"/>
      <w:r w:rsidRPr="003477B2">
        <w:t>India</w:t>
      </w:r>
      <w:bookmarkEnd w:id="0"/>
      <w:r>
        <w:t>;</w:t>
      </w:r>
      <w:proofErr w:type="gramEnd"/>
      <w:r>
        <w:t xml:space="preserve"> </w:t>
      </w:r>
    </w:p>
    <w:p w14:paraId="4A7B4117" w14:textId="77777777" w:rsidR="00BF087B" w:rsidRPr="003477B2" w:rsidRDefault="00BF087B" w:rsidP="00BF087B">
      <w:r>
        <w:rPr>
          <w:vertAlign w:val="superscript"/>
        </w:rPr>
        <w:t>2</w:t>
      </w:r>
      <w:r>
        <w:t>Cognitive Neuroimaging Centre</w:t>
      </w:r>
      <w:r w:rsidRPr="003477B2">
        <w:t xml:space="preserve">, Nanyang Technological University (NTU), Singapore, </w:t>
      </w:r>
      <w:r>
        <w:t>Singapore</w:t>
      </w:r>
    </w:p>
    <w:p w14:paraId="36F3B7A7" w14:textId="77777777" w:rsidR="00BF087B" w:rsidRDefault="00BF087B" w:rsidP="002D6A99">
      <w:pPr>
        <w:jc w:val="both"/>
        <w:rPr>
          <w:b/>
          <w:bCs/>
          <w:noProof/>
          <w:sz w:val="24"/>
        </w:rPr>
      </w:pPr>
    </w:p>
    <w:p w14:paraId="5A58C266" w14:textId="77777777" w:rsidR="00285F2C" w:rsidRDefault="00285F2C">
      <w:pPr>
        <w:spacing w:after="160" w:line="259" w:lineRule="auto"/>
        <w:rPr>
          <w:rFonts w:cs="Arial"/>
          <w:b/>
          <w:bCs/>
          <w:noProof/>
          <w:szCs w:val="20"/>
        </w:rPr>
      </w:pPr>
      <w:r>
        <w:rPr>
          <w:rFonts w:cs="Arial"/>
          <w:b/>
          <w:bCs/>
          <w:noProof/>
          <w:szCs w:val="20"/>
        </w:rPr>
        <w:br w:type="page"/>
      </w:r>
    </w:p>
    <w:p w14:paraId="7F8D0DD6" w14:textId="584E9937" w:rsidR="00D15697" w:rsidRPr="00863C9D" w:rsidRDefault="00D15697" w:rsidP="00D15697">
      <w:pPr>
        <w:jc w:val="both"/>
        <w:rPr>
          <w:rFonts w:cs="Arial"/>
          <w:b/>
          <w:bCs/>
          <w:noProof/>
          <w:szCs w:val="20"/>
        </w:rPr>
      </w:pPr>
      <w:r w:rsidRPr="00863C9D">
        <w:rPr>
          <w:rFonts w:cs="Arial"/>
          <w:b/>
          <w:bCs/>
          <w:noProof/>
          <w:szCs w:val="20"/>
        </w:rPr>
        <w:lastRenderedPageBreak/>
        <w:t>Supplementary Figure 1</w:t>
      </w:r>
      <w:r w:rsidR="00863C9D" w:rsidRPr="00863C9D">
        <w:rPr>
          <w:rFonts w:cs="Arial"/>
          <w:b/>
          <w:bCs/>
          <w:noProof/>
          <w:szCs w:val="20"/>
        </w:rPr>
        <w:t xml:space="preserve"> - The molecular docking study of Raman RB-AuNPs nanoprobe binding to Tau protein</w:t>
      </w:r>
    </w:p>
    <w:p w14:paraId="3CD5D268" w14:textId="10C92275" w:rsidR="00D15697" w:rsidRDefault="00E655C8" w:rsidP="00285F2C">
      <w:pPr>
        <w:spacing w:before="240"/>
        <w:jc w:val="both"/>
        <w:rPr>
          <w:rFonts w:cs="Arial"/>
          <w:szCs w:val="20"/>
          <w:lang w:val="en-IN" w:eastAsia="en-IN" w:bidi="hi-IN"/>
        </w:rPr>
      </w:pPr>
      <w:r>
        <w:rPr>
          <w:rFonts w:cs="Arial"/>
          <w:noProof/>
          <w:szCs w:val="20"/>
        </w:rPr>
        <w:t>F</w:t>
      </w:r>
      <w:r w:rsidRPr="001161CE">
        <w:rPr>
          <w:rFonts w:cs="Arial"/>
          <w:noProof/>
          <w:szCs w:val="20"/>
        </w:rPr>
        <w:t xml:space="preserve">igure </w:t>
      </w:r>
      <w:r>
        <w:rPr>
          <w:rFonts w:cs="Arial"/>
          <w:noProof/>
          <w:szCs w:val="20"/>
        </w:rPr>
        <w:t>SF</w:t>
      </w:r>
      <w:r w:rsidR="005B7B34">
        <w:rPr>
          <w:rFonts w:cs="Arial"/>
          <w:noProof/>
          <w:szCs w:val="20"/>
        </w:rPr>
        <w:t>-</w:t>
      </w:r>
      <w:r>
        <w:rPr>
          <w:rFonts w:cs="Arial"/>
          <w:noProof/>
          <w:szCs w:val="20"/>
        </w:rPr>
        <w:t xml:space="preserve">1 shows the </w:t>
      </w:r>
      <w:r w:rsidR="00863C9D" w:rsidRPr="00863C9D">
        <w:rPr>
          <w:rFonts w:cs="Arial"/>
          <w:noProof/>
          <w:szCs w:val="20"/>
        </w:rPr>
        <w:t xml:space="preserve">molecular docking analysis of Rose Bengal (RB) to Tau protein has provided insights into their binding affinity as shown in supplementry figure 1 and supplementary figure 2. The calculated binding </w:t>
      </w:r>
      <w:r w:rsidR="00D15697">
        <w:rPr>
          <w:rFonts w:cs="Arial"/>
          <w:noProof/>
          <w:szCs w:val="20"/>
        </w:rPr>
        <w:t xml:space="preserve">The </w:t>
      </w:r>
      <w:r w:rsidRPr="001161CE">
        <w:rPr>
          <w:rFonts w:cs="Arial"/>
          <w:noProof/>
          <w:szCs w:val="20"/>
        </w:rPr>
        <w:t>binding affinity in which binding scores for RB is -6 kcal/mol.</w:t>
      </w:r>
      <w:r w:rsidR="00D15697">
        <w:rPr>
          <w:rFonts w:cs="Arial"/>
          <w:noProof/>
          <w:szCs w:val="20"/>
        </w:rPr>
        <w:t xml:space="preserve"> </w:t>
      </w:r>
      <w:r w:rsidR="00D15697" w:rsidRPr="001161CE">
        <w:rPr>
          <w:rFonts w:cs="Arial"/>
          <w:szCs w:val="20"/>
          <w:lang w:val="en-IN" w:eastAsia="en-IN" w:bidi="hi-IN"/>
        </w:rPr>
        <w:t xml:space="preserve">The existence of halogen bonding and many hydrophobic contacts highlights the selectivity and strength of RB's binding to Tau protein. </w:t>
      </w:r>
    </w:p>
    <w:p w14:paraId="7DD39F4A" w14:textId="71F5ADB4" w:rsidR="002D6A99" w:rsidRDefault="002D6A99" w:rsidP="002D6A99">
      <w:pPr>
        <w:jc w:val="both"/>
        <w:rPr>
          <w:b/>
          <w:bCs/>
          <w:noProof/>
          <w:sz w:val="32"/>
          <w:szCs w:val="32"/>
        </w:rPr>
      </w:pPr>
    </w:p>
    <w:p w14:paraId="4E0EA010" w14:textId="57079DAC" w:rsidR="00BA0CC8" w:rsidRPr="00BA0CC8" w:rsidRDefault="00BA0CC8" w:rsidP="00242204">
      <w:pPr>
        <w:jc w:val="both"/>
        <w:rPr>
          <w:noProof/>
          <w:szCs w:val="20"/>
        </w:rPr>
      </w:pPr>
      <w:r>
        <w:rPr>
          <w:noProof/>
          <w:szCs w:val="20"/>
          <w14:ligatures w14:val="standardContextual"/>
        </w:rPr>
        <w:drawing>
          <wp:inline distT="0" distB="0" distL="0" distR="0" wp14:anchorId="5A38B8FB" wp14:editId="3413B5F1">
            <wp:extent cx="5712976" cy="2047875"/>
            <wp:effectExtent l="0" t="0" r="2540" b="0"/>
            <wp:docPr id="190639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92555" name="Picture 1906392555"/>
                    <pic:cNvPicPr/>
                  </pic:nvPicPr>
                  <pic:blipFill>
                    <a:blip r:embed="rId7">
                      <a:extLst>
                        <a:ext uri="{28A0092B-C50C-407E-A947-70E740481C1C}">
                          <a14:useLocalDpi xmlns:a14="http://schemas.microsoft.com/office/drawing/2010/main" val="0"/>
                        </a:ext>
                      </a:extLst>
                    </a:blip>
                    <a:stretch>
                      <a:fillRect/>
                    </a:stretch>
                  </pic:blipFill>
                  <pic:spPr>
                    <a:xfrm>
                      <a:off x="0" y="0"/>
                      <a:ext cx="5751974" cy="2061854"/>
                    </a:xfrm>
                    <a:prstGeom prst="rect">
                      <a:avLst/>
                    </a:prstGeom>
                  </pic:spPr>
                </pic:pic>
              </a:graphicData>
            </a:graphic>
          </wp:inline>
        </w:drawing>
      </w:r>
    </w:p>
    <w:p w14:paraId="4968BA69" w14:textId="0F3BA113" w:rsidR="00BF087B" w:rsidRDefault="00BA0CC8" w:rsidP="00BF087B">
      <w:pPr>
        <w:jc w:val="both"/>
        <w:rPr>
          <w:noProof/>
          <w:szCs w:val="20"/>
        </w:rPr>
      </w:pPr>
      <w:r>
        <w:rPr>
          <w:b/>
          <w:bCs/>
          <w:noProof/>
          <w:szCs w:val="20"/>
        </w:rPr>
        <w:t>Figure SF</w:t>
      </w:r>
      <w:r w:rsidR="005B7B34">
        <w:rPr>
          <w:b/>
          <w:bCs/>
          <w:noProof/>
          <w:szCs w:val="20"/>
        </w:rPr>
        <w:t>-</w:t>
      </w:r>
      <w:r>
        <w:rPr>
          <w:b/>
          <w:bCs/>
          <w:noProof/>
          <w:szCs w:val="20"/>
        </w:rPr>
        <w:t xml:space="preserve">1: </w:t>
      </w:r>
      <w:r w:rsidRPr="00BA0CC8">
        <w:rPr>
          <w:noProof/>
          <w:szCs w:val="20"/>
        </w:rPr>
        <w:t>Molecular docking structures of Tau protein conjugation with RB molecules in 2D and 3D.</w:t>
      </w:r>
      <w:r w:rsidR="00BF087B">
        <w:rPr>
          <w:noProof/>
          <w:szCs w:val="20"/>
        </w:rPr>
        <w:br w:type="page"/>
      </w:r>
    </w:p>
    <w:p w14:paraId="1C8821FA" w14:textId="77777777" w:rsidR="00BF087B" w:rsidRDefault="00BF087B" w:rsidP="00BF087B">
      <w:pPr>
        <w:jc w:val="both"/>
        <w:rPr>
          <w:rFonts w:cs="Arial"/>
          <w:b/>
          <w:bCs/>
          <w:noProof/>
          <w:szCs w:val="20"/>
        </w:rPr>
      </w:pPr>
    </w:p>
    <w:p w14:paraId="7D3A5AB7" w14:textId="440C077D" w:rsidR="00BF087B" w:rsidRDefault="00BF087B" w:rsidP="00BF087B">
      <w:pPr>
        <w:jc w:val="both"/>
        <w:rPr>
          <w:rFonts w:cs="Arial"/>
          <w:b/>
          <w:bCs/>
          <w:noProof/>
          <w:szCs w:val="20"/>
        </w:rPr>
      </w:pPr>
      <w:r w:rsidRPr="00863C9D">
        <w:rPr>
          <w:rFonts w:cs="Arial"/>
          <w:b/>
          <w:bCs/>
          <w:noProof/>
          <w:szCs w:val="20"/>
        </w:rPr>
        <w:t xml:space="preserve">Supplementary Figure </w:t>
      </w:r>
      <w:r>
        <w:rPr>
          <w:rFonts w:cs="Arial"/>
          <w:b/>
          <w:bCs/>
          <w:noProof/>
          <w:szCs w:val="20"/>
        </w:rPr>
        <w:t>2</w:t>
      </w:r>
      <w:r w:rsidRPr="00863C9D">
        <w:rPr>
          <w:rFonts w:cs="Arial"/>
          <w:b/>
          <w:bCs/>
          <w:noProof/>
          <w:szCs w:val="20"/>
        </w:rPr>
        <w:t xml:space="preserve"> - The molecular docking study of Raman </w:t>
      </w:r>
      <w:r w:rsidRPr="00BF087B">
        <w:rPr>
          <w:rFonts w:cs="Arial"/>
          <w:b/>
          <w:bCs/>
          <w:noProof/>
          <w:szCs w:val="20"/>
        </w:rPr>
        <w:t>CC-AgNPs</w:t>
      </w:r>
      <w:r>
        <w:rPr>
          <w:rFonts w:cs="Arial"/>
          <w:b/>
          <w:bCs/>
          <w:noProof/>
          <w:szCs w:val="20"/>
        </w:rPr>
        <w:t xml:space="preserve"> </w:t>
      </w:r>
      <w:r w:rsidRPr="00863C9D">
        <w:rPr>
          <w:rFonts w:cs="Arial"/>
          <w:b/>
          <w:bCs/>
          <w:noProof/>
          <w:szCs w:val="20"/>
        </w:rPr>
        <w:t>nanoprobe binding to Tau protein</w:t>
      </w:r>
    </w:p>
    <w:p w14:paraId="6E2B8557" w14:textId="7D9EFCB6" w:rsidR="00BF087B" w:rsidRDefault="00BF087B" w:rsidP="00285F2C">
      <w:pPr>
        <w:spacing w:before="240"/>
        <w:jc w:val="both"/>
        <w:rPr>
          <w:noProof/>
          <w:szCs w:val="20"/>
        </w:rPr>
      </w:pPr>
      <w:r>
        <w:rPr>
          <w:noProof/>
          <w:szCs w:val="20"/>
        </w:rPr>
        <w:t>Molecular docking analysis of Pinacyanol Iodide binding to Tau protein in the figure SF</w:t>
      </w:r>
      <w:r w:rsidR="005B7B34">
        <w:rPr>
          <w:noProof/>
          <w:szCs w:val="20"/>
        </w:rPr>
        <w:t>-</w:t>
      </w:r>
      <w:r>
        <w:rPr>
          <w:noProof/>
          <w:szCs w:val="20"/>
        </w:rPr>
        <w:t xml:space="preserve">2 provides binding affinity with binding scores for </w:t>
      </w:r>
      <w:r w:rsidRPr="00C26C6C">
        <w:rPr>
          <w:noProof/>
          <w:szCs w:val="20"/>
        </w:rPr>
        <w:t>Pinacyanol Iodide</w:t>
      </w:r>
      <w:r>
        <w:rPr>
          <w:noProof/>
          <w:szCs w:val="20"/>
        </w:rPr>
        <w:t xml:space="preserve"> is -5.7 kcal/mol.</w:t>
      </w:r>
      <w:r w:rsidRPr="00BF087B">
        <w:rPr>
          <w:noProof/>
          <w:szCs w:val="20"/>
        </w:rPr>
        <w:t xml:space="preserve"> </w:t>
      </w:r>
      <w:r>
        <w:rPr>
          <w:noProof/>
          <w:szCs w:val="20"/>
        </w:rPr>
        <w:t>The Pinacyanol Iodide-Tau combination demonstrates a salt bridge interaction, which improves overall stability. The findings significantly support the significant affinity of Pinacyanol Iodide for Tau protein.</w:t>
      </w:r>
    </w:p>
    <w:p w14:paraId="192D303F" w14:textId="77777777" w:rsidR="00BF087B" w:rsidRDefault="00BF087B" w:rsidP="00BF087B">
      <w:pPr>
        <w:jc w:val="both"/>
        <w:rPr>
          <w:noProof/>
          <w:szCs w:val="20"/>
        </w:rPr>
      </w:pPr>
    </w:p>
    <w:p w14:paraId="19253918" w14:textId="16A755F1" w:rsidR="00BF087B" w:rsidRPr="00863C9D" w:rsidRDefault="00BF087B" w:rsidP="00BF087B">
      <w:pPr>
        <w:jc w:val="both"/>
        <w:rPr>
          <w:rFonts w:cs="Arial"/>
          <w:b/>
          <w:bCs/>
          <w:noProof/>
          <w:szCs w:val="20"/>
        </w:rPr>
      </w:pPr>
    </w:p>
    <w:p w14:paraId="078919EA" w14:textId="4075AA2C" w:rsidR="001161CE" w:rsidRPr="001161CE" w:rsidRDefault="00436FE0" w:rsidP="001161CE">
      <w:pPr>
        <w:jc w:val="both"/>
        <w:rPr>
          <w:rFonts w:cs="Arial"/>
          <w:szCs w:val="20"/>
          <w:lang w:val="en-IN" w:eastAsia="en-IN" w:bidi="hi-IN"/>
        </w:rPr>
      </w:pPr>
      <w:r>
        <w:rPr>
          <w:rFonts w:cs="Arial"/>
          <w:noProof/>
          <w:szCs w:val="20"/>
          <w:lang w:val="en-IN" w:eastAsia="en-IN" w:bidi="hi-IN"/>
          <w14:ligatures w14:val="standardContextual"/>
        </w:rPr>
        <w:drawing>
          <wp:inline distT="0" distB="0" distL="0" distR="0" wp14:anchorId="7D0E389E" wp14:editId="0D1DC151">
            <wp:extent cx="5625465" cy="1866900"/>
            <wp:effectExtent l="0" t="0" r="0" b="0"/>
            <wp:docPr id="1377364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64017" name="Picture 1377364017"/>
                    <pic:cNvPicPr/>
                  </pic:nvPicPr>
                  <pic:blipFill>
                    <a:blip r:embed="rId8">
                      <a:extLst>
                        <a:ext uri="{28A0092B-C50C-407E-A947-70E740481C1C}">
                          <a14:useLocalDpi xmlns:a14="http://schemas.microsoft.com/office/drawing/2010/main" val="0"/>
                        </a:ext>
                      </a:extLst>
                    </a:blip>
                    <a:stretch>
                      <a:fillRect/>
                    </a:stretch>
                  </pic:blipFill>
                  <pic:spPr>
                    <a:xfrm>
                      <a:off x="0" y="0"/>
                      <a:ext cx="5654067" cy="1876392"/>
                    </a:xfrm>
                    <a:prstGeom prst="rect">
                      <a:avLst/>
                    </a:prstGeom>
                  </pic:spPr>
                </pic:pic>
              </a:graphicData>
            </a:graphic>
          </wp:inline>
        </w:drawing>
      </w:r>
    </w:p>
    <w:p w14:paraId="3F1501A7" w14:textId="15E725C9" w:rsidR="00BA0CC8" w:rsidRDefault="00BA0CC8" w:rsidP="00242204">
      <w:pPr>
        <w:jc w:val="both"/>
        <w:rPr>
          <w:noProof/>
          <w:szCs w:val="20"/>
        </w:rPr>
      </w:pPr>
    </w:p>
    <w:p w14:paraId="35E936C3" w14:textId="77A5054C" w:rsidR="00BA0CC8" w:rsidRDefault="00C26C6C" w:rsidP="00242204">
      <w:pPr>
        <w:jc w:val="both"/>
        <w:rPr>
          <w:noProof/>
          <w:szCs w:val="20"/>
        </w:rPr>
      </w:pPr>
      <w:r w:rsidRPr="00C26C6C">
        <w:rPr>
          <w:b/>
          <w:bCs/>
          <w:noProof/>
          <w:szCs w:val="20"/>
        </w:rPr>
        <w:t>Figure SF</w:t>
      </w:r>
      <w:r w:rsidR="005B7B34">
        <w:rPr>
          <w:b/>
          <w:bCs/>
          <w:noProof/>
          <w:szCs w:val="20"/>
        </w:rPr>
        <w:t>-</w:t>
      </w:r>
      <w:r>
        <w:rPr>
          <w:b/>
          <w:bCs/>
          <w:noProof/>
          <w:szCs w:val="20"/>
        </w:rPr>
        <w:t>2</w:t>
      </w:r>
      <w:r w:rsidRPr="00C26C6C">
        <w:rPr>
          <w:b/>
          <w:bCs/>
          <w:noProof/>
          <w:szCs w:val="20"/>
        </w:rPr>
        <w:t>:</w:t>
      </w:r>
      <w:r>
        <w:rPr>
          <w:b/>
          <w:bCs/>
          <w:noProof/>
          <w:szCs w:val="20"/>
        </w:rPr>
        <w:t xml:space="preserve"> </w:t>
      </w:r>
      <w:r w:rsidRPr="00C26C6C">
        <w:rPr>
          <w:noProof/>
          <w:szCs w:val="20"/>
        </w:rPr>
        <w:t>Molecular docking structures of Tau protein conjugation with CC molecules in 2D and 3D.</w:t>
      </w:r>
    </w:p>
    <w:p w14:paraId="5D0A1A9D" w14:textId="77777777" w:rsidR="00341FF5" w:rsidRDefault="00341FF5" w:rsidP="00242204">
      <w:pPr>
        <w:jc w:val="both"/>
        <w:rPr>
          <w:noProof/>
          <w:szCs w:val="20"/>
        </w:rPr>
      </w:pPr>
    </w:p>
    <w:p w14:paraId="2FFA9C55" w14:textId="77777777" w:rsidR="00BF087B" w:rsidRDefault="00BF087B">
      <w:pPr>
        <w:spacing w:after="160" w:line="259" w:lineRule="auto"/>
        <w:rPr>
          <w:noProof/>
          <w:szCs w:val="20"/>
        </w:rPr>
      </w:pPr>
      <w:r>
        <w:rPr>
          <w:noProof/>
          <w:szCs w:val="20"/>
        </w:rPr>
        <w:br w:type="page"/>
      </w:r>
    </w:p>
    <w:p w14:paraId="4285FF81" w14:textId="2A1581BF" w:rsidR="00285F2C" w:rsidRDefault="00285F2C" w:rsidP="00285F2C">
      <w:pPr>
        <w:jc w:val="both"/>
        <w:rPr>
          <w:noProof/>
          <w:szCs w:val="20"/>
        </w:rPr>
      </w:pPr>
      <w:r>
        <w:rPr>
          <w:b/>
          <w:bCs/>
          <w:noProof/>
          <w:szCs w:val="20"/>
        </w:rPr>
        <w:lastRenderedPageBreak/>
        <w:t xml:space="preserve">Supplementary Table 1: </w:t>
      </w:r>
      <w:r w:rsidRPr="00285F2C">
        <w:rPr>
          <w:b/>
          <w:bCs/>
          <w:noProof/>
          <w:szCs w:val="20"/>
        </w:rPr>
        <w:t>Comparison of recent studies on the detection A</w:t>
      </w:r>
      <w:r w:rsidRPr="00285F2C">
        <w:rPr>
          <w:rFonts w:cs="Arial"/>
          <w:b/>
          <w:bCs/>
          <w:noProof/>
          <w:szCs w:val="20"/>
        </w:rPr>
        <w:t>β</w:t>
      </w:r>
      <w:r w:rsidRPr="00285F2C">
        <w:rPr>
          <w:b/>
          <w:bCs/>
          <w:noProof/>
          <w:szCs w:val="20"/>
        </w:rPr>
        <w:t xml:space="preserve"> 42 as a biomarker for AD diagnosis.</w:t>
      </w:r>
    </w:p>
    <w:p w14:paraId="67A96CB1" w14:textId="75A0AC30" w:rsidR="00242204" w:rsidRDefault="00242204" w:rsidP="00285F2C">
      <w:pPr>
        <w:spacing w:before="240"/>
        <w:jc w:val="both"/>
        <w:rPr>
          <w:noProof/>
          <w:szCs w:val="20"/>
        </w:rPr>
      </w:pPr>
      <w:r w:rsidRPr="00365E10">
        <w:rPr>
          <w:noProof/>
          <w:szCs w:val="20"/>
        </w:rPr>
        <w:t>Aggregated Aβ plaques accumulate inside the brain due to impaired Aβ clearance or excessive production. This happens around 20 years before the start of cognitive impairment. They can be discovered 10-15 years before the beginning of symptoms. The detection of aggregated Aβ 42 is a major focus in recent times for early diagnosis of AD. Here we have compared some recent methods used to detect Aβ 42 for diagnosis of AD with our method to provide significance of our results</w:t>
      </w:r>
      <w:r>
        <w:rPr>
          <w:noProof/>
          <w:szCs w:val="20"/>
        </w:rPr>
        <w:t xml:space="preserve"> (Table 1)</w:t>
      </w:r>
      <w:r w:rsidRPr="00365E10">
        <w:rPr>
          <w:noProof/>
          <w:szCs w:val="20"/>
        </w:rPr>
        <w:t>.</w:t>
      </w:r>
    </w:p>
    <w:p w14:paraId="69BBB949" w14:textId="419476F9" w:rsidR="00242204" w:rsidRDefault="00242204" w:rsidP="00242204">
      <w:pPr>
        <w:jc w:val="both"/>
        <w:rPr>
          <w:noProof/>
          <w:szCs w:val="20"/>
        </w:rPr>
      </w:pPr>
      <w:bookmarkStart w:id="1" w:name="_Hlk159765675"/>
      <w:r>
        <w:rPr>
          <w:b/>
          <w:bCs/>
          <w:noProof/>
          <w:szCs w:val="20"/>
        </w:rPr>
        <w:t xml:space="preserve">Table </w:t>
      </w:r>
      <w:r w:rsidR="005B7B34">
        <w:rPr>
          <w:b/>
          <w:bCs/>
          <w:noProof/>
          <w:szCs w:val="20"/>
        </w:rPr>
        <w:t>ST-</w:t>
      </w:r>
      <w:r>
        <w:rPr>
          <w:b/>
          <w:bCs/>
          <w:noProof/>
          <w:szCs w:val="20"/>
        </w:rPr>
        <w:t xml:space="preserve">1: </w:t>
      </w:r>
      <w:r>
        <w:rPr>
          <w:noProof/>
          <w:szCs w:val="20"/>
        </w:rPr>
        <w:t>Comparison of recent studies on the detection A</w:t>
      </w:r>
      <w:r>
        <w:rPr>
          <w:rFonts w:cs="Arial"/>
          <w:noProof/>
          <w:szCs w:val="20"/>
        </w:rPr>
        <w:t>β</w:t>
      </w:r>
      <w:r>
        <w:rPr>
          <w:noProof/>
          <w:szCs w:val="20"/>
        </w:rPr>
        <w:t xml:space="preserve"> 42 as a biomarker for AD diagnosis</w:t>
      </w:r>
      <w:bookmarkEnd w:id="1"/>
      <w:r>
        <w:rPr>
          <w:noProof/>
          <w:szCs w:val="20"/>
        </w:rPr>
        <w:t>.</w:t>
      </w:r>
    </w:p>
    <w:tbl>
      <w:tblPr>
        <w:tblStyle w:val="TableGrid"/>
        <w:tblW w:w="9158" w:type="dxa"/>
        <w:jc w:val="center"/>
        <w:tblLook w:val="04A0" w:firstRow="1" w:lastRow="0" w:firstColumn="1" w:lastColumn="0" w:noHBand="0" w:noVBand="1"/>
      </w:tblPr>
      <w:tblGrid>
        <w:gridCol w:w="2689"/>
        <w:gridCol w:w="6469"/>
      </w:tblGrid>
      <w:tr w:rsidR="00242204" w14:paraId="5D75472E" w14:textId="77777777" w:rsidTr="00F103AC">
        <w:trPr>
          <w:trHeight w:val="995"/>
          <w:jc w:val="center"/>
        </w:trPr>
        <w:tc>
          <w:tcPr>
            <w:tcW w:w="2689" w:type="dxa"/>
          </w:tcPr>
          <w:p w14:paraId="61C01071" w14:textId="77777777" w:rsidR="00242204" w:rsidRPr="0078248D" w:rsidRDefault="00242204" w:rsidP="00F103AC">
            <w:pPr>
              <w:jc w:val="center"/>
              <w:rPr>
                <w:rFonts w:ascii="Times New Roman" w:hAnsi="Times New Roman"/>
              </w:rPr>
            </w:pPr>
            <w:r>
              <w:rPr>
                <w:rFonts w:ascii="Times New Roman" w:hAnsi="Times New Roman"/>
                <w:b/>
                <w:bCs/>
                <w:sz w:val="28"/>
                <w:szCs w:val="28"/>
              </w:rPr>
              <w:t xml:space="preserve">Methods of </w:t>
            </w:r>
            <w:r w:rsidRPr="007039D3">
              <w:rPr>
                <w:rFonts w:ascii="Times New Roman" w:hAnsi="Times New Roman"/>
                <w:b/>
                <w:bCs/>
                <w:sz w:val="28"/>
                <w:szCs w:val="28"/>
              </w:rPr>
              <w:t>Aβ 42</w:t>
            </w:r>
            <w:r>
              <w:rPr>
                <w:rFonts w:ascii="Times New Roman" w:hAnsi="Times New Roman"/>
                <w:b/>
                <w:bCs/>
                <w:sz w:val="28"/>
                <w:szCs w:val="28"/>
              </w:rPr>
              <w:t xml:space="preserve"> Detection</w:t>
            </w:r>
          </w:p>
        </w:tc>
        <w:tc>
          <w:tcPr>
            <w:tcW w:w="6469" w:type="dxa"/>
          </w:tcPr>
          <w:p w14:paraId="2043A09C" w14:textId="77777777" w:rsidR="00242204" w:rsidRPr="0078248D" w:rsidRDefault="00242204" w:rsidP="00F103AC">
            <w:pPr>
              <w:jc w:val="center"/>
              <w:rPr>
                <w:rFonts w:ascii="Times New Roman" w:hAnsi="Times New Roman"/>
                <w:b/>
                <w:bCs/>
                <w:sz w:val="28"/>
                <w:szCs w:val="28"/>
              </w:rPr>
            </w:pPr>
            <w:r w:rsidRPr="0078248D">
              <w:rPr>
                <w:rFonts w:ascii="Times New Roman" w:hAnsi="Times New Roman"/>
                <w:b/>
                <w:bCs/>
                <w:sz w:val="28"/>
                <w:szCs w:val="28"/>
              </w:rPr>
              <w:t>Key Points</w:t>
            </w:r>
          </w:p>
        </w:tc>
      </w:tr>
      <w:tr w:rsidR="00242204" w14:paraId="433E83EC" w14:textId="77777777" w:rsidTr="00F103AC">
        <w:trPr>
          <w:trHeight w:val="1795"/>
          <w:jc w:val="center"/>
        </w:trPr>
        <w:tc>
          <w:tcPr>
            <w:tcW w:w="2689" w:type="dxa"/>
          </w:tcPr>
          <w:p w14:paraId="773886A0" w14:textId="6EA7CF0E" w:rsidR="00242204" w:rsidRPr="00A10E17" w:rsidRDefault="00242204" w:rsidP="00F103AC">
            <w:pPr>
              <w:jc w:val="both"/>
              <w:rPr>
                <w:rFonts w:ascii="Times New Roman" w:hAnsi="Times New Roman"/>
                <w:vertAlign w:val="superscript"/>
              </w:rPr>
            </w:pPr>
            <w:r w:rsidRPr="008A2076">
              <w:rPr>
                <w:rFonts w:ascii="Times New Roman" w:hAnsi="Times New Roman"/>
              </w:rPr>
              <w:t>Detecting Amyloid β Oligomers 42 with Copper-Enhanced</w:t>
            </w:r>
            <w:r>
              <w:rPr>
                <w:rFonts w:ascii="Times New Roman" w:hAnsi="Times New Roman"/>
              </w:rPr>
              <w:t xml:space="preserve"> </w:t>
            </w:r>
            <w:r w:rsidRPr="008A2076">
              <w:rPr>
                <w:rFonts w:ascii="Times New Roman" w:hAnsi="Times New Roman"/>
              </w:rPr>
              <w:t>Gold Immunoblotting on a Multi-Chamber Paper Platform.</w:t>
            </w:r>
            <w:r w:rsidR="00914F8D">
              <w:rPr>
                <w:rFonts w:ascii="Times New Roman" w:hAnsi="Times New Roman"/>
                <w:vertAlign w:val="superscript"/>
              </w:rPr>
              <w:t>1</w:t>
            </w:r>
          </w:p>
        </w:tc>
        <w:tc>
          <w:tcPr>
            <w:tcW w:w="6469" w:type="dxa"/>
          </w:tcPr>
          <w:p w14:paraId="4E919CF0" w14:textId="77777777" w:rsidR="00242204" w:rsidRPr="0074311D" w:rsidRDefault="00242204" w:rsidP="00F103AC">
            <w:pPr>
              <w:jc w:val="both"/>
              <w:rPr>
                <w:rFonts w:ascii="Times New Roman" w:hAnsi="Times New Roman"/>
              </w:rPr>
            </w:pPr>
            <w:r w:rsidRPr="0078248D">
              <w:rPr>
                <w:rFonts w:ascii="Times New Roman" w:hAnsi="Times New Roman"/>
              </w:rPr>
              <w:t>According to this work, multichambered paper devices were manufactured using the wax printing process and used to detect A</w:t>
            </w:r>
            <w:r>
              <w:rPr>
                <w:rFonts w:ascii="Times New Roman" w:hAnsi="Times New Roman"/>
              </w:rPr>
              <w:t>β</w:t>
            </w:r>
            <w:r w:rsidRPr="0078248D">
              <w:rPr>
                <w:rFonts w:ascii="Times New Roman" w:hAnsi="Times New Roman"/>
              </w:rPr>
              <w:t xml:space="preserve"> 42 oligomers by copper</w:t>
            </w:r>
            <w:r>
              <w:rPr>
                <w:rFonts w:ascii="Times New Roman" w:hAnsi="Times New Roman"/>
              </w:rPr>
              <w:t>-</w:t>
            </w:r>
            <w:r w:rsidRPr="0078248D">
              <w:rPr>
                <w:rFonts w:ascii="Times New Roman" w:hAnsi="Times New Roman"/>
              </w:rPr>
              <w:t xml:space="preserve">enhanced gold nanoprobe colorimetric immunoblotting. </w:t>
            </w:r>
            <w:r>
              <w:rPr>
                <w:rFonts w:ascii="Times New Roman" w:hAnsi="Times New Roman"/>
              </w:rPr>
              <w:t>Compared with the above study our nanoprobe (RB-AuNPs and CC-</w:t>
            </w:r>
            <w:proofErr w:type="spellStart"/>
            <w:r>
              <w:rPr>
                <w:rFonts w:ascii="Times New Roman" w:hAnsi="Times New Roman"/>
              </w:rPr>
              <w:t>AgNPs</w:t>
            </w:r>
            <w:proofErr w:type="spellEnd"/>
            <w:r>
              <w:rPr>
                <w:rFonts w:ascii="Times New Roman" w:hAnsi="Times New Roman"/>
              </w:rPr>
              <w:t>)</w:t>
            </w:r>
            <w:r w:rsidRPr="0078248D">
              <w:rPr>
                <w:rFonts w:ascii="Times New Roman" w:hAnsi="Times New Roman"/>
              </w:rPr>
              <w:t xml:space="preserve"> is a simple approach for collecting biological fluids such as blood, sweat, and saliva from patients. </w:t>
            </w:r>
            <w:r>
              <w:rPr>
                <w:rFonts w:ascii="Times New Roman" w:hAnsi="Times New Roman"/>
              </w:rPr>
              <w:t>W</w:t>
            </w:r>
            <w:r w:rsidRPr="0078248D">
              <w:rPr>
                <w:rFonts w:ascii="Times New Roman" w:hAnsi="Times New Roman"/>
              </w:rPr>
              <w:t>hen</w:t>
            </w:r>
            <w:r>
              <w:rPr>
                <w:rFonts w:ascii="Times New Roman" w:hAnsi="Times New Roman"/>
              </w:rPr>
              <w:t xml:space="preserve"> these fluids</w:t>
            </w:r>
            <w:r w:rsidRPr="0078248D">
              <w:rPr>
                <w:rFonts w:ascii="Times New Roman" w:hAnsi="Times New Roman"/>
              </w:rPr>
              <w:t xml:space="preserve"> conjugated with nanoprobes, it undergoes chemical modifications that detect the presence of Aβ 42</w:t>
            </w:r>
            <w:r>
              <w:rPr>
                <w:rFonts w:ascii="Times New Roman" w:hAnsi="Times New Roman"/>
              </w:rPr>
              <w:t xml:space="preserve"> without using peptide antibodies</w:t>
            </w:r>
            <w:r w:rsidRPr="0078248D">
              <w:rPr>
                <w:rFonts w:ascii="Times New Roman" w:hAnsi="Times New Roman"/>
              </w:rPr>
              <w:t>.</w:t>
            </w:r>
          </w:p>
        </w:tc>
      </w:tr>
      <w:tr w:rsidR="00242204" w14:paraId="0844F765" w14:textId="77777777" w:rsidTr="00F103AC">
        <w:trPr>
          <w:trHeight w:val="1153"/>
          <w:jc w:val="center"/>
        </w:trPr>
        <w:tc>
          <w:tcPr>
            <w:tcW w:w="2689" w:type="dxa"/>
          </w:tcPr>
          <w:p w14:paraId="5057BB51" w14:textId="30DD17D8" w:rsidR="00242204" w:rsidRPr="00A10E17" w:rsidRDefault="00242204" w:rsidP="00F103AC">
            <w:pPr>
              <w:jc w:val="both"/>
              <w:rPr>
                <w:rFonts w:ascii="Times New Roman" w:hAnsi="Times New Roman"/>
                <w:vertAlign w:val="superscript"/>
              </w:rPr>
            </w:pPr>
            <w:r w:rsidRPr="008A2076">
              <w:rPr>
                <w:rFonts w:ascii="Times New Roman" w:hAnsi="Times New Roman"/>
              </w:rPr>
              <w:t xml:space="preserve">A smart optical assay for quantifying β-Amyloid peptides using multilayered </w:t>
            </w:r>
            <w:proofErr w:type="spellStart"/>
            <w:r w:rsidRPr="008A2076">
              <w:rPr>
                <w:rFonts w:ascii="Times New Roman" w:hAnsi="Times New Roman"/>
              </w:rPr>
              <w:t>bioorthogonal</w:t>
            </w:r>
            <w:proofErr w:type="spellEnd"/>
            <w:r w:rsidRPr="008A2076">
              <w:rPr>
                <w:rFonts w:ascii="Times New Roman" w:hAnsi="Times New Roman"/>
              </w:rPr>
              <w:t xml:space="preserve"> SERS nanoprobes that selectively aggregate in human fluids.</w:t>
            </w:r>
            <w:r w:rsidR="00914F8D">
              <w:rPr>
                <w:rFonts w:ascii="Times New Roman" w:hAnsi="Times New Roman"/>
                <w:vertAlign w:val="superscript"/>
              </w:rPr>
              <w:t>2</w:t>
            </w:r>
          </w:p>
        </w:tc>
        <w:tc>
          <w:tcPr>
            <w:tcW w:w="6469" w:type="dxa"/>
          </w:tcPr>
          <w:p w14:paraId="50B9F04F" w14:textId="77777777" w:rsidR="00242204" w:rsidRDefault="00242204" w:rsidP="00F103AC">
            <w:pPr>
              <w:jc w:val="both"/>
              <w:rPr>
                <w:rFonts w:ascii="Times New Roman" w:hAnsi="Times New Roman"/>
              </w:rPr>
            </w:pPr>
            <w:r w:rsidRPr="008A2076">
              <w:rPr>
                <w:rFonts w:ascii="Times New Roman" w:hAnsi="Times New Roman"/>
              </w:rPr>
              <w:t xml:space="preserve">A multilayered nanoprobe with </w:t>
            </w:r>
            <w:proofErr w:type="spellStart"/>
            <w:r w:rsidRPr="008A2076">
              <w:rPr>
                <w:rFonts w:ascii="Times New Roman" w:hAnsi="Times New Roman"/>
              </w:rPr>
              <w:t>bioorthogonal</w:t>
            </w:r>
            <w:proofErr w:type="spellEnd"/>
            <w:r w:rsidRPr="008A2076">
              <w:rPr>
                <w:rFonts w:ascii="Times New Roman" w:hAnsi="Times New Roman"/>
              </w:rPr>
              <w:t xml:space="preserve"> Raman reporters (RRs) embedded inside two layers of gold nanoparticles (</w:t>
            </w:r>
            <w:proofErr w:type="spellStart"/>
            <w:r w:rsidRPr="008A2076">
              <w:rPr>
                <w:rFonts w:ascii="Times New Roman" w:hAnsi="Times New Roman"/>
              </w:rPr>
              <w:t>Au@RRs@AuNPs</w:t>
            </w:r>
            <w:proofErr w:type="spellEnd"/>
            <w:r w:rsidRPr="008A2076">
              <w:rPr>
                <w:rFonts w:ascii="Times New Roman" w:hAnsi="Times New Roman"/>
              </w:rPr>
              <w:t xml:space="preserve">) was designed and effectively validated for selective detection of Aβ (1-42) in the human CSF with sensitivity down to </w:t>
            </w:r>
            <w:proofErr w:type="spellStart"/>
            <w:r w:rsidRPr="008A2076">
              <w:rPr>
                <w:rFonts w:ascii="Times New Roman" w:hAnsi="Times New Roman"/>
              </w:rPr>
              <w:t>pg</w:t>
            </w:r>
            <w:proofErr w:type="spellEnd"/>
            <w:r w:rsidRPr="008A2076">
              <w:rPr>
                <w:rFonts w:ascii="Times New Roman" w:hAnsi="Times New Roman"/>
              </w:rPr>
              <w:t>/</w:t>
            </w:r>
            <w:proofErr w:type="spellStart"/>
            <w:r w:rsidRPr="008A2076">
              <w:rPr>
                <w:rFonts w:ascii="Times New Roman" w:hAnsi="Times New Roman"/>
              </w:rPr>
              <w:t>mL.</w:t>
            </w:r>
            <w:proofErr w:type="spellEnd"/>
            <w:r>
              <w:t xml:space="preserve"> </w:t>
            </w:r>
            <w:r w:rsidRPr="00E928C0">
              <w:rPr>
                <w:rFonts w:ascii="Times New Roman" w:hAnsi="Times New Roman"/>
              </w:rPr>
              <w:t>CSF collection takes time and poses a danger to patients. According to the study, A</w:t>
            </w:r>
            <w:r>
              <w:rPr>
                <w:rFonts w:ascii="Times New Roman" w:hAnsi="Times New Roman"/>
              </w:rPr>
              <w:t>β</w:t>
            </w:r>
            <w:r w:rsidRPr="00E928C0">
              <w:rPr>
                <w:rFonts w:ascii="Times New Roman" w:hAnsi="Times New Roman"/>
              </w:rPr>
              <w:t xml:space="preserve"> 42 oligomers </w:t>
            </w:r>
            <w:r>
              <w:rPr>
                <w:rFonts w:ascii="Times New Roman" w:hAnsi="Times New Roman"/>
              </w:rPr>
              <w:t xml:space="preserve">were </w:t>
            </w:r>
            <w:r w:rsidRPr="00E928C0">
              <w:rPr>
                <w:rFonts w:ascii="Times New Roman" w:hAnsi="Times New Roman"/>
              </w:rPr>
              <w:t>collected in the brain. As a result, the amount of A</w:t>
            </w:r>
            <w:r>
              <w:rPr>
                <w:rFonts w:ascii="Times New Roman" w:hAnsi="Times New Roman"/>
              </w:rPr>
              <w:t>β</w:t>
            </w:r>
            <w:r w:rsidRPr="00E928C0">
              <w:rPr>
                <w:rFonts w:ascii="Times New Roman" w:hAnsi="Times New Roman"/>
              </w:rPr>
              <w:t xml:space="preserve"> 42 in other body fluids </w:t>
            </w:r>
            <w:proofErr w:type="gramStart"/>
            <w:r w:rsidRPr="00E928C0">
              <w:rPr>
                <w:rFonts w:ascii="Times New Roman" w:hAnsi="Times New Roman"/>
              </w:rPr>
              <w:t>is decreased</w:t>
            </w:r>
            <w:proofErr w:type="gramEnd"/>
            <w:r w:rsidRPr="00E928C0">
              <w:rPr>
                <w:rFonts w:ascii="Times New Roman" w:hAnsi="Times New Roman"/>
              </w:rPr>
              <w:t xml:space="preserve"> in AD patients. Our study aims to detect A</w:t>
            </w:r>
            <w:r>
              <w:rPr>
                <w:rFonts w:ascii="Times New Roman" w:hAnsi="Times New Roman"/>
              </w:rPr>
              <w:t>β</w:t>
            </w:r>
            <w:r w:rsidRPr="00E928C0">
              <w:rPr>
                <w:rFonts w:ascii="Times New Roman" w:hAnsi="Times New Roman"/>
              </w:rPr>
              <w:t xml:space="preserve"> 42 at concentrations of 2</w:t>
            </w:r>
            <w:r>
              <w:rPr>
                <w:rFonts w:ascii="Times New Roman" w:hAnsi="Times New Roman"/>
              </w:rPr>
              <w:t>µ</w:t>
            </w:r>
            <w:r w:rsidRPr="00E928C0">
              <w:rPr>
                <w:rFonts w:ascii="Times New Roman" w:hAnsi="Times New Roman"/>
              </w:rPr>
              <w:t>g/ml, which are feasible in perspiration, saliva, and blood.</w:t>
            </w:r>
          </w:p>
        </w:tc>
      </w:tr>
      <w:tr w:rsidR="00242204" w14:paraId="469AFC24" w14:textId="77777777" w:rsidTr="00F103AC">
        <w:trPr>
          <w:trHeight w:val="877"/>
          <w:jc w:val="center"/>
        </w:trPr>
        <w:tc>
          <w:tcPr>
            <w:tcW w:w="2689" w:type="dxa"/>
          </w:tcPr>
          <w:p w14:paraId="58D3985C" w14:textId="7302B1C8" w:rsidR="00242204" w:rsidRPr="00A10E17" w:rsidRDefault="00242204" w:rsidP="00F103AC">
            <w:pPr>
              <w:jc w:val="both"/>
              <w:rPr>
                <w:rFonts w:ascii="Times New Roman" w:hAnsi="Times New Roman"/>
                <w:vertAlign w:val="superscript"/>
              </w:rPr>
            </w:pPr>
            <w:r w:rsidRPr="0087205D">
              <w:rPr>
                <w:rFonts w:ascii="Times New Roman" w:hAnsi="Times New Roman"/>
              </w:rPr>
              <w:lastRenderedPageBreak/>
              <w:t xml:space="preserve">Fluorescent peptide nanoparticles may identify </w:t>
            </w:r>
            <w:r>
              <w:rPr>
                <w:rFonts w:ascii="Times New Roman" w:hAnsi="Times New Roman"/>
              </w:rPr>
              <w:t xml:space="preserve">Aβ </w:t>
            </w:r>
            <w:r w:rsidRPr="0087205D">
              <w:rPr>
                <w:rFonts w:ascii="Times New Roman" w:hAnsi="Times New Roman"/>
              </w:rPr>
              <w:t xml:space="preserve">aggregation in </w:t>
            </w:r>
            <w:r>
              <w:rPr>
                <w:rFonts w:ascii="Times New Roman" w:hAnsi="Times New Roman"/>
              </w:rPr>
              <w:t>CSF</w:t>
            </w:r>
            <w:r w:rsidRPr="0087205D">
              <w:rPr>
                <w:rFonts w:ascii="Times New Roman" w:hAnsi="Times New Roman"/>
              </w:rPr>
              <w:t xml:space="preserve"> and serum to diagnose and monitor Alzheimer's disease development.</w:t>
            </w:r>
            <w:r w:rsidR="00914F8D">
              <w:rPr>
                <w:rFonts w:ascii="Times New Roman" w:hAnsi="Times New Roman"/>
                <w:vertAlign w:val="superscript"/>
              </w:rPr>
              <w:t>3</w:t>
            </w:r>
          </w:p>
        </w:tc>
        <w:tc>
          <w:tcPr>
            <w:tcW w:w="6469" w:type="dxa"/>
          </w:tcPr>
          <w:p w14:paraId="4888E3E1" w14:textId="77777777" w:rsidR="00242204" w:rsidRDefault="00242204" w:rsidP="00F103AC">
            <w:pPr>
              <w:jc w:val="both"/>
              <w:rPr>
                <w:rFonts w:ascii="Times New Roman" w:hAnsi="Times New Roman"/>
              </w:rPr>
            </w:pPr>
            <w:r w:rsidRPr="00E928C0">
              <w:rPr>
                <w:rFonts w:ascii="Times New Roman" w:hAnsi="Times New Roman"/>
              </w:rPr>
              <w:t>Researchers used fluorescent cyclic peptide nanoparticles (c-PNPs) to detect Aβ aggregates in CSF and serum samples from healthy individuals and Alzheimer's patients at various stages of the illness.</w:t>
            </w:r>
            <w:r>
              <w:t xml:space="preserve"> </w:t>
            </w:r>
            <w:r w:rsidRPr="0087205D">
              <w:rPr>
                <w:rFonts w:ascii="Times New Roman" w:hAnsi="Times New Roman"/>
              </w:rPr>
              <w:t>In our technique, we use a bifunctional fluorescent/Raman nanoprobe to detect A</w:t>
            </w:r>
            <w:r>
              <w:rPr>
                <w:rFonts w:ascii="Times New Roman" w:hAnsi="Times New Roman"/>
              </w:rPr>
              <w:t>β</w:t>
            </w:r>
            <w:r w:rsidRPr="0087205D">
              <w:rPr>
                <w:rFonts w:ascii="Times New Roman" w:hAnsi="Times New Roman"/>
              </w:rPr>
              <w:t xml:space="preserve"> 42. In addition to this experimental study, we have also validated that the A</w:t>
            </w:r>
            <w:r>
              <w:rPr>
                <w:rFonts w:ascii="Times New Roman" w:hAnsi="Times New Roman"/>
              </w:rPr>
              <w:t>β</w:t>
            </w:r>
            <w:r w:rsidRPr="0087205D">
              <w:rPr>
                <w:rFonts w:ascii="Times New Roman" w:hAnsi="Times New Roman"/>
              </w:rPr>
              <w:t xml:space="preserve"> aggregates following interaction with arginine and tyrosine </w:t>
            </w:r>
            <w:r>
              <w:rPr>
                <w:rFonts w:ascii="Times New Roman" w:hAnsi="Times New Roman"/>
              </w:rPr>
              <w:t xml:space="preserve">were </w:t>
            </w:r>
            <w:r w:rsidRPr="0087205D">
              <w:rPr>
                <w:rFonts w:ascii="Times New Roman" w:hAnsi="Times New Roman"/>
              </w:rPr>
              <w:t>examined using molecular docking analysis.</w:t>
            </w:r>
          </w:p>
        </w:tc>
      </w:tr>
      <w:tr w:rsidR="00242204" w14:paraId="346804D5" w14:textId="77777777" w:rsidTr="00F103AC">
        <w:trPr>
          <w:trHeight w:val="1300"/>
          <w:jc w:val="center"/>
        </w:trPr>
        <w:tc>
          <w:tcPr>
            <w:tcW w:w="2689" w:type="dxa"/>
          </w:tcPr>
          <w:p w14:paraId="42C7BCE8" w14:textId="08478FCD" w:rsidR="00242204" w:rsidRDefault="00242204" w:rsidP="00F103AC">
            <w:pPr>
              <w:jc w:val="both"/>
              <w:rPr>
                <w:rFonts w:ascii="Times New Roman" w:hAnsi="Times New Roman"/>
              </w:rPr>
            </w:pPr>
            <w:r w:rsidRPr="00F85765">
              <w:rPr>
                <w:rFonts w:ascii="Times New Roman" w:hAnsi="Times New Roman"/>
              </w:rPr>
              <w:t>Using All-Atom Molecular Dynamics, investigat</w:t>
            </w:r>
            <w:r>
              <w:rPr>
                <w:rFonts w:ascii="Times New Roman" w:hAnsi="Times New Roman"/>
              </w:rPr>
              <w:t xml:space="preserve">ion of </w:t>
            </w:r>
            <w:r w:rsidRPr="00F85765">
              <w:rPr>
                <w:rFonts w:ascii="Times New Roman" w:hAnsi="Times New Roman"/>
              </w:rPr>
              <w:t>how Au Nanoparticles inhibit the aggregation of Amyloid-β</w:t>
            </w:r>
            <w:r>
              <w:rPr>
                <w:rFonts w:ascii="Times New Roman" w:hAnsi="Times New Roman"/>
              </w:rPr>
              <w:t xml:space="preserve"> </w:t>
            </w:r>
            <w:r w:rsidRPr="00F85765">
              <w:rPr>
                <w:rFonts w:ascii="Times New Roman" w:hAnsi="Times New Roman"/>
              </w:rPr>
              <w:t>(16-22) Peptides at the atomic level.</w:t>
            </w:r>
            <w:r w:rsidR="00914F8D">
              <w:rPr>
                <w:rFonts w:ascii="Times New Roman" w:hAnsi="Times New Roman"/>
                <w:vertAlign w:val="superscript"/>
              </w:rPr>
              <w:t>4</w:t>
            </w:r>
          </w:p>
        </w:tc>
        <w:tc>
          <w:tcPr>
            <w:tcW w:w="6469" w:type="dxa"/>
          </w:tcPr>
          <w:p w14:paraId="03A6E33B" w14:textId="77777777" w:rsidR="00242204" w:rsidRDefault="00242204" w:rsidP="00F103AC">
            <w:pPr>
              <w:jc w:val="both"/>
              <w:rPr>
                <w:rFonts w:ascii="Times New Roman" w:hAnsi="Times New Roman"/>
              </w:rPr>
            </w:pPr>
            <w:r>
              <w:rPr>
                <w:rFonts w:ascii="Times New Roman" w:hAnsi="Times New Roman"/>
              </w:rPr>
              <w:t>Here a</w:t>
            </w:r>
            <w:r w:rsidRPr="00F85765">
              <w:rPr>
                <w:rFonts w:ascii="Times New Roman" w:hAnsi="Times New Roman"/>
              </w:rPr>
              <w:t>dding AuNPs to Aβ</w:t>
            </w:r>
            <w:r>
              <w:rPr>
                <w:rFonts w:ascii="Times New Roman" w:hAnsi="Times New Roman"/>
              </w:rPr>
              <w:t xml:space="preserve"> </w:t>
            </w:r>
            <w:r w:rsidRPr="00F85765">
              <w:rPr>
                <w:rFonts w:ascii="Times New Roman" w:hAnsi="Times New Roman"/>
              </w:rPr>
              <w:t>(16-22) solution inhibits β-sheet formation, which is dependent on the concentration of Aβ</w:t>
            </w:r>
            <w:r>
              <w:rPr>
                <w:rFonts w:ascii="Times New Roman" w:hAnsi="Times New Roman"/>
              </w:rPr>
              <w:t xml:space="preserve"> </w:t>
            </w:r>
            <w:r w:rsidRPr="00F85765">
              <w:rPr>
                <w:rFonts w:ascii="Times New Roman" w:hAnsi="Times New Roman"/>
              </w:rPr>
              <w:t xml:space="preserve">(16-22) peptides. The study </w:t>
            </w:r>
            <w:r>
              <w:rPr>
                <w:rFonts w:ascii="Times New Roman" w:hAnsi="Times New Roman"/>
              </w:rPr>
              <w:t>analyzed</w:t>
            </w:r>
            <w:r w:rsidRPr="00F85765">
              <w:rPr>
                <w:rFonts w:ascii="Times New Roman" w:hAnsi="Times New Roman"/>
              </w:rPr>
              <w:t xml:space="preserve"> the architectures of Aβ</w:t>
            </w:r>
            <w:r>
              <w:rPr>
                <w:rFonts w:ascii="Times New Roman" w:hAnsi="Times New Roman"/>
              </w:rPr>
              <w:t xml:space="preserve"> </w:t>
            </w:r>
            <w:r w:rsidRPr="00F85765">
              <w:rPr>
                <w:rFonts w:ascii="Times New Roman" w:hAnsi="Times New Roman"/>
              </w:rPr>
              <w:t>(16-22) peptides at varied concentrations in the presence and absence of AuNPs. This provides theoretical insights for developing therapeutic candidates for Alzheimer's disease.</w:t>
            </w:r>
            <w:r>
              <w:t xml:space="preserve"> </w:t>
            </w:r>
            <w:r w:rsidRPr="00A10E17">
              <w:rPr>
                <w:rFonts w:ascii="Times New Roman" w:hAnsi="Times New Roman"/>
              </w:rPr>
              <w:t>Our study signifies the Aβ 42 as a biomarker considering its full polypeptide chain (1-42) and the author also studied nanoprobe application on mice model in their previous study.</w:t>
            </w:r>
            <w:r w:rsidRPr="00A10E17">
              <w:rPr>
                <w:rFonts w:ascii="Times New Roman" w:hAnsi="Times New Roman"/>
                <w:vertAlign w:val="superscript"/>
              </w:rPr>
              <w:t>44</w:t>
            </w:r>
          </w:p>
        </w:tc>
      </w:tr>
    </w:tbl>
    <w:p w14:paraId="603BF570" w14:textId="77777777" w:rsidR="002B6493" w:rsidRDefault="002B6493"/>
    <w:p w14:paraId="0F8CE35D" w14:textId="16EF1195" w:rsidR="00914F8D" w:rsidRDefault="00914F8D">
      <w:r>
        <w:t>References:</w:t>
      </w:r>
    </w:p>
    <w:p w14:paraId="77A34E67" w14:textId="77777777" w:rsidR="00914F8D" w:rsidRDefault="00914F8D" w:rsidP="00914F8D">
      <w:pPr>
        <w:widowControl w:val="0"/>
        <w:numPr>
          <w:ilvl w:val="0"/>
          <w:numId w:val="1"/>
        </w:numPr>
        <w:jc w:val="both"/>
        <w:rPr>
          <w:rFonts w:cs="Arial"/>
        </w:rPr>
      </w:pPr>
      <w:r w:rsidRPr="00324D34">
        <w:rPr>
          <w:rFonts w:cs="Arial"/>
        </w:rPr>
        <w:t xml:space="preserve">Phan LM, Cho S. </w:t>
      </w:r>
      <w:proofErr w:type="gramStart"/>
      <w:r w:rsidRPr="00324D34">
        <w:rPr>
          <w:rFonts w:cs="Arial"/>
        </w:rPr>
        <w:t>A</w:t>
      </w:r>
      <w:proofErr w:type="gramEnd"/>
      <w:r w:rsidRPr="00324D34">
        <w:rPr>
          <w:rFonts w:cs="Arial"/>
        </w:rPr>
        <w:t xml:space="preserve"> Multi-Chamber Paper-Based Platform for the Detection of Amyloid β Oligomers 42 via Copper-Enhanced Gold Immunoblotting. </w:t>
      </w:r>
      <w:r w:rsidRPr="00324D34">
        <w:rPr>
          <w:rFonts w:cs="Arial"/>
          <w:i/>
          <w:iCs/>
        </w:rPr>
        <w:t>Biomolecules</w:t>
      </w:r>
      <w:r w:rsidRPr="00324D34">
        <w:rPr>
          <w:rFonts w:cs="Arial"/>
        </w:rPr>
        <w:t xml:space="preserve"> 2021;11(7):948.</w:t>
      </w:r>
    </w:p>
    <w:p w14:paraId="4F03C2D9" w14:textId="77777777" w:rsidR="00914F8D" w:rsidRDefault="00914F8D" w:rsidP="00914F8D">
      <w:pPr>
        <w:widowControl w:val="0"/>
        <w:numPr>
          <w:ilvl w:val="0"/>
          <w:numId w:val="1"/>
        </w:numPr>
        <w:jc w:val="both"/>
        <w:rPr>
          <w:rFonts w:cs="Arial"/>
        </w:rPr>
      </w:pPr>
      <w:r w:rsidRPr="00324D34">
        <w:rPr>
          <w:rFonts w:cs="Arial"/>
        </w:rPr>
        <w:t xml:space="preserve">Caterina D, Elena L, Andrea T, Valentina B, Silvia B, Benedetta N, Caterina </w:t>
      </w:r>
      <w:proofErr w:type="spellStart"/>
      <w:proofErr w:type="gramStart"/>
      <w:r w:rsidRPr="00324D34">
        <w:rPr>
          <w:rFonts w:cs="Arial"/>
        </w:rPr>
        <w:t>C,Francesco</w:t>
      </w:r>
      <w:proofErr w:type="spellEnd"/>
      <w:proofErr w:type="gramEnd"/>
      <w:r w:rsidRPr="00324D34">
        <w:rPr>
          <w:rFonts w:cs="Arial"/>
        </w:rPr>
        <w:t xml:space="preserve"> SP</w:t>
      </w:r>
      <w:r>
        <w:rPr>
          <w:rFonts w:cs="Arial"/>
        </w:rPr>
        <w:t>.</w:t>
      </w:r>
      <w:r w:rsidRPr="00324D34">
        <w:rPr>
          <w:rFonts w:cs="Arial"/>
        </w:rPr>
        <w:t xml:space="preserve"> Multilayered </w:t>
      </w:r>
      <w:proofErr w:type="spellStart"/>
      <w:r w:rsidRPr="00324D34">
        <w:rPr>
          <w:rFonts w:cs="Arial"/>
        </w:rPr>
        <w:t>Bioorthogonal</w:t>
      </w:r>
      <w:proofErr w:type="spellEnd"/>
      <w:r w:rsidRPr="00324D34">
        <w:rPr>
          <w:rFonts w:cs="Arial"/>
        </w:rPr>
        <w:t xml:space="preserve"> SERS Nanoprobes Selectively Aggregating in Human Fluids: A Smart Optical Assay for β-Amyloid Peptide Quantification. </w:t>
      </w:r>
      <w:r w:rsidRPr="00324D34">
        <w:rPr>
          <w:rFonts w:cs="Arial"/>
          <w:i/>
          <w:iCs/>
        </w:rPr>
        <w:t>ACS Sensors</w:t>
      </w:r>
      <w:r w:rsidRPr="00324D34">
        <w:rPr>
          <w:rFonts w:cs="Arial"/>
        </w:rPr>
        <w:t xml:space="preserve"> 2023</w:t>
      </w:r>
      <w:r>
        <w:rPr>
          <w:rFonts w:cs="Arial"/>
        </w:rPr>
        <w:t>;</w:t>
      </w:r>
      <w:r w:rsidRPr="00324D34">
        <w:rPr>
          <w:rFonts w:cs="Arial"/>
        </w:rPr>
        <w:t>8 (10)</w:t>
      </w:r>
      <w:r>
        <w:rPr>
          <w:rFonts w:cs="Arial"/>
        </w:rPr>
        <w:t>:</w:t>
      </w:r>
      <w:r w:rsidRPr="00324D34">
        <w:rPr>
          <w:rFonts w:cs="Arial"/>
        </w:rPr>
        <w:t>3693-3700</w:t>
      </w:r>
      <w:r>
        <w:rPr>
          <w:rFonts w:cs="Arial"/>
        </w:rPr>
        <w:t>.</w:t>
      </w:r>
    </w:p>
    <w:p w14:paraId="5E56DB5E" w14:textId="77777777" w:rsidR="00914F8D" w:rsidRDefault="00914F8D" w:rsidP="00914F8D">
      <w:pPr>
        <w:widowControl w:val="0"/>
        <w:numPr>
          <w:ilvl w:val="0"/>
          <w:numId w:val="1"/>
        </w:numPr>
        <w:jc w:val="both"/>
        <w:rPr>
          <w:rFonts w:cs="Arial"/>
        </w:rPr>
      </w:pPr>
      <w:r w:rsidRPr="00C318B7">
        <w:rPr>
          <w:rFonts w:cs="Arial"/>
        </w:rPr>
        <w:t xml:space="preserve">Leming S, </w:t>
      </w:r>
      <w:proofErr w:type="spellStart"/>
      <w:r w:rsidRPr="00C318B7">
        <w:rPr>
          <w:rFonts w:cs="Arial"/>
        </w:rPr>
        <w:t>Dingchang</w:t>
      </w:r>
      <w:proofErr w:type="spellEnd"/>
      <w:r w:rsidRPr="00C318B7">
        <w:rPr>
          <w:rFonts w:cs="Arial"/>
        </w:rPr>
        <w:t xml:space="preserve"> L, </w:t>
      </w:r>
      <w:proofErr w:type="spellStart"/>
      <w:r w:rsidRPr="00C318B7">
        <w:rPr>
          <w:rFonts w:cs="Arial"/>
        </w:rPr>
        <w:t>Dongjie</w:t>
      </w:r>
      <w:proofErr w:type="spellEnd"/>
      <w:r w:rsidRPr="00C318B7">
        <w:rPr>
          <w:rFonts w:cs="Arial"/>
        </w:rPr>
        <w:t xml:space="preserve"> F, Tao Y, Douglas S, </w:t>
      </w:r>
      <w:proofErr w:type="spellStart"/>
      <w:r w:rsidRPr="00C318B7">
        <w:rPr>
          <w:rFonts w:cs="Arial"/>
        </w:rPr>
        <w:t>Lianbing</w:t>
      </w:r>
      <w:proofErr w:type="spellEnd"/>
      <w:r w:rsidRPr="00C318B7">
        <w:rPr>
          <w:rFonts w:cs="Arial"/>
        </w:rPr>
        <w:t xml:space="preserve"> Z</w:t>
      </w:r>
      <w:r>
        <w:rPr>
          <w:rFonts w:cs="Arial"/>
        </w:rPr>
        <w:t>.</w:t>
      </w:r>
      <w:r w:rsidRPr="00C318B7">
        <w:rPr>
          <w:rFonts w:cs="Arial"/>
        </w:rPr>
        <w:t xml:space="preserve"> Fluorescent peptide nanoparticles to detect amyloid-beta aggregation in cerebrospinal fluid and serum for Alzheimer’s disease diagnosis and progression monitoring </w:t>
      </w:r>
      <w:r w:rsidRPr="00C318B7">
        <w:rPr>
          <w:rFonts w:cs="Arial"/>
          <w:i/>
          <w:iCs/>
        </w:rPr>
        <w:t>Chemical Engineering Journal</w:t>
      </w:r>
      <w:r w:rsidRPr="00C318B7">
        <w:rPr>
          <w:rFonts w:cs="Arial"/>
        </w:rPr>
        <w:t xml:space="preserve">, </w:t>
      </w:r>
      <w:r>
        <w:rPr>
          <w:rFonts w:cs="Arial"/>
        </w:rPr>
        <w:t>2021;</w:t>
      </w:r>
      <w:r w:rsidRPr="00C318B7">
        <w:rPr>
          <w:rFonts w:cs="Arial"/>
        </w:rPr>
        <w:t xml:space="preserve"> 405</w:t>
      </w:r>
      <w:r>
        <w:rPr>
          <w:rFonts w:cs="Arial"/>
        </w:rPr>
        <w:t xml:space="preserve">: </w:t>
      </w:r>
      <w:r w:rsidRPr="00C318B7">
        <w:rPr>
          <w:rFonts w:cs="Arial"/>
        </w:rPr>
        <w:t>126733</w:t>
      </w:r>
      <w:r>
        <w:rPr>
          <w:rFonts w:cs="Arial"/>
        </w:rPr>
        <w:t>.</w:t>
      </w:r>
    </w:p>
    <w:p w14:paraId="7E846A00" w14:textId="4A03F0B7" w:rsidR="00914F8D" w:rsidRDefault="00914F8D" w:rsidP="00AA38C4">
      <w:pPr>
        <w:pStyle w:val="ListParagraph"/>
        <w:numPr>
          <w:ilvl w:val="0"/>
          <w:numId w:val="1"/>
        </w:numPr>
      </w:pPr>
      <w:r w:rsidRPr="00F24AAD">
        <w:rPr>
          <w:rFonts w:cs="Arial"/>
        </w:rPr>
        <w:t xml:space="preserve">Song M, Sun Y, Luo Y, Zhu Y, Liu Y, Li H. Exploring the Mechanism of Inhibition of Au Nanoparticles on the Aggregation of Amyloid-β (16-22) Peptides at the Atom Level by All-Atom Molecular Dynamics. </w:t>
      </w:r>
      <w:r w:rsidRPr="00F24AAD">
        <w:rPr>
          <w:rFonts w:cs="Arial"/>
          <w:i/>
          <w:iCs/>
        </w:rPr>
        <w:t>Int J Mol Sci.</w:t>
      </w:r>
      <w:r w:rsidRPr="00F24AAD">
        <w:rPr>
          <w:rFonts w:cs="Arial"/>
        </w:rPr>
        <w:t xml:space="preserve"> 2018;19(6):1815.</w:t>
      </w:r>
    </w:p>
    <w:sectPr w:rsidR="00914F8D">
      <w:footerReference w:type="even" r:id="rId9"/>
      <w:footerReference w:type="default" r:id="rId10"/>
      <w:foot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32A27" w14:textId="77777777" w:rsidR="00274869" w:rsidRDefault="00274869" w:rsidP="003650D2">
      <w:pPr>
        <w:spacing w:line="240" w:lineRule="auto"/>
      </w:pPr>
      <w:r>
        <w:separator/>
      </w:r>
    </w:p>
  </w:endnote>
  <w:endnote w:type="continuationSeparator" w:id="0">
    <w:p w14:paraId="166907D5" w14:textId="77777777" w:rsidR="00274869" w:rsidRDefault="00274869" w:rsidP="003650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DE46" w14:textId="3DB62BBF" w:rsidR="003650D2" w:rsidRDefault="003650D2">
    <w:pPr>
      <w:pStyle w:val="Footer"/>
    </w:pPr>
    <w:r>
      <w:rPr>
        <w:noProof/>
        <w14:ligatures w14:val="standardContextual"/>
      </w:rPr>
      <mc:AlternateContent>
        <mc:Choice Requires="wps">
          <w:drawing>
            <wp:anchor distT="0" distB="0" distL="0" distR="0" simplePos="0" relativeHeight="251659264" behindDoc="0" locked="0" layoutInCell="1" allowOverlap="1" wp14:anchorId="10B90E30" wp14:editId="3E1F91AC">
              <wp:simplePos x="635" y="635"/>
              <wp:positionH relativeFrom="page">
                <wp:align>left</wp:align>
              </wp:positionH>
              <wp:positionV relativeFrom="page">
                <wp:align>bottom</wp:align>
              </wp:positionV>
              <wp:extent cx="443865" cy="443865"/>
              <wp:effectExtent l="0" t="0" r="9525" b="0"/>
              <wp:wrapNone/>
              <wp:docPr id="2136738203"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940990" w14:textId="5C3FB09A" w:rsidR="003650D2" w:rsidRPr="003650D2" w:rsidRDefault="003650D2" w:rsidP="003650D2">
                          <w:pPr>
                            <w:rPr>
                              <w:rFonts w:ascii="Rockwell" w:eastAsia="Rockwell" w:hAnsi="Rockwell" w:cs="Rockwell"/>
                              <w:noProof/>
                              <w:color w:val="0078D7"/>
                              <w:sz w:val="18"/>
                              <w:szCs w:val="18"/>
                            </w:rPr>
                          </w:pPr>
                          <w:r w:rsidRPr="003650D2">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0B90E30"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3A940990" w14:textId="5C3FB09A" w:rsidR="003650D2" w:rsidRPr="003650D2" w:rsidRDefault="003650D2" w:rsidP="003650D2">
                    <w:pPr>
                      <w:rPr>
                        <w:rFonts w:ascii="Rockwell" w:eastAsia="Rockwell" w:hAnsi="Rockwell" w:cs="Rockwell"/>
                        <w:noProof/>
                        <w:color w:val="0078D7"/>
                        <w:sz w:val="18"/>
                        <w:szCs w:val="18"/>
                      </w:rPr>
                    </w:pPr>
                    <w:r w:rsidRPr="003650D2">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2EE9E" w14:textId="79C82306" w:rsidR="003650D2" w:rsidRDefault="003650D2">
    <w:pPr>
      <w:pStyle w:val="Footer"/>
    </w:pPr>
    <w:r>
      <w:rPr>
        <w:noProof/>
        <w14:ligatures w14:val="standardContextual"/>
      </w:rPr>
      <mc:AlternateContent>
        <mc:Choice Requires="wps">
          <w:drawing>
            <wp:anchor distT="0" distB="0" distL="0" distR="0" simplePos="0" relativeHeight="251660288" behindDoc="0" locked="0" layoutInCell="1" allowOverlap="1" wp14:anchorId="0DF4A5ED" wp14:editId="77B2AA63">
              <wp:simplePos x="914400" y="10099964"/>
              <wp:positionH relativeFrom="page">
                <wp:align>left</wp:align>
              </wp:positionH>
              <wp:positionV relativeFrom="page">
                <wp:align>bottom</wp:align>
              </wp:positionV>
              <wp:extent cx="443865" cy="443865"/>
              <wp:effectExtent l="0" t="0" r="9525" b="0"/>
              <wp:wrapNone/>
              <wp:docPr id="1547959782"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F0FF85" w14:textId="748771F9" w:rsidR="003650D2" w:rsidRPr="003650D2" w:rsidRDefault="003650D2" w:rsidP="003650D2">
                          <w:pPr>
                            <w:rPr>
                              <w:rFonts w:ascii="Rockwell" w:eastAsia="Rockwell" w:hAnsi="Rockwell" w:cs="Rockwell"/>
                              <w:noProof/>
                              <w:color w:val="0078D7"/>
                              <w:sz w:val="18"/>
                              <w:szCs w:val="18"/>
                            </w:rPr>
                          </w:pPr>
                          <w:r w:rsidRPr="003650D2">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F4A5ED"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6CF0FF85" w14:textId="748771F9" w:rsidR="003650D2" w:rsidRPr="003650D2" w:rsidRDefault="003650D2" w:rsidP="003650D2">
                    <w:pPr>
                      <w:rPr>
                        <w:rFonts w:ascii="Rockwell" w:eastAsia="Rockwell" w:hAnsi="Rockwell" w:cs="Rockwell"/>
                        <w:noProof/>
                        <w:color w:val="0078D7"/>
                        <w:sz w:val="18"/>
                        <w:szCs w:val="18"/>
                      </w:rPr>
                    </w:pPr>
                    <w:r w:rsidRPr="003650D2">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0191" w14:textId="72647789" w:rsidR="003650D2" w:rsidRDefault="003650D2">
    <w:pPr>
      <w:pStyle w:val="Footer"/>
    </w:pPr>
    <w:r>
      <w:rPr>
        <w:noProof/>
        <w14:ligatures w14:val="standardContextual"/>
      </w:rPr>
      <mc:AlternateContent>
        <mc:Choice Requires="wps">
          <w:drawing>
            <wp:anchor distT="0" distB="0" distL="0" distR="0" simplePos="0" relativeHeight="251658240" behindDoc="0" locked="0" layoutInCell="1" allowOverlap="1" wp14:anchorId="134ABE54" wp14:editId="13EA461B">
              <wp:simplePos x="635" y="635"/>
              <wp:positionH relativeFrom="page">
                <wp:align>left</wp:align>
              </wp:positionH>
              <wp:positionV relativeFrom="page">
                <wp:align>bottom</wp:align>
              </wp:positionV>
              <wp:extent cx="443865" cy="443865"/>
              <wp:effectExtent l="0" t="0" r="9525" b="0"/>
              <wp:wrapNone/>
              <wp:docPr id="939618826"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FB8FC9" w14:textId="10C7D250" w:rsidR="003650D2" w:rsidRPr="003650D2" w:rsidRDefault="003650D2" w:rsidP="003650D2">
                          <w:pPr>
                            <w:rPr>
                              <w:rFonts w:ascii="Rockwell" w:eastAsia="Rockwell" w:hAnsi="Rockwell" w:cs="Rockwell"/>
                              <w:noProof/>
                              <w:color w:val="0078D7"/>
                              <w:sz w:val="18"/>
                              <w:szCs w:val="18"/>
                            </w:rPr>
                          </w:pPr>
                          <w:r w:rsidRPr="003650D2">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34ABE54"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1FFB8FC9" w14:textId="10C7D250" w:rsidR="003650D2" w:rsidRPr="003650D2" w:rsidRDefault="003650D2" w:rsidP="003650D2">
                    <w:pPr>
                      <w:rPr>
                        <w:rFonts w:ascii="Rockwell" w:eastAsia="Rockwell" w:hAnsi="Rockwell" w:cs="Rockwell"/>
                        <w:noProof/>
                        <w:color w:val="0078D7"/>
                        <w:sz w:val="18"/>
                        <w:szCs w:val="18"/>
                      </w:rPr>
                    </w:pPr>
                    <w:r w:rsidRPr="003650D2">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C2261" w14:textId="77777777" w:rsidR="00274869" w:rsidRDefault="00274869" w:rsidP="003650D2">
      <w:pPr>
        <w:spacing w:line="240" w:lineRule="auto"/>
      </w:pPr>
      <w:r>
        <w:separator/>
      </w:r>
    </w:p>
  </w:footnote>
  <w:footnote w:type="continuationSeparator" w:id="0">
    <w:p w14:paraId="5E4D3BBF" w14:textId="77777777" w:rsidR="00274869" w:rsidRDefault="00274869" w:rsidP="003650D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E03DA"/>
    <w:multiLevelType w:val="hybridMultilevel"/>
    <w:tmpl w:val="6DC0CA80"/>
    <w:lvl w:ilvl="0" w:tplc="4D426D9E">
      <w:start w:val="1"/>
      <w:numFmt w:val="decimal"/>
      <w:lvlText w:val="%1."/>
      <w:lvlJc w:val="left"/>
      <w:pPr>
        <w:tabs>
          <w:tab w:val="num" w:pos="720"/>
        </w:tabs>
        <w:ind w:left="720" w:hanging="360"/>
      </w:pPr>
      <w:rPr>
        <w:rFonts w:hint="default"/>
      </w:rPr>
    </w:lvl>
    <w:lvl w:ilvl="1" w:tplc="B25A93C6" w:tentative="1">
      <w:start w:val="1"/>
      <w:numFmt w:val="lowerLetter"/>
      <w:lvlText w:val="%2."/>
      <w:lvlJc w:val="left"/>
      <w:pPr>
        <w:tabs>
          <w:tab w:val="num" w:pos="1440"/>
        </w:tabs>
        <w:ind w:left="1440" w:hanging="360"/>
      </w:pPr>
    </w:lvl>
    <w:lvl w:ilvl="2" w:tplc="9CAC1DC0" w:tentative="1">
      <w:start w:val="1"/>
      <w:numFmt w:val="lowerRoman"/>
      <w:lvlText w:val="%3."/>
      <w:lvlJc w:val="right"/>
      <w:pPr>
        <w:tabs>
          <w:tab w:val="num" w:pos="2160"/>
        </w:tabs>
        <w:ind w:left="2160" w:hanging="180"/>
      </w:pPr>
    </w:lvl>
    <w:lvl w:ilvl="3" w:tplc="95D45DA4" w:tentative="1">
      <w:start w:val="1"/>
      <w:numFmt w:val="decimal"/>
      <w:lvlText w:val="%4."/>
      <w:lvlJc w:val="left"/>
      <w:pPr>
        <w:tabs>
          <w:tab w:val="num" w:pos="2880"/>
        </w:tabs>
        <w:ind w:left="2880" w:hanging="360"/>
      </w:pPr>
    </w:lvl>
    <w:lvl w:ilvl="4" w:tplc="E34EAA42" w:tentative="1">
      <w:start w:val="1"/>
      <w:numFmt w:val="lowerLetter"/>
      <w:lvlText w:val="%5."/>
      <w:lvlJc w:val="left"/>
      <w:pPr>
        <w:tabs>
          <w:tab w:val="num" w:pos="3600"/>
        </w:tabs>
        <w:ind w:left="3600" w:hanging="360"/>
      </w:pPr>
    </w:lvl>
    <w:lvl w:ilvl="5" w:tplc="1E4A48F6" w:tentative="1">
      <w:start w:val="1"/>
      <w:numFmt w:val="lowerRoman"/>
      <w:lvlText w:val="%6."/>
      <w:lvlJc w:val="right"/>
      <w:pPr>
        <w:tabs>
          <w:tab w:val="num" w:pos="4320"/>
        </w:tabs>
        <w:ind w:left="4320" w:hanging="180"/>
      </w:pPr>
    </w:lvl>
    <w:lvl w:ilvl="6" w:tplc="531CB42E" w:tentative="1">
      <w:start w:val="1"/>
      <w:numFmt w:val="decimal"/>
      <w:lvlText w:val="%7."/>
      <w:lvlJc w:val="left"/>
      <w:pPr>
        <w:tabs>
          <w:tab w:val="num" w:pos="5040"/>
        </w:tabs>
        <w:ind w:left="5040" w:hanging="360"/>
      </w:pPr>
    </w:lvl>
    <w:lvl w:ilvl="7" w:tplc="FEFA6636" w:tentative="1">
      <w:start w:val="1"/>
      <w:numFmt w:val="lowerLetter"/>
      <w:lvlText w:val="%8."/>
      <w:lvlJc w:val="left"/>
      <w:pPr>
        <w:tabs>
          <w:tab w:val="num" w:pos="5760"/>
        </w:tabs>
        <w:ind w:left="5760" w:hanging="360"/>
      </w:pPr>
    </w:lvl>
    <w:lvl w:ilvl="8" w:tplc="872652B0" w:tentative="1">
      <w:start w:val="1"/>
      <w:numFmt w:val="lowerRoman"/>
      <w:lvlText w:val="%9."/>
      <w:lvlJc w:val="right"/>
      <w:pPr>
        <w:tabs>
          <w:tab w:val="num" w:pos="6480"/>
        </w:tabs>
        <w:ind w:left="6480" w:hanging="180"/>
      </w:pPr>
    </w:lvl>
  </w:abstractNum>
  <w:num w:numId="1" w16cid:durableId="1904441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204"/>
    <w:rsid w:val="001161CE"/>
    <w:rsid w:val="00242204"/>
    <w:rsid w:val="002423EA"/>
    <w:rsid w:val="00274869"/>
    <w:rsid w:val="00285F2C"/>
    <w:rsid w:val="00285F3A"/>
    <w:rsid w:val="002B6493"/>
    <w:rsid w:val="002D6A99"/>
    <w:rsid w:val="00341FF5"/>
    <w:rsid w:val="003650D2"/>
    <w:rsid w:val="003B715F"/>
    <w:rsid w:val="00436FE0"/>
    <w:rsid w:val="004F0204"/>
    <w:rsid w:val="00584966"/>
    <w:rsid w:val="005B7B34"/>
    <w:rsid w:val="00616D64"/>
    <w:rsid w:val="006D0673"/>
    <w:rsid w:val="006D525C"/>
    <w:rsid w:val="00863C9D"/>
    <w:rsid w:val="00914F8D"/>
    <w:rsid w:val="00922D41"/>
    <w:rsid w:val="009A49DE"/>
    <w:rsid w:val="00AE426F"/>
    <w:rsid w:val="00B45FF4"/>
    <w:rsid w:val="00BA0CC8"/>
    <w:rsid w:val="00BF087B"/>
    <w:rsid w:val="00C26C6C"/>
    <w:rsid w:val="00D15697"/>
    <w:rsid w:val="00D24F19"/>
    <w:rsid w:val="00DE5E3C"/>
    <w:rsid w:val="00E655C8"/>
    <w:rsid w:val="00EC177D"/>
    <w:rsid w:val="00F24AAD"/>
    <w:rsid w:val="00F3417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2BEF87"/>
  <w15:chartTrackingRefBased/>
  <w15:docId w15:val="{E07FC113-8F27-4D5E-B80D-AC90BBB30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204"/>
    <w:pPr>
      <w:spacing w:after="0" w:line="480" w:lineRule="auto"/>
    </w:pPr>
    <w:rPr>
      <w:rFonts w:ascii="Arial" w:eastAsia="Times New Roman" w:hAnsi="Arial" w:cs="Times New Roman"/>
      <w:kern w:val="0"/>
      <w:sz w:val="20"/>
      <w:szCs w:val="24"/>
      <w:lang w:val="en-US"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2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4F8D"/>
    <w:pPr>
      <w:ind w:left="720"/>
      <w:contextualSpacing/>
    </w:pPr>
  </w:style>
  <w:style w:type="character" w:styleId="CommentReference">
    <w:name w:val="annotation reference"/>
    <w:basedOn w:val="DefaultParagraphFont"/>
    <w:uiPriority w:val="99"/>
    <w:semiHidden/>
    <w:unhideWhenUsed/>
    <w:rsid w:val="003650D2"/>
    <w:rPr>
      <w:sz w:val="16"/>
      <w:szCs w:val="16"/>
    </w:rPr>
  </w:style>
  <w:style w:type="paragraph" w:styleId="CommentText">
    <w:name w:val="annotation text"/>
    <w:basedOn w:val="Normal"/>
    <w:link w:val="CommentTextChar"/>
    <w:uiPriority w:val="99"/>
    <w:unhideWhenUsed/>
    <w:rsid w:val="003650D2"/>
    <w:pPr>
      <w:spacing w:line="240" w:lineRule="auto"/>
    </w:pPr>
    <w:rPr>
      <w:szCs w:val="20"/>
    </w:rPr>
  </w:style>
  <w:style w:type="character" w:customStyle="1" w:styleId="CommentTextChar">
    <w:name w:val="Comment Text Char"/>
    <w:basedOn w:val="DefaultParagraphFont"/>
    <w:link w:val="CommentText"/>
    <w:uiPriority w:val="99"/>
    <w:rsid w:val="003650D2"/>
    <w:rPr>
      <w:rFonts w:ascii="Arial" w:eastAsia="Times New Roman" w:hAnsi="Arial" w:cs="Times New Roman"/>
      <w:kern w:val="0"/>
      <w:sz w:val="20"/>
      <w:lang w:val="en-US" w:bidi="ar-SA"/>
      <w14:ligatures w14:val="none"/>
    </w:rPr>
  </w:style>
  <w:style w:type="paragraph" w:styleId="CommentSubject">
    <w:name w:val="annotation subject"/>
    <w:basedOn w:val="CommentText"/>
    <w:next w:val="CommentText"/>
    <w:link w:val="CommentSubjectChar"/>
    <w:uiPriority w:val="99"/>
    <w:semiHidden/>
    <w:unhideWhenUsed/>
    <w:rsid w:val="003650D2"/>
    <w:rPr>
      <w:b/>
      <w:bCs/>
    </w:rPr>
  </w:style>
  <w:style w:type="character" w:customStyle="1" w:styleId="CommentSubjectChar">
    <w:name w:val="Comment Subject Char"/>
    <w:basedOn w:val="CommentTextChar"/>
    <w:link w:val="CommentSubject"/>
    <w:uiPriority w:val="99"/>
    <w:semiHidden/>
    <w:rsid w:val="003650D2"/>
    <w:rPr>
      <w:rFonts w:ascii="Arial" w:eastAsia="Times New Roman" w:hAnsi="Arial" w:cs="Times New Roman"/>
      <w:b/>
      <w:bCs/>
      <w:kern w:val="0"/>
      <w:sz w:val="20"/>
      <w:lang w:val="en-US" w:bidi="ar-SA"/>
      <w14:ligatures w14:val="none"/>
    </w:rPr>
  </w:style>
  <w:style w:type="paragraph" w:styleId="Footer">
    <w:name w:val="footer"/>
    <w:basedOn w:val="Normal"/>
    <w:link w:val="FooterChar"/>
    <w:uiPriority w:val="99"/>
    <w:unhideWhenUsed/>
    <w:rsid w:val="003650D2"/>
    <w:pPr>
      <w:tabs>
        <w:tab w:val="center" w:pos="4513"/>
        <w:tab w:val="right" w:pos="9026"/>
      </w:tabs>
      <w:spacing w:line="240" w:lineRule="auto"/>
    </w:pPr>
  </w:style>
  <w:style w:type="character" w:customStyle="1" w:styleId="FooterChar">
    <w:name w:val="Footer Char"/>
    <w:basedOn w:val="DefaultParagraphFont"/>
    <w:link w:val="Footer"/>
    <w:uiPriority w:val="99"/>
    <w:rsid w:val="003650D2"/>
    <w:rPr>
      <w:rFonts w:ascii="Arial" w:eastAsia="Times New Roman" w:hAnsi="Arial" w:cs="Times New Roman"/>
      <w:kern w:val="0"/>
      <w:sz w:val="20"/>
      <w:szCs w:val="24"/>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40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899</Words>
  <Characters>5126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shilpi agarwal</dc:creator>
  <cp:keywords/>
  <dc:description/>
  <cp:lastModifiedBy>Bartle, Claudia</cp:lastModifiedBy>
  <cp:revision>4</cp:revision>
  <dcterms:created xsi:type="dcterms:W3CDTF">2024-04-04T11:14:00Z</dcterms:created>
  <dcterms:modified xsi:type="dcterms:W3CDTF">2024-04-05T22:16:00Z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3801720a,7f5c099b,5c43fde6</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2024-04-02T20:48:25Z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aa26cdd0-f3d0-4c6d-b59c-b46b7a0b15ac</vt:lpwstr>
  </property>
  <property fmtid="{D5CDD505-2E9C-101B-9397-08002B2CF9AE}" pid="11" name="MSIP_Label_2bbab825-a111-45e4-86a1-18cee0005896_ContentBits">
    <vt:lpwstr>2</vt:lpwstr>
  </property>
  <property fmtid="{D5CDD505-2E9C-101B-9397-08002B2CF9AE}" pid="12" name="GrammarlyDocumentId">
    <vt:lpwstr>27cd4ea393f87c485eafa523ad2257bf1f6739c72dd5767edc6e722db64a3c43</vt:lpwstr>
  </property>
</Properties>
</file>