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6513" w14:textId="77777777" w:rsidR="00587B1F" w:rsidRPr="00CF4CBE" w:rsidRDefault="00587B1F" w:rsidP="009B3806">
      <w:pPr>
        <w:pStyle w:val="Heading1"/>
        <w:spacing w:before="120" w:after="120"/>
      </w:pPr>
      <w:r w:rsidRPr="00CF4CBE">
        <w:t>SUPPLEMENTAL MATERIALS</w:t>
      </w:r>
    </w:p>
    <w:p w14:paraId="793E4A43" w14:textId="755A38BB" w:rsidR="00587B1F" w:rsidRPr="00CF4CBE" w:rsidRDefault="00587B1F" w:rsidP="009B3806">
      <w:pPr>
        <w:pStyle w:val="Caption"/>
        <w:keepNext/>
        <w:spacing w:before="120" w:after="120" w:line="480" w:lineRule="auto"/>
      </w:pPr>
      <w:bookmarkStart w:id="0" w:name="_Ref120018804"/>
      <w:r w:rsidRPr="00CF4CBE">
        <w:t xml:space="preserve">Supplemental Table </w:t>
      </w:r>
      <w:r w:rsidR="00DD14D8">
        <w:fldChar w:fldCharType="begin"/>
      </w:r>
      <w:r w:rsidR="00DD14D8">
        <w:instrText xml:space="preserve"> SEQ Supplemental_Table \* ARABIC </w:instrText>
      </w:r>
      <w:r w:rsidR="00DD14D8">
        <w:fldChar w:fldCharType="separate"/>
      </w:r>
      <w:r w:rsidRPr="00CF4CBE">
        <w:rPr>
          <w:noProof/>
        </w:rPr>
        <w:t>1</w:t>
      </w:r>
      <w:r w:rsidR="00DD14D8">
        <w:rPr>
          <w:noProof/>
        </w:rPr>
        <w:fldChar w:fldCharType="end"/>
      </w:r>
      <w:bookmarkEnd w:id="0"/>
      <w:r w:rsidRPr="00CF4CBE">
        <w:t xml:space="preserve">. Baseline demographics and clinical characteristics in </w:t>
      </w:r>
      <w:r w:rsidR="004F305F">
        <w:t xml:space="preserve">the </w:t>
      </w:r>
      <w:r w:rsidRPr="00CF4CBE">
        <w:t xml:space="preserve">main cohort overall and stratified by stage at index, line setting of cemiplimab, and </w:t>
      </w:r>
      <w:proofErr w:type="gramStart"/>
      <w:r w:rsidRPr="00CF4CBE">
        <w:t>sex</w:t>
      </w:r>
      <w:proofErr w:type="gramEnd"/>
    </w:p>
    <w:tbl>
      <w:tblPr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1440"/>
        <w:gridCol w:w="1296"/>
        <w:gridCol w:w="1296"/>
        <w:gridCol w:w="1296"/>
        <w:gridCol w:w="1242"/>
        <w:gridCol w:w="1260"/>
        <w:gridCol w:w="1170"/>
        <w:gridCol w:w="1260"/>
      </w:tblGrid>
      <w:tr w:rsidR="00EE0956" w:rsidRPr="00CF4CBE" w14:paraId="3B13CB3A" w14:textId="77777777" w:rsidTr="007523F9">
        <w:trPr>
          <w:trHeight w:val="360"/>
        </w:trPr>
        <w:tc>
          <w:tcPr>
            <w:tcW w:w="3145" w:type="dxa"/>
            <w:vMerge w:val="restart"/>
          </w:tcPr>
          <w:p w14:paraId="65B3EDAB" w14:textId="401A5430" w:rsidR="00EE0956" w:rsidRPr="00CF4CBE" w:rsidRDefault="00EE0956" w:rsidP="00D5715A">
            <w:pPr>
              <w:spacing w:before="120" w:after="120" w:line="240" w:lineRule="auto"/>
              <w:rPr>
                <w:b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C3E8BAE" w14:textId="346B00A5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 xml:space="preserve">Main </w:t>
            </w:r>
            <w:r w:rsidR="004F305F">
              <w:rPr>
                <w:b/>
                <w:szCs w:val="20"/>
              </w:rPr>
              <w:t>c</w:t>
            </w:r>
            <w:r w:rsidRPr="00CF4CBE">
              <w:rPr>
                <w:b/>
                <w:szCs w:val="20"/>
              </w:rPr>
              <w:t xml:space="preserve">ohort </w:t>
            </w:r>
            <w:r w:rsidR="004F305F">
              <w:rPr>
                <w:b/>
                <w:szCs w:val="20"/>
              </w:rPr>
              <w:t>o</w:t>
            </w:r>
            <w:r w:rsidRPr="00CF4CBE">
              <w:rPr>
                <w:b/>
                <w:szCs w:val="20"/>
              </w:rPr>
              <w:t xml:space="preserve">verall 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622)</w:t>
            </w:r>
          </w:p>
        </w:tc>
        <w:tc>
          <w:tcPr>
            <w:tcW w:w="3888" w:type="dxa"/>
            <w:gridSpan w:val="3"/>
            <w:vAlign w:val="center"/>
          </w:tcPr>
          <w:p w14:paraId="4681762A" w14:textId="77777777" w:rsidR="00EE0956" w:rsidRPr="00CF4CBE" w:rsidRDefault="00EE0956" w:rsidP="00D5715A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Stage at index</w:t>
            </w:r>
          </w:p>
        </w:tc>
        <w:tc>
          <w:tcPr>
            <w:tcW w:w="2502" w:type="dxa"/>
            <w:gridSpan w:val="2"/>
            <w:vAlign w:val="center"/>
          </w:tcPr>
          <w:p w14:paraId="6F9F0EEF" w14:textId="77777777" w:rsidR="00EE0956" w:rsidRPr="00CF4CBE" w:rsidRDefault="00EE0956" w:rsidP="00D5715A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Line setting of cemiplimab</w:t>
            </w:r>
          </w:p>
        </w:tc>
        <w:tc>
          <w:tcPr>
            <w:tcW w:w="2430" w:type="dxa"/>
            <w:gridSpan w:val="2"/>
            <w:vAlign w:val="center"/>
          </w:tcPr>
          <w:p w14:paraId="440CD352" w14:textId="77777777" w:rsidR="00EE0956" w:rsidRPr="00CF4CBE" w:rsidRDefault="00EE0956" w:rsidP="00D5715A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Sex</w:t>
            </w:r>
          </w:p>
        </w:tc>
      </w:tr>
      <w:tr w:rsidR="00EE0956" w:rsidRPr="00CF4CBE" w14:paraId="6FC0F247" w14:textId="77777777" w:rsidTr="007523F9">
        <w:trPr>
          <w:trHeight w:val="360"/>
        </w:trPr>
        <w:tc>
          <w:tcPr>
            <w:tcW w:w="3145" w:type="dxa"/>
            <w:vMerge/>
          </w:tcPr>
          <w:p w14:paraId="01685321" w14:textId="341865DB" w:rsidR="00EE0956" w:rsidRPr="00CF4CBE" w:rsidRDefault="00EE0956" w:rsidP="00D5715A">
            <w:pPr>
              <w:spacing w:before="120" w:after="120" w:line="240" w:lineRule="auto"/>
              <w:rPr>
                <w:b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A49D169" w14:textId="77777777" w:rsidR="00EE0956" w:rsidRPr="00CF4CBE" w:rsidRDefault="00EE0956" w:rsidP="00D5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43AA4998" w14:textId="5A72ECAE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 xml:space="preserve">Locally </w:t>
            </w:r>
            <w:proofErr w:type="spellStart"/>
            <w:r w:rsidRPr="00CF4CBE">
              <w:rPr>
                <w:b/>
                <w:szCs w:val="20"/>
              </w:rPr>
              <w:t>advanced</w:t>
            </w:r>
            <w:r w:rsidRPr="00CF4CBE">
              <w:rPr>
                <w:b/>
                <w:szCs w:val="20"/>
                <w:vertAlign w:val="superscript"/>
              </w:rPr>
              <w:t>a</w:t>
            </w:r>
            <w:proofErr w:type="spellEnd"/>
            <w:r w:rsidR="004F305F">
              <w:rPr>
                <w:b/>
                <w:szCs w:val="20"/>
                <w:vertAlign w:val="superscript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225)</w:t>
            </w:r>
          </w:p>
        </w:tc>
        <w:tc>
          <w:tcPr>
            <w:tcW w:w="1296" w:type="dxa"/>
            <w:vAlign w:val="center"/>
          </w:tcPr>
          <w:p w14:paraId="0EE82163" w14:textId="22035CA7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 xml:space="preserve">Regional </w:t>
            </w:r>
            <w:proofErr w:type="spellStart"/>
            <w:r w:rsidRPr="00CF4CBE">
              <w:rPr>
                <w:b/>
                <w:szCs w:val="20"/>
              </w:rPr>
              <w:t>metastatic</w:t>
            </w:r>
            <w:r w:rsidRPr="00CF4CBE">
              <w:rPr>
                <w:b/>
                <w:szCs w:val="20"/>
                <w:vertAlign w:val="superscript"/>
              </w:rPr>
              <w:t>b</w:t>
            </w:r>
            <w:proofErr w:type="spellEnd"/>
            <w:r w:rsidR="004F305F">
              <w:rPr>
                <w:b/>
                <w:szCs w:val="20"/>
                <w:vertAlign w:val="superscript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274)</w:t>
            </w:r>
          </w:p>
        </w:tc>
        <w:tc>
          <w:tcPr>
            <w:tcW w:w="1296" w:type="dxa"/>
            <w:vAlign w:val="center"/>
          </w:tcPr>
          <w:p w14:paraId="3EA8E800" w14:textId="6D6EB59A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Distant metastatic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123)</w:t>
            </w:r>
          </w:p>
        </w:tc>
        <w:tc>
          <w:tcPr>
            <w:tcW w:w="1242" w:type="dxa"/>
            <w:vAlign w:val="center"/>
          </w:tcPr>
          <w:p w14:paraId="518A2E17" w14:textId="3A03F577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1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528)</w:t>
            </w:r>
          </w:p>
        </w:tc>
        <w:tc>
          <w:tcPr>
            <w:tcW w:w="1260" w:type="dxa"/>
            <w:vAlign w:val="center"/>
          </w:tcPr>
          <w:p w14:paraId="3A765EE6" w14:textId="10712BC5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2+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94)</w:t>
            </w:r>
          </w:p>
        </w:tc>
        <w:tc>
          <w:tcPr>
            <w:tcW w:w="1170" w:type="dxa"/>
            <w:vAlign w:val="center"/>
          </w:tcPr>
          <w:p w14:paraId="6F8559E4" w14:textId="13E7D952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Female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138)</w:t>
            </w:r>
          </w:p>
        </w:tc>
        <w:tc>
          <w:tcPr>
            <w:tcW w:w="1260" w:type="dxa"/>
            <w:vAlign w:val="center"/>
          </w:tcPr>
          <w:p w14:paraId="65E07A4E" w14:textId="39A9321E" w:rsidR="00EE0956" w:rsidRPr="00CF4CBE" w:rsidRDefault="00EE0956" w:rsidP="004F305F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 w:rsidRPr="00CF4CBE">
              <w:rPr>
                <w:b/>
                <w:szCs w:val="20"/>
              </w:rPr>
              <w:t>Male</w:t>
            </w:r>
            <w:r w:rsidR="004F305F">
              <w:rPr>
                <w:b/>
                <w:szCs w:val="20"/>
              </w:rPr>
              <w:br/>
            </w:r>
            <w:r w:rsidRPr="00CF4CBE">
              <w:rPr>
                <w:b/>
                <w:szCs w:val="20"/>
              </w:rPr>
              <w:t>(n</w:t>
            </w:r>
            <w:r>
              <w:rPr>
                <w:b/>
                <w:szCs w:val="20"/>
              </w:rPr>
              <w:t> = </w:t>
            </w:r>
            <w:r w:rsidRPr="00CF4CBE">
              <w:rPr>
                <w:b/>
                <w:szCs w:val="20"/>
              </w:rPr>
              <w:t>484)</w:t>
            </w:r>
          </w:p>
        </w:tc>
      </w:tr>
      <w:tr w:rsidR="00587B1F" w:rsidRPr="00CF4CBE" w14:paraId="7149172E" w14:textId="77777777" w:rsidTr="00D5715A">
        <w:trPr>
          <w:trHeight w:val="360"/>
        </w:trPr>
        <w:tc>
          <w:tcPr>
            <w:tcW w:w="3145" w:type="dxa"/>
          </w:tcPr>
          <w:p w14:paraId="581B75DE" w14:textId="3B562611" w:rsidR="00587B1F" w:rsidRPr="00CF4CBE" w:rsidRDefault="00587B1F" w:rsidP="00D5715A">
            <w:pPr>
              <w:spacing w:before="120" w:after="120" w:line="240" w:lineRule="auto"/>
              <w:rPr>
                <w:b/>
                <w:szCs w:val="20"/>
              </w:rPr>
            </w:pPr>
            <w:r w:rsidRPr="00CF4CBE">
              <w:rPr>
                <w:rFonts w:cs="Arial"/>
                <w:szCs w:val="20"/>
              </w:rPr>
              <w:t>Age at index, median (Q1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Q3), y</w:t>
            </w:r>
          </w:p>
        </w:tc>
        <w:tc>
          <w:tcPr>
            <w:tcW w:w="1440" w:type="dxa"/>
          </w:tcPr>
          <w:p w14:paraId="3085AB07" w14:textId="2D42131A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78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(70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96" w:type="dxa"/>
          </w:tcPr>
          <w:p w14:paraId="12FEFC2B" w14:textId="1179D924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79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(71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96" w:type="dxa"/>
          </w:tcPr>
          <w:p w14:paraId="5B1CC22E" w14:textId="45C6707B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78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(70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96" w:type="dxa"/>
          </w:tcPr>
          <w:p w14:paraId="79524044" w14:textId="041FBA80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75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(67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42" w:type="dxa"/>
          </w:tcPr>
          <w:p w14:paraId="63785D92" w14:textId="47D1CD03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79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(70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60" w:type="dxa"/>
          </w:tcPr>
          <w:p w14:paraId="1BAAA766" w14:textId="6088B475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73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(66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79)</w:t>
            </w:r>
          </w:p>
        </w:tc>
        <w:tc>
          <w:tcPr>
            <w:tcW w:w="1170" w:type="dxa"/>
          </w:tcPr>
          <w:p w14:paraId="7CE4A31B" w14:textId="2A58FFBB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79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(72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  <w:tc>
          <w:tcPr>
            <w:tcW w:w="1260" w:type="dxa"/>
          </w:tcPr>
          <w:p w14:paraId="6A5245B5" w14:textId="154E8CD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77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(69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83)</w:t>
            </w:r>
          </w:p>
        </w:tc>
      </w:tr>
      <w:tr w:rsidR="00587B1F" w:rsidRPr="00CF4CBE" w14:paraId="572749E6" w14:textId="77777777" w:rsidTr="00D5715A">
        <w:trPr>
          <w:trHeight w:val="360"/>
        </w:trPr>
        <w:tc>
          <w:tcPr>
            <w:tcW w:w="3145" w:type="dxa"/>
            <w:tcBorders>
              <w:bottom w:val="single" w:sz="4" w:space="0" w:color="000000"/>
            </w:tcBorders>
          </w:tcPr>
          <w:p w14:paraId="1C0B252B" w14:textId="1B5AF318" w:rsidR="00587B1F" w:rsidRPr="00CF4CBE" w:rsidRDefault="00587B1F" w:rsidP="00D5715A">
            <w:pPr>
              <w:spacing w:before="120" w:after="120" w:line="240" w:lineRule="auto"/>
              <w:rPr>
                <w:b/>
                <w:szCs w:val="20"/>
              </w:rPr>
            </w:pPr>
            <w:r w:rsidRPr="00CF4CBE">
              <w:rPr>
                <w:rFonts w:cs="Arial"/>
                <w:szCs w:val="20"/>
              </w:rPr>
              <w:t>Months of follow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up, median (95% CI)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2439261" w14:textId="5B6399CF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16.6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(14.9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18.7)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6CCAC27" w14:textId="2742DEDC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14.0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(10.8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18.5)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CE1952D" w14:textId="3B3FD887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16.6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(14.2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20.2)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AC4D06C" w14:textId="7E3B0251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20.5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(15.9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22.8)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14:paraId="7B7CA01D" w14:textId="38D4CBCC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15.8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(14.0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18.2)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717736A" w14:textId="569B258D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22.8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(16.2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25.7)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BE1841B" w14:textId="05ED9185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13.2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(9.4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18.6)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1DC9AB2" w14:textId="53382DCE" w:rsidR="00587B1F" w:rsidRPr="00CF4CBE" w:rsidRDefault="00587B1F" w:rsidP="004F305F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rFonts w:cs="Arial"/>
                <w:szCs w:val="20"/>
              </w:rPr>
              <w:t xml:space="preserve">18.0 </w:t>
            </w:r>
            <w:r w:rsidR="004F305F">
              <w:rPr>
                <w:rFonts w:cs="Arial"/>
                <w:szCs w:val="20"/>
              </w:rPr>
              <w:br/>
            </w:r>
            <w:r w:rsidRPr="00CF4CBE">
              <w:rPr>
                <w:rFonts w:cs="Arial"/>
                <w:szCs w:val="20"/>
              </w:rPr>
              <w:t>(15.3</w:t>
            </w:r>
            <w:r w:rsidR="00133CC9">
              <w:rPr>
                <w:rFonts w:cs="Arial"/>
                <w:szCs w:val="20"/>
              </w:rPr>
              <w:t>–</w:t>
            </w:r>
            <w:r w:rsidRPr="00CF4CBE">
              <w:rPr>
                <w:rFonts w:cs="Arial"/>
                <w:szCs w:val="20"/>
              </w:rPr>
              <w:t>19.8)</w:t>
            </w:r>
          </w:p>
        </w:tc>
      </w:tr>
      <w:tr w:rsidR="00587B1F" w:rsidRPr="00CF4CBE" w14:paraId="180BE8EE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194ACEFA" w14:textId="77777777" w:rsidR="00587B1F" w:rsidRPr="00CF4CBE" w:rsidRDefault="00587B1F" w:rsidP="00D5715A">
            <w:pPr>
              <w:spacing w:before="120" w:after="120" w:line="240" w:lineRule="auto"/>
              <w:rPr>
                <w:b/>
                <w:szCs w:val="20"/>
              </w:rPr>
            </w:pPr>
            <w:r w:rsidRPr="00CF4CBE">
              <w:rPr>
                <w:szCs w:val="20"/>
              </w:rPr>
              <w:t>Age at index,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65F31F2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3AFF800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6DE4F7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99CB0A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1B30BCC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7C6B8D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DAD0F4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330F3F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715C1FFA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1BF3ADA8" w14:textId="3EDDEF38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18</w:t>
            </w:r>
            <w:r w:rsidR="00133CC9">
              <w:rPr>
                <w:szCs w:val="20"/>
              </w:rPr>
              <w:t>–</w:t>
            </w:r>
            <w:r w:rsidRPr="00CF4CBE">
              <w:rPr>
                <w:szCs w:val="20"/>
              </w:rPr>
              <w:t>59 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E59CC8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49 (7.9)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608A10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16 (7.1)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4173E2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22 (8.0)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AB8FEA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60DBF8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37 (7.0)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87A8C9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 (12.8)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0706D2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 (8.7)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419158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37 (7.6)</w:t>
            </w:r>
          </w:p>
        </w:tc>
      </w:tr>
      <w:tr w:rsidR="00587B1F" w:rsidRPr="00CF4CBE" w14:paraId="5C5190ED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7643B9A5" w14:textId="1F400EEC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60</w:t>
            </w:r>
            <w:r w:rsidR="00133CC9">
              <w:rPr>
                <w:szCs w:val="20"/>
              </w:rPr>
              <w:t>–</w:t>
            </w:r>
            <w:r w:rsidRPr="00CF4CBE">
              <w:rPr>
                <w:szCs w:val="20"/>
              </w:rPr>
              <w:t>69 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F35EAA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101 (16.2)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277B7F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31 (13.8)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5D8B05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46 (16.8)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4F26D3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24 (19.5)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35404C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81 (15.3)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94862E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20 (21.3)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906B6C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16 (11.6)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19F6E2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85 (17.6)</w:t>
            </w:r>
          </w:p>
        </w:tc>
      </w:tr>
      <w:tr w:rsidR="00587B1F" w:rsidRPr="00CF4CBE" w14:paraId="582A3233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031CE3B" w14:textId="6555C168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70</w:t>
            </w:r>
            <w:r w:rsidR="00133CC9">
              <w:rPr>
                <w:szCs w:val="20"/>
              </w:rPr>
              <w:t>–</w:t>
            </w:r>
            <w:r w:rsidRPr="00CF4CBE">
              <w:rPr>
                <w:szCs w:val="20"/>
              </w:rPr>
              <w:t>79 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1C1959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201 (32.3)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A94616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72 (32.0)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96971F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87 (31.8)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D4566B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42 (34.1)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A81986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162 (30.7)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8C063C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39 (41.5)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7C1E57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44 (31.9)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48D34A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157 (32.4)</w:t>
            </w:r>
          </w:p>
        </w:tc>
      </w:tr>
      <w:tr w:rsidR="00587B1F" w:rsidRPr="00CF4CBE" w14:paraId="74214B26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65D4C390" w14:textId="061EC66E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rFonts w:ascii="Arial Unicode MS" w:eastAsia="Arial Unicode MS" w:hAnsi="Arial Unicode MS" w:cs="Arial Unicode MS"/>
                <w:szCs w:val="20"/>
              </w:rPr>
              <w:t>≥80 y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2E5F60E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272 (43.6)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1C144AF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106 (47.1)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518DAF0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119 (43.4)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4380F86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46 (37.4)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</w:tcPr>
          <w:p w14:paraId="45C5BB1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248 (47.0)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4DA6517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23 (24.5)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</w:tcPr>
          <w:p w14:paraId="0091323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66 (47.8)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5D3FD02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205 (42.4)</w:t>
            </w:r>
          </w:p>
        </w:tc>
      </w:tr>
      <w:tr w:rsidR="00587B1F" w:rsidRPr="00CF4CBE" w14:paraId="6451C8F1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3C4CD416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Sex,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6A711D6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1081778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1D2FC4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624731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5F60815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44EB8B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2B11946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C7735A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14A2BCCF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3096A2C3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Male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DEEEB2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484 (77.8)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1C1237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151 (67.1)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97A91A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231 (84.3)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E33870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102 (82.9)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69CF973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413 (78.2)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BEA09D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71 (75.5)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C88D25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7FA9E9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484 (100)</w:t>
            </w:r>
          </w:p>
        </w:tc>
      </w:tr>
      <w:tr w:rsidR="00587B1F" w:rsidRPr="00CF4CBE" w14:paraId="3D56DFFA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4231FC48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lastRenderedPageBreak/>
              <w:t>Female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12A8410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138 (22.2)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5BD29DF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74 (32.9)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3A02644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43 (15.7)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08CD819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21 (17.1)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4EF20FA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115 (21.8)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374EFBD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23 (24.5)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</w:tcPr>
          <w:p w14:paraId="6C204B3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138 (100)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2DF223D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</w:tr>
      <w:tr w:rsidR="00587B1F" w:rsidRPr="00CF4CBE" w14:paraId="479971F2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48DB5BFA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Race,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22645DB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F6BEB6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A33AC6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B69FCB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0C1066F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C4A3EC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7577BE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23A74A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2E6F1DFD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4B53DEF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White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815DEA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448 (72.0)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A0C7F6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153 (68.0)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C810D4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204 (74.5)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DE73BB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91 (74.0)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1AEB2DC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378 (71.6)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B490C8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70 (74.5)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C71947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107 (77.5)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C589C4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341 (70.5)</w:t>
            </w:r>
          </w:p>
        </w:tc>
      </w:tr>
      <w:tr w:rsidR="00587B1F" w:rsidRPr="00CF4CBE" w14:paraId="38F2E745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77DE4B79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  <w:vertAlign w:val="superscript"/>
              </w:rPr>
            </w:pPr>
            <w:r w:rsidRPr="00CF4CBE">
              <w:rPr>
                <w:szCs w:val="20"/>
              </w:rPr>
              <w:t>Other Race</w:t>
            </w:r>
            <w:r w:rsidRPr="00CF4CBE">
              <w:rPr>
                <w:szCs w:val="20"/>
                <w:vertAlign w:val="superscript"/>
              </w:rPr>
              <w:t>c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602559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121 (19.5)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429B878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46 (20.4)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3AC47C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55 (20.1)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34A541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 (16.3)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3587E18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101 (19.1)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8E49BB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 (21.3)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537805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19 (13.8)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D4486C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102 (21.1)</w:t>
            </w:r>
          </w:p>
        </w:tc>
      </w:tr>
      <w:tr w:rsidR="00587B1F" w:rsidRPr="00CF4CBE" w14:paraId="4AB58A5E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599F0247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Missing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4427512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53 (8.5)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3362476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 (11.6)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5C5AE1C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15 (5.5)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2594B6E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 (9.8)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5539C8C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49 (9.3)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24D88D1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</w:tcPr>
          <w:p w14:paraId="22A90BB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 (8.7)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4A34127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41 (8.5)</w:t>
            </w:r>
          </w:p>
        </w:tc>
      </w:tr>
      <w:tr w:rsidR="00587B1F" w:rsidRPr="00CF4CBE" w14:paraId="7217BC1F" w14:textId="77777777" w:rsidTr="00D5715A">
        <w:trPr>
          <w:cantSplit/>
          <w:trHeight w:val="288"/>
        </w:trPr>
        <w:tc>
          <w:tcPr>
            <w:tcW w:w="3145" w:type="dxa"/>
            <w:tcBorders>
              <w:bottom w:val="nil"/>
            </w:tcBorders>
          </w:tcPr>
          <w:p w14:paraId="318A0CE5" w14:textId="7357A488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Ethnicity,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181D716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3C9354F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B2EEFC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2B0942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5B30A2A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3DD2F5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76D354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3A1D29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1D9D7B3C" w14:textId="77777777" w:rsidTr="00D5715A">
        <w:trPr>
          <w:cantSplit/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1398DAFD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Non-Hispanic or Latino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A15DAC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606 (97.4)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376C6F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218 (96.9)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EBC57F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269 (98.2)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A883F5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119 (96.7)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7F3539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515 (97.5)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CDB618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91 (96.8)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7738B04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134 (97.1)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4CED3B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472 (97.5)</w:t>
            </w:r>
          </w:p>
        </w:tc>
      </w:tr>
      <w:tr w:rsidR="00587B1F" w:rsidRPr="00CF4CBE" w14:paraId="07452827" w14:textId="77777777" w:rsidTr="00D5715A">
        <w:trPr>
          <w:cantSplit/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3D8D7F85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Hispanic or Latino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7861D92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16 (2.6)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5CD54E3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7E2771A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4A40A27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2CA54DB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 (2.5)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5CA3AFA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0E95DC9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263CD85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12 (2.5)</w:t>
            </w:r>
          </w:p>
        </w:tc>
      </w:tr>
      <w:tr w:rsidR="00587B1F" w:rsidRPr="00CF4CBE" w14:paraId="76064ECA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032214C6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Region,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4D8390A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B51FEC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3A84FD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0B0CD23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05EA38C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59173E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8191D1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67D0A7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4DF19723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B098EFF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Midwest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B0F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50 (8.0)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CF4D5F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(9.3)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7C11D3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19 (6.9)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468B124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  <w:r w:rsidRPr="00CF4CBE">
              <w:rPr>
                <w:color w:val="000000"/>
                <w:szCs w:val="20"/>
              </w:rPr>
              <w:t>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6048663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39 (7.4)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486FA1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9352C9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 (9.4)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7FC1D0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37 (7.6)</w:t>
            </w:r>
          </w:p>
        </w:tc>
      </w:tr>
      <w:tr w:rsidR="00587B1F" w:rsidRPr="00CF4CBE" w14:paraId="0085DB4B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8400982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Northeast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BB99A5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42 (6.8)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A63CF5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 (7.6)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215B8C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19 (6.9)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65EC6D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2CFE2AE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38 (7.2)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DC1884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749534B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 (8.0)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B149AD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31 (6.4)</w:t>
            </w:r>
          </w:p>
        </w:tc>
      </w:tr>
      <w:tr w:rsidR="00587B1F" w:rsidRPr="00CF4CBE" w14:paraId="282F2BE6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2A3A78E8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03D19A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300 (48.2)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30DD19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109 (48.4)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42DFBE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129 (47.1)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325F36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62 (50.4)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31F7CDD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260 (49.2)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AA0DB5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40 (42.6)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80B8CD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58 (42.0)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E26239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242 (50.0)</w:t>
            </w:r>
          </w:p>
        </w:tc>
      </w:tr>
      <w:tr w:rsidR="00587B1F" w:rsidRPr="00CF4CBE" w14:paraId="469F3791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34B3CF34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Unknown/Other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120BDA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166 (26.7)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0189F9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54 (24.0)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BB00BE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82 (29.9)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4BC5436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30 (24.4)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69B8BAB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138 (26.1)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EE0AE1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28 (29.8)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C83827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39 (28.3)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C32096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127 (26.2)</w:t>
            </w:r>
          </w:p>
        </w:tc>
      </w:tr>
      <w:tr w:rsidR="00587B1F" w:rsidRPr="00CF4CBE" w14:paraId="30826FB1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65238147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1E23653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64 (10.3)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4EEE184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24 (10.7)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1F26A2A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(9.1)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283ABD5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 (12.2)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707F19F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53 (10.0)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5714AEC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 (11.7)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4F8257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 (12.3)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5673B8B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47 (9.7)</w:t>
            </w:r>
          </w:p>
        </w:tc>
      </w:tr>
      <w:tr w:rsidR="00587B1F" w:rsidRPr="00CF4CBE" w14:paraId="2F4D2524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1703B504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Practice type,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04441A8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3BA1F6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653B05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3A2135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5BCBC5F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3778AA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C0DDE7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B1B3F0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1238CC93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3D96A1C2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Academic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6C8547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128 (20.6)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E5DFE0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41 (18.2)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6E80CD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66 (24.1)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F4279D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(17.1)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448003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106 (20.1)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93E490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 (23.4)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1583763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28 (20.3)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F5B076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100 (20.7)</w:t>
            </w:r>
          </w:p>
        </w:tc>
      </w:tr>
      <w:tr w:rsidR="00587B1F" w:rsidRPr="00CF4CBE" w14:paraId="349288A0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280CCD24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Community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0E26983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494 (79.4)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79AA9AB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184 (81.8)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20FF7BA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208 (75.9)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0436E59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102 (82.9)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4911E53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422 (79.9)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4E9313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72 (76.6)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7B700D4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110 (79.7)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14B9BCF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384 (79.3)</w:t>
            </w:r>
          </w:p>
        </w:tc>
      </w:tr>
      <w:tr w:rsidR="00587B1F" w:rsidRPr="00CF4CBE" w14:paraId="0A5DC974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74902D80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Insurance type,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5A2E7D5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48C27F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FE6C82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399B00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1A02BBE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5F08CE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285B366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E4363F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59DDBD65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B0623C2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lastRenderedPageBreak/>
              <w:t>Commercial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96A14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424 (68.2)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EB68F9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153 (68.0)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CAF696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189 (69.0)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06C3EB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82 (66.7)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03AE83F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362 (68.6)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908747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62 (66.0)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468D0B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91 (65.9)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41D0F3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333 (68.8)</w:t>
            </w:r>
          </w:p>
        </w:tc>
      </w:tr>
      <w:tr w:rsidR="00587B1F" w:rsidRPr="00CF4CBE" w14:paraId="58A0AA01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2AB7B4AB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Medicare or Medicaid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49AC9F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112 (18.0)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1427A9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F4CBE">
              <w:rPr>
                <w:color w:val="000000"/>
                <w:szCs w:val="20"/>
              </w:rPr>
              <w:t>43 (19.1)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E65003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45 (16.4)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3C61B4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24 (19.5)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7210DF0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98 (18.6)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C4851B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14 (14.9)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D742C1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31 (22.5)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CCCD1F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81 (16.7)</w:t>
            </w:r>
          </w:p>
        </w:tc>
      </w:tr>
      <w:tr w:rsidR="00587B1F" w:rsidRPr="00CF4CBE" w14:paraId="4C264B40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26A6D323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FEB95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63 (10.1)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F18E6F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(9.3)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4962747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29 (10.6)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119E88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 (10.6)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39FB000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48 (9.1)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D3BE23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 (16.0)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2D62D04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2DDA59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52 (10.7)</w:t>
            </w:r>
          </w:p>
        </w:tc>
      </w:tr>
      <w:tr w:rsidR="00587B1F" w:rsidRPr="00CF4CBE" w14:paraId="60BC4B13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7421B555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Missing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4C366AF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23 (3.7)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5EB2BE4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0A3A923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0409364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707529B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 (3.8)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59CF754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06D400F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0E36A09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 (3.7)</w:t>
            </w:r>
          </w:p>
        </w:tc>
      </w:tr>
      <w:tr w:rsidR="00587B1F" w:rsidRPr="00CF4CBE" w14:paraId="73AB6748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3298FFE7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ECOG performance status,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329E1F4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721CE6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6F79AA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3F41DA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07218F1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D7B4AE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DF49EA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C779C1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4F903DBE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11A621F5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0 to 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D715D9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407 (65.4)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1203C6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139 (61.8)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CBB01E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184 (67.2)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D43FE5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84 (68.3)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24801A5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345 (65.3)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17FDFF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62 (66.0)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01C0B8F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97 (70.3)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9849D3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310 (64.0)</w:t>
            </w:r>
          </w:p>
        </w:tc>
      </w:tr>
      <w:tr w:rsidR="00587B1F" w:rsidRPr="00CF4CBE" w14:paraId="1AB9DB24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B9D8F0B" w14:textId="359B5C08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rFonts w:ascii="Arial Unicode MS" w:eastAsia="Arial Unicode MS" w:hAnsi="Arial Unicode MS" w:cs="Arial Unicode MS"/>
                <w:szCs w:val="20"/>
              </w:rPr>
              <w:t>≥2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6857DD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111 (17.8)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A39DA8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38 (16.9)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882429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48 (17.5)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8408B5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(20.3)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F2F750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96 (18.2)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AAA871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 (16)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B0DFBA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 (14.5)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27C6EF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91 (18.8)</w:t>
            </w:r>
          </w:p>
        </w:tc>
      </w:tr>
      <w:tr w:rsidR="00587B1F" w:rsidRPr="00CF4CBE" w14:paraId="6911C1C5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6718ACA6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Missing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38A43B7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104 (16.7)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0F8A11E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48 (21.3)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3EDEBF2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42 (15.3)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025870B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14 (11.4)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15E9211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87 (16.5)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2BA7CF9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 (18.1)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5FD4C3D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(15.2)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0069774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83 (17.1)</w:t>
            </w:r>
          </w:p>
        </w:tc>
      </w:tr>
      <w:tr w:rsidR="00587B1F" w:rsidRPr="00CF4CBE" w14:paraId="060B6300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6943A0BF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Stage at index,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627AA31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15D086A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BCB46F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06EE48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7940C9C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588E75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020337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E628EC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5464B928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7DE1A527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Locally advanced not amenable to curative intent surgery or radiation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489C52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225 (36.2)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45E1A8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225 (100)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92B817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51240F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685421C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203 (38.4)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EA15A8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 (23.4)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0F1C1CC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74 (53.6)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488EFC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151 (31.2)</w:t>
            </w:r>
          </w:p>
        </w:tc>
      </w:tr>
      <w:tr w:rsidR="00587B1F" w:rsidRPr="00CF4CBE" w14:paraId="76EDD685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37200F05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Regional metastatic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3ED045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274 (44.1)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6CC491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61B9A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274 (100)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C12F45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E35D9E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227 (43.0)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2F509E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47 (50.0)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1D8A738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43 (31.2)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37E14B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231 (47.7)</w:t>
            </w:r>
          </w:p>
        </w:tc>
      </w:tr>
      <w:tr w:rsidR="00587B1F" w:rsidRPr="00CF4CBE" w14:paraId="268FD9F9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1D4B99F0" w14:textId="77777777" w:rsidR="00587B1F" w:rsidRPr="00CF4CBE" w:rsidRDefault="00587B1F" w:rsidP="00D5715A">
            <w:pPr>
              <w:keepNext/>
              <w:keepLines/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Distant metastatic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785D5C2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123 (19.8)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30A47D4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  <w:highlight w:val="yellow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316739F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</w:tcPr>
          <w:p w14:paraId="602716B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123 (100)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569F327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98 (18.6)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3460AE3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(26.6)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7C09494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(15.2)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0B4D10F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102 (21.1)</w:t>
            </w:r>
          </w:p>
        </w:tc>
      </w:tr>
      <w:tr w:rsidR="00587B1F" w:rsidRPr="00CF4CBE" w14:paraId="4C0DE54C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77A9F8ED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Cemiplimab line setting,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4EBF834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41BF2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F42D6B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234374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4839378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613C0E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4EDC6B1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904E68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6EB1B3CD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C227D6F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232E99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528 (84.9)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637E64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203 (90.2)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98AE46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227 (82.8)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069016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98 (79.7)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766EEC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528 (100)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2E2605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0197D28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115 (83.3)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874AA3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413 (85.3)</w:t>
            </w:r>
          </w:p>
        </w:tc>
      </w:tr>
      <w:tr w:rsidR="00587B1F" w:rsidRPr="00CF4CBE" w14:paraId="6D8C31C6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324BA5E7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2+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1B284E1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94 (15.1)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74485A2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 (9.8)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16B8C61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47 (17.2)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49954F4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(20.3)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</w:tcPr>
          <w:p w14:paraId="000F439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64A0C7C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94 (100)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071DFC6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23 (16.7)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24690FB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71 (14.7)</w:t>
            </w:r>
          </w:p>
        </w:tc>
      </w:tr>
      <w:tr w:rsidR="00587B1F" w:rsidRPr="00CF4CBE" w14:paraId="1C7BF508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365E5A6A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Index year,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5CBF541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330B0B4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9BC200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125445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1DBCC13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D4D002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E0B68E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6C346B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2A9075CB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5A73E9A1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lastRenderedPageBreak/>
              <w:t>2018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BD6A86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39 (6.3)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506FB8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 (5.8)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7ECB69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16 (5.8)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F25E0C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B2CF9E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29 (5.5)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77CC57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8AFAA2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61EE6F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30 (6.2)</w:t>
            </w:r>
          </w:p>
        </w:tc>
      </w:tr>
      <w:tr w:rsidR="00587B1F" w:rsidRPr="00CF4CBE" w14:paraId="29D4B81B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0303A638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2019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E0C720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212 (34.1)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E7F85E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81 (36.0)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D400BE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85 (31.0)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D16D22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46 (37.4)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0F87EAA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173 (32.8)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C42822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39 (41.5)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E88F34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51 (37.0)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6EAD40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161 (33.3)</w:t>
            </w:r>
          </w:p>
        </w:tc>
      </w:tr>
      <w:tr w:rsidR="00587B1F" w:rsidRPr="00CF4CBE" w14:paraId="19C56419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0A7BA0D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2020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D99613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213 (34.2)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032277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65 (28.9)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F20961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104 (38.0)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02B8B8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44 (35.8)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0193E42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187 (35.4)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1A5660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 (27.7)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614889B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36 (26.1)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6D80F0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177 (36.6)</w:t>
            </w:r>
          </w:p>
        </w:tc>
      </w:tr>
      <w:tr w:rsidR="00587B1F" w:rsidRPr="00CF4CBE" w14:paraId="43607211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449DE3C8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2021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78383B2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158 (25.4)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2043578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66 (29.3)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5281038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69 (25.2)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3A71EC3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23 (18.7)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3F8022C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139 (26.3)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31C3A8A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19 (20.2)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vAlign w:val="center"/>
          </w:tcPr>
          <w:p w14:paraId="3A29DF8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42 (30.4)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7370A46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116 (24)</w:t>
            </w:r>
          </w:p>
        </w:tc>
      </w:tr>
      <w:tr w:rsidR="00587B1F" w:rsidRPr="00CF4CBE" w14:paraId="4B64BB52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6604BDE1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Immunocompromised status,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5EF55A6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059ABA7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1BF09A9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786826A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4EA0395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3C4F34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5B5025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C27BC0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62E84E96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727318EB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None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48FF14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489 (78.6)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128C93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182 (80.9)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4BD718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209 (76.3)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2B8C9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98 (79.7)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262704A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417 (79.0)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1EB458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72 (76.6)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79D810D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114 (82.6)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10B8B3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375 (77.5)</w:t>
            </w:r>
          </w:p>
        </w:tc>
      </w:tr>
      <w:tr w:rsidR="00587B1F" w:rsidRPr="00CF4CBE" w14:paraId="70504718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051BC4B6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Hematological malignancy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556230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101 (16.2)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248AA42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30 (13.3)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5C73EA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50 (18.2)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7BAB2F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(17.1)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07110D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86 (16.3)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C9FD0D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 (16.0)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A1C701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17 (12.3)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0044EC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84 (17.4)</w:t>
            </w:r>
          </w:p>
        </w:tc>
      </w:tr>
      <w:tr w:rsidR="00587B1F" w:rsidRPr="00CF4CBE" w14:paraId="6400C664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52C45323" w14:textId="47E3C7A9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Other immunodeficiency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0B6437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21 (3.4)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B46758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917CBA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0EDB3F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3A1EF2B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19 (3.6)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051147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18C00D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307F9A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14 (2.9)</w:t>
            </w:r>
          </w:p>
        </w:tc>
      </w:tr>
      <w:tr w:rsidR="00587B1F" w:rsidRPr="00CF4CBE" w14:paraId="11EC0584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single" w:sz="4" w:space="0" w:color="000000"/>
            </w:tcBorders>
          </w:tcPr>
          <w:p w14:paraId="0CC7E4EB" w14:textId="493FDF28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Transplant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6BA5B5C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4F3B8C27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3A7C8D8F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single" w:sz="4" w:space="0" w:color="000000"/>
            </w:tcBorders>
            <w:vAlign w:val="center"/>
          </w:tcPr>
          <w:p w14:paraId="574F752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single" w:sz="4" w:space="0" w:color="000000"/>
            </w:tcBorders>
            <w:vAlign w:val="center"/>
          </w:tcPr>
          <w:p w14:paraId="1E4F0B1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5969B06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</w:tcPr>
          <w:p w14:paraId="46A2001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0 (0)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vAlign w:val="center"/>
          </w:tcPr>
          <w:p w14:paraId="4FEB536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</w:tr>
      <w:tr w:rsidR="00587B1F" w:rsidRPr="00CF4CBE" w14:paraId="0E7F904B" w14:textId="77777777" w:rsidTr="00D5715A">
        <w:trPr>
          <w:trHeight w:val="288"/>
        </w:trPr>
        <w:tc>
          <w:tcPr>
            <w:tcW w:w="3145" w:type="dxa"/>
            <w:tcBorders>
              <w:bottom w:val="nil"/>
            </w:tcBorders>
          </w:tcPr>
          <w:p w14:paraId="269C6408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Primary location of CSCC, n (%)</w:t>
            </w:r>
          </w:p>
        </w:tc>
        <w:tc>
          <w:tcPr>
            <w:tcW w:w="1440" w:type="dxa"/>
            <w:tcBorders>
              <w:bottom w:val="nil"/>
            </w:tcBorders>
          </w:tcPr>
          <w:p w14:paraId="58B660E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7B010C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881599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557F7B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5AC7D25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EDE4FA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1A22B3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56067E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587B1F" w:rsidRPr="00CF4CBE" w14:paraId="465F28D2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ECF52B4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Head and neck only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2A4ABD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345 (55.5)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26138E4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150 (66.7)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6D037E1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134 (48.9)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CFC944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61 (49.6)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60D1C01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303 (57.4)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9C3DB38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42 (44.7)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19BDE68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58 (42.0)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540EA0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287 (59.3)</w:t>
            </w:r>
          </w:p>
        </w:tc>
      </w:tr>
      <w:tr w:rsidR="00587B1F" w:rsidRPr="00CF4CBE" w14:paraId="72A604B3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4BADDA0E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Extremities only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79315C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91 (14.6)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0B7C3E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(11.1)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74E2F60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41 (15.0)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4205D34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25 (20.3)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7486DEC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70 (13.3)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51E250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(22.3)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2080682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38 (27.5)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927459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53 (11.0)</w:t>
            </w:r>
          </w:p>
        </w:tc>
      </w:tr>
      <w:tr w:rsidR="00587B1F" w:rsidRPr="00CF4CBE" w14:paraId="5902ECB1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60F4C9F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Trunk only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3FB6AD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30 (4.8)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F3FB13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97DB06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21 (7.7)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05E4D56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36DAB70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 (4.9)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FACDB7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256B4B9B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0402CC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22 (4.5)</w:t>
            </w:r>
          </w:p>
        </w:tc>
      </w:tr>
      <w:tr w:rsidR="00587B1F" w:rsidRPr="00CF4CBE" w14:paraId="1E1E678F" w14:textId="77777777" w:rsidTr="00D5715A">
        <w:trPr>
          <w:trHeight w:val="288"/>
        </w:trPr>
        <w:tc>
          <w:tcPr>
            <w:tcW w:w="3145" w:type="dxa"/>
            <w:tcBorders>
              <w:top w:val="nil"/>
              <w:bottom w:val="nil"/>
            </w:tcBorders>
          </w:tcPr>
          <w:p w14:paraId="603F1BB0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0162386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31 (5.0)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C5DBDC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347072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18 (6.6)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6EA97BE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0CC4AC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28 (5.3)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85DD70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30F623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≤11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036B73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23 (4.8)</w:t>
            </w:r>
          </w:p>
        </w:tc>
      </w:tr>
      <w:tr w:rsidR="00587B1F" w:rsidRPr="00CF4CBE" w14:paraId="55741738" w14:textId="77777777" w:rsidTr="00D5715A">
        <w:trPr>
          <w:trHeight w:val="288"/>
        </w:trPr>
        <w:tc>
          <w:tcPr>
            <w:tcW w:w="3145" w:type="dxa"/>
            <w:tcBorders>
              <w:top w:val="nil"/>
            </w:tcBorders>
          </w:tcPr>
          <w:p w14:paraId="0F77987E" w14:textId="77777777" w:rsidR="00587B1F" w:rsidRPr="00CF4CBE" w:rsidRDefault="00587B1F" w:rsidP="00D5715A">
            <w:pPr>
              <w:spacing w:before="120" w:after="120" w:line="240" w:lineRule="auto"/>
              <w:rPr>
                <w:szCs w:val="20"/>
              </w:rPr>
            </w:pPr>
            <w:r w:rsidRPr="00CF4CBE">
              <w:rPr>
                <w:szCs w:val="20"/>
              </w:rPr>
              <w:t>Multiple sites</w:t>
            </w:r>
          </w:p>
        </w:tc>
        <w:tc>
          <w:tcPr>
            <w:tcW w:w="1440" w:type="dxa"/>
            <w:tcBorders>
              <w:top w:val="nil"/>
            </w:tcBorders>
          </w:tcPr>
          <w:p w14:paraId="7A21CE72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szCs w:val="20"/>
              </w:rPr>
              <w:t>125 (20.1)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7DF9DFD9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38 (16.9)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760D9285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60 (21.9)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01BB00EA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27 (22.0)</w:t>
            </w:r>
          </w:p>
        </w:tc>
        <w:tc>
          <w:tcPr>
            <w:tcW w:w="1242" w:type="dxa"/>
            <w:tcBorders>
              <w:top w:val="nil"/>
            </w:tcBorders>
            <w:vAlign w:val="center"/>
          </w:tcPr>
          <w:p w14:paraId="7E1EC993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101 (19.1)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7E2811EC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24 (25.5)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624495E0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26 (18.8)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7C36980D" w14:textId="77777777" w:rsidR="00587B1F" w:rsidRPr="00CF4CBE" w:rsidRDefault="00587B1F" w:rsidP="00D5715A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F4CBE">
              <w:rPr>
                <w:color w:val="000000"/>
                <w:szCs w:val="20"/>
              </w:rPr>
              <w:t>99 (20.5)</w:t>
            </w:r>
          </w:p>
        </w:tc>
      </w:tr>
    </w:tbl>
    <w:p w14:paraId="0F3770B7" w14:textId="77777777" w:rsidR="00587B1F" w:rsidRPr="00CF4CBE" w:rsidRDefault="00587B1F" w:rsidP="009B3806">
      <w:pPr>
        <w:spacing w:before="120" w:after="120"/>
        <w:rPr>
          <w:sz w:val="18"/>
          <w:szCs w:val="18"/>
        </w:rPr>
      </w:pPr>
      <w:r w:rsidRPr="00CF4CBE">
        <w:rPr>
          <w:sz w:val="18"/>
          <w:szCs w:val="18"/>
          <w:vertAlign w:val="superscript"/>
        </w:rPr>
        <w:t>a</w:t>
      </w:r>
      <w:r w:rsidRPr="00CF4CBE">
        <w:rPr>
          <w:sz w:val="18"/>
          <w:szCs w:val="18"/>
        </w:rPr>
        <w:t>Locally advanced not amenable to curative intent surgery or radiation.</w:t>
      </w:r>
    </w:p>
    <w:p w14:paraId="5CEBD4E6" w14:textId="77777777" w:rsidR="00587B1F" w:rsidRPr="00CF4CBE" w:rsidRDefault="00587B1F" w:rsidP="009B3806">
      <w:pPr>
        <w:spacing w:before="120" w:after="120"/>
        <w:rPr>
          <w:sz w:val="18"/>
          <w:szCs w:val="18"/>
        </w:rPr>
      </w:pPr>
      <w:r w:rsidRPr="00CF4CBE">
        <w:rPr>
          <w:sz w:val="18"/>
          <w:szCs w:val="18"/>
          <w:vertAlign w:val="superscript"/>
        </w:rPr>
        <w:t>b</w:t>
      </w:r>
      <w:r w:rsidRPr="00CF4CBE">
        <w:rPr>
          <w:sz w:val="18"/>
          <w:szCs w:val="18"/>
        </w:rPr>
        <w:t>Regional lymph node metastatic.</w:t>
      </w:r>
    </w:p>
    <w:p w14:paraId="19EC1950" w14:textId="77777777" w:rsidR="00587B1F" w:rsidRPr="00CF4CBE" w:rsidRDefault="00587B1F" w:rsidP="009B3806">
      <w:pPr>
        <w:spacing w:before="120" w:after="120"/>
        <w:rPr>
          <w:sz w:val="18"/>
          <w:szCs w:val="18"/>
        </w:rPr>
      </w:pPr>
      <w:r w:rsidRPr="00CF4CBE">
        <w:rPr>
          <w:sz w:val="18"/>
          <w:szCs w:val="18"/>
          <w:vertAlign w:val="superscript"/>
        </w:rPr>
        <w:lastRenderedPageBreak/>
        <w:t>c</w:t>
      </w:r>
      <w:r w:rsidRPr="00CF4CBE">
        <w:rPr>
          <w:sz w:val="18"/>
          <w:szCs w:val="18"/>
        </w:rPr>
        <w:t>Other race includes people who selected Asian or Black or African American.</w:t>
      </w:r>
    </w:p>
    <w:p w14:paraId="11E6AD15" w14:textId="2DCD4E57" w:rsidR="0021416D" w:rsidRPr="00CF4CBE" w:rsidRDefault="00587B1F" w:rsidP="009B3806">
      <w:pPr>
        <w:spacing w:before="120" w:after="120"/>
        <w:rPr>
          <w:sz w:val="18"/>
          <w:szCs w:val="18"/>
        </w:rPr>
      </w:pPr>
      <w:r w:rsidRPr="00CF4CBE">
        <w:rPr>
          <w:b/>
          <w:bCs/>
          <w:sz w:val="18"/>
          <w:szCs w:val="18"/>
        </w:rPr>
        <w:t>Abbreviations</w:t>
      </w:r>
      <w:r w:rsidRPr="00CF4CBE">
        <w:rPr>
          <w:sz w:val="18"/>
          <w:szCs w:val="18"/>
        </w:rPr>
        <w:t xml:space="preserve">: </w:t>
      </w:r>
      <w:r w:rsidR="00CD55BB">
        <w:rPr>
          <w:sz w:val="18"/>
          <w:szCs w:val="18"/>
        </w:rPr>
        <w:t xml:space="preserve">CI, confidence interval; </w:t>
      </w:r>
      <w:r w:rsidRPr="00CF4CBE">
        <w:rPr>
          <w:sz w:val="18"/>
          <w:szCs w:val="18"/>
        </w:rPr>
        <w:t xml:space="preserve">CSCC, cutaneous squamous cell carcinoma; ECOG, Eastern Cooperative Oncology Group; LN, lymph node; LOT, line of therapy; </w:t>
      </w:r>
      <w:r w:rsidR="00CD55BB">
        <w:rPr>
          <w:sz w:val="18"/>
          <w:szCs w:val="18"/>
        </w:rPr>
        <w:t xml:space="preserve">n, number; </w:t>
      </w:r>
      <w:r w:rsidRPr="00CF4CBE">
        <w:rPr>
          <w:sz w:val="18"/>
          <w:szCs w:val="18"/>
        </w:rPr>
        <w:t>NA, not applicable</w:t>
      </w:r>
      <w:r w:rsidR="00CD55BB">
        <w:rPr>
          <w:sz w:val="18"/>
          <w:szCs w:val="18"/>
        </w:rPr>
        <w:t>; Q, quartile; y, years</w:t>
      </w:r>
      <w:r w:rsidRPr="00CF4CBE">
        <w:rPr>
          <w:sz w:val="18"/>
          <w:szCs w:val="18"/>
        </w:rPr>
        <w:t>.</w:t>
      </w:r>
    </w:p>
    <w:p w14:paraId="4505C048" w14:textId="77777777" w:rsidR="0021416D" w:rsidRPr="00CF4CBE" w:rsidRDefault="0021416D">
      <w:pPr>
        <w:spacing w:line="240" w:lineRule="auto"/>
        <w:rPr>
          <w:sz w:val="18"/>
          <w:szCs w:val="18"/>
        </w:rPr>
        <w:sectPr w:rsidR="0021416D" w:rsidRPr="00CF4CBE" w:rsidSect="00FA560F">
          <w:footerReference w:type="even" r:id="rId11"/>
          <w:footerReference w:type="default" r:id="rId12"/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  <w:r w:rsidRPr="00CF4CBE">
        <w:rPr>
          <w:sz w:val="18"/>
          <w:szCs w:val="18"/>
        </w:rPr>
        <w:br w:type="page"/>
      </w:r>
    </w:p>
    <w:p w14:paraId="3D5FF28E" w14:textId="25E24C8E" w:rsidR="00587B1F" w:rsidRPr="00CF4CBE" w:rsidRDefault="00587B1F" w:rsidP="009B3806">
      <w:pPr>
        <w:pStyle w:val="Caption"/>
        <w:keepNext/>
        <w:spacing w:before="120" w:after="120" w:line="480" w:lineRule="auto"/>
      </w:pPr>
      <w:bookmarkStart w:id="1" w:name="_Ref121298522"/>
      <w:bookmarkStart w:id="2" w:name="_Ref120019721"/>
      <w:r w:rsidRPr="00CF4CBE">
        <w:lastRenderedPageBreak/>
        <w:t xml:space="preserve">Supplemental Figure </w:t>
      </w:r>
      <w:r w:rsidR="00DD14D8">
        <w:fldChar w:fldCharType="begin"/>
      </w:r>
      <w:r w:rsidR="00DD14D8">
        <w:instrText xml:space="preserve"> SEQ Supplemental_Figure \* ARABIC </w:instrText>
      </w:r>
      <w:r w:rsidR="00DD14D8">
        <w:fldChar w:fldCharType="separate"/>
      </w:r>
      <w:r w:rsidRPr="00CF4CBE">
        <w:rPr>
          <w:noProof/>
        </w:rPr>
        <w:t>1</w:t>
      </w:r>
      <w:r w:rsidR="00DD14D8">
        <w:rPr>
          <w:noProof/>
        </w:rPr>
        <w:fldChar w:fldCharType="end"/>
      </w:r>
      <w:bookmarkEnd w:id="1"/>
      <w:r w:rsidR="00371AEE" w:rsidRPr="00CF4CBE">
        <w:t>:</w:t>
      </w:r>
      <w:r w:rsidRPr="00CF4CBE">
        <w:t xml:space="preserve"> Study design</w:t>
      </w:r>
      <w:r w:rsidR="00371AEE" w:rsidRPr="00CF4CBE">
        <w:t>.</w:t>
      </w:r>
    </w:p>
    <w:p w14:paraId="24E8F6F9" w14:textId="4D7A6756" w:rsidR="00587B1F" w:rsidRPr="00CF4CBE" w:rsidRDefault="004157A6" w:rsidP="009B3806">
      <w:pPr>
        <w:pStyle w:val="Caption"/>
        <w:keepNext/>
        <w:spacing w:before="120" w:after="120" w:line="480" w:lineRule="auto"/>
      </w:pPr>
      <w:r w:rsidRPr="004157A6">
        <w:drawing>
          <wp:inline distT="0" distB="0" distL="0" distR="0" wp14:anchorId="6BDB22AF" wp14:editId="5FD0BC0E">
            <wp:extent cx="5943600" cy="3797300"/>
            <wp:effectExtent l="0" t="0" r="0" b="0"/>
            <wp:docPr id="1224222648" name="Picture 1" descr="A diagram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22648" name="Picture 1" descr="A diagram of a projec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1560" w14:textId="7FF2070A" w:rsidR="00587B1F" w:rsidRPr="00CF4CBE" w:rsidRDefault="00587B1F" w:rsidP="009B3806">
      <w:pPr>
        <w:spacing w:before="120" w:after="120"/>
      </w:pPr>
      <w:r w:rsidRPr="00CF4CBE">
        <w:rPr>
          <w:b/>
          <w:bCs/>
          <w:sz w:val="18"/>
          <w:szCs w:val="18"/>
        </w:rPr>
        <w:t>Abbreviations</w:t>
      </w:r>
      <w:r w:rsidRPr="00CF4CBE">
        <w:rPr>
          <w:sz w:val="18"/>
          <w:szCs w:val="18"/>
        </w:rPr>
        <w:t>: CSCC, cutaneous squamous cell carcinoma; dx, diagnosis; LOT, line of therapy; Rx, prescription.</w:t>
      </w:r>
      <w:r w:rsidRPr="00CF4CBE">
        <w:br w:type="page"/>
      </w:r>
    </w:p>
    <w:p w14:paraId="50C9D206" w14:textId="2F4AB7FF" w:rsidR="00587B1F" w:rsidRPr="00CF4CBE" w:rsidRDefault="00587B1F" w:rsidP="009B3806">
      <w:pPr>
        <w:pStyle w:val="Caption"/>
        <w:keepNext/>
        <w:spacing w:before="120" w:after="120" w:line="480" w:lineRule="auto"/>
      </w:pPr>
      <w:bookmarkStart w:id="3" w:name="_Ref121323555"/>
      <w:r w:rsidRPr="00CF4CBE">
        <w:lastRenderedPageBreak/>
        <w:t xml:space="preserve">Supplemental Figure </w:t>
      </w:r>
      <w:r w:rsidR="00DD14D8">
        <w:fldChar w:fldCharType="begin"/>
      </w:r>
      <w:r w:rsidR="00DD14D8">
        <w:instrText xml:space="preserve"> SEQ Supplemental_Figure \* ARABIC </w:instrText>
      </w:r>
      <w:r w:rsidR="00DD14D8">
        <w:fldChar w:fldCharType="separate"/>
      </w:r>
      <w:r w:rsidRPr="00CF4CBE">
        <w:rPr>
          <w:noProof/>
        </w:rPr>
        <w:t>2</w:t>
      </w:r>
      <w:r w:rsidR="00DD14D8">
        <w:rPr>
          <w:noProof/>
        </w:rPr>
        <w:fldChar w:fldCharType="end"/>
      </w:r>
      <w:bookmarkEnd w:id="2"/>
      <w:bookmarkEnd w:id="3"/>
      <w:r w:rsidR="00371AEE" w:rsidRPr="00CF4CBE">
        <w:t>:</w:t>
      </w:r>
      <w:r w:rsidRPr="00CF4CBE">
        <w:t xml:space="preserve"> </w:t>
      </w:r>
      <w:r w:rsidR="00EA66F2">
        <w:t>OS</w:t>
      </w:r>
      <w:r w:rsidRPr="00CF4CBE">
        <w:t xml:space="preserve"> in main cohort stratified by index year</w:t>
      </w:r>
      <w:r w:rsidR="00371AEE" w:rsidRPr="00CF4CBE">
        <w:t>.</w:t>
      </w:r>
    </w:p>
    <w:p w14:paraId="698B1B53" w14:textId="06F46D34" w:rsidR="00587B1F" w:rsidRPr="00CF4CBE" w:rsidRDefault="004157A6" w:rsidP="009B3806">
      <w:pPr>
        <w:spacing w:before="120" w:after="120"/>
      </w:pPr>
      <w:r w:rsidRPr="004157A6">
        <w:drawing>
          <wp:inline distT="0" distB="0" distL="0" distR="0" wp14:anchorId="6A0E12F1" wp14:editId="44EA91AB">
            <wp:extent cx="5943600" cy="4826635"/>
            <wp:effectExtent l="0" t="0" r="0" b="0"/>
            <wp:docPr id="782773168" name="Picture 1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73168" name="Picture 1" descr="A graph of a number of patient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B489" w14:textId="4E24579A" w:rsidR="00587B1F" w:rsidRPr="00CF4CBE" w:rsidRDefault="00587B1F" w:rsidP="009B3806">
      <w:pPr>
        <w:spacing w:before="120" w:after="120"/>
      </w:pPr>
      <w:r w:rsidRPr="00CF4CBE">
        <w:rPr>
          <w:b/>
          <w:bCs/>
          <w:sz w:val="18"/>
          <w:szCs w:val="18"/>
        </w:rPr>
        <w:t>Abbreviations</w:t>
      </w:r>
      <w:r w:rsidRPr="00CF4CBE">
        <w:rPr>
          <w:sz w:val="18"/>
          <w:szCs w:val="18"/>
        </w:rPr>
        <w:t>: NE, not estimable; OS, overall survival.</w:t>
      </w:r>
      <w:r w:rsidRPr="00CF4CBE">
        <w:br w:type="page"/>
      </w:r>
    </w:p>
    <w:p w14:paraId="7221D617" w14:textId="4E8A04EA" w:rsidR="00587B1F" w:rsidRPr="00CF4CBE" w:rsidRDefault="00587B1F" w:rsidP="009B3806">
      <w:pPr>
        <w:pStyle w:val="Caption"/>
        <w:keepNext/>
        <w:spacing w:before="120" w:after="120" w:line="480" w:lineRule="auto"/>
      </w:pPr>
      <w:bookmarkStart w:id="4" w:name="_Ref120020024"/>
      <w:r w:rsidRPr="00CF4CBE">
        <w:lastRenderedPageBreak/>
        <w:t xml:space="preserve">Supplemental Figure </w:t>
      </w:r>
      <w:r w:rsidR="00DD14D8">
        <w:fldChar w:fldCharType="begin"/>
      </w:r>
      <w:r w:rsidR="00DD14D8">
        <w:instrText xml:space="preserve"> SEQ Supplemental_Figure \* ARABIC </w:instrText>
      </w:r>
      <w:r w:rsidR="00DD14D8">
        <w:fldChar w:fldCharType="separate"/>
      </w:r>
      <w:r w:rsidRPr="00CF4CBE">
        <w:rPr>
          <w:noProof/>
        </w:rPr>
        <w:t>3</w:t>
      </w:r>
      <w:r w:rsidR="00DD14D8">
        <w:rPr>
          <w:noProof/>
        </w:rPr>
        <w:fldChar w:fldCharType="end"/>
      </w:r>
      <w:bookmarkEnd w:id="4"/>
      <w:r w:rsidR="00371AEE" w:rsidRPr="00CF4CBE">
        <w:t>:</w:t>
      </w:r>
      <w:r w:rsidRPr="00CF4CBE">
        <w:t xml:space="preserve"> Cox results</w:t>
      </w:r>
      <w:r w:rsidR="00371AEE" w:rsidRPr="00CF4CBE">
        <w:t>.</w:t>
      </w:r>
    </w:p>
    <w:p w14:paraId="171F26F8" w14:textId="6699F482" w:rsidR="00587B1F" w:rsidRPr="00CF4CBE" w:rsidRDefault="004157A6" w:rsidP="009B3806">
      <w:pPr>
        <w:spacing w:before="120" w:after="120"/>
      </w:pPr>
      <w:r w:rsidRPr="004157A6">
        <w:drawing>
          <wp:inline distT="0" distB="0" distL="0" distR="0" wp14:anchorId="3B45FC5D" wp14:editId="11EF80D1">
            <wp:extent cx="5943600" cy="5593715"/>
            <wp:effectExtent l="0" t="0" r="0" b="6985"/>
            <wp:docPr id="1367066841" name="Picture 1" descr="A graph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66841" name="Picture 1" descr="A graph with numbers and lines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586E" w14:textId="77777777" w:rsidR="00D20E21" w:rsidRDefault="00587B1F" w:rsidP="009B3806">
      <w:pPr>
        <w:spacing w:before="120" w:after="120"/>
        <w:rPr>
          <w:sz w:val="18"/>
          <w:szCs w:val="18"/>
        </w:rPr>
      </w:pPr>
      <w:r w:rsidRPr="00CF4CBE">
        <w:rPr>
          <w:b/>
          <w:bCs/>
          <w:sz w:val="18"/>
          <w:szCs w:val="18"/>
        </w:rPr>
        <w:t>Abbreviations</w:t>
      </w:r>
      <w:r w:rsidRPr="00CF4CBE">
        <w:rPr>
          <w:sz w:val="18"/>
          <w:szCs w:val="18"/>
        </w:rPr>
        <w:t>: CSCC, cutaneous squamous cell carcinoma; ECOG PS, Eastern Oncology Cooperative Group performance status.</w:t>
      </w:r>
    </w:p>
    <w:sectPr w:rsidR="00D20E21" w:rsidSect="00FA560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CEB2" w14:textId="77777777" w:rsidR="00FA560F" w:rsidRDefault="00FA560F">
      <w:r>
        <w:separator/>
      </w:r>
    </w:p>
  </w:endnote>
  <w:endnote w:type="continuationSeparator" w:id="0">
    <w:p w14:paraId="7D9FE452" w14:textId="77777777" w:rsidR="00FA560F" w:rsidRDefault="00FA560F">
      <w:r>
        <w:continuationSeparator/>
      </w:r>
    </w:p>
  </w:endnote>
  <w:endnote w:type="continuationNotice" w:id="1">
    <w:p w14:paraId="00161401" w14:textId="77777777" w:rsidR="00FA560F" w:rsidRDefault="00FA56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53D8582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15A">
      <w:rPr>
        <w:rStyle w:val="PageNumber"/>
        <w:noProof/>
      </w:rPr>
      <w:t>8</w: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667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E50F7" w14:textId="7EA81849" w:rsidR="00EE1423" w:rsidRDefault="00EE14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0275" w14:textId="77777777" w:rsidR="00FA560F" w:rsidRDefault="00FA560F">
      <w:r>
        <w:separator/>
      </w:r>
    </w:p>
  </w:footnote>
  <w:footnote w:type="continuationSeparator" w:id="0">
    <w:p w14:paraId="662EE317" w14:textId="77777777" w:rsidR="00FA560F" w:rsidRDefault="00FA560F">
      <w:r>
        <w:continuationSeparator/>
      </w:r>
    </w:p>
  </w:footnote>
  <w:footnote w:type="continuationNotice" w:id="1">
    <w:p w14:paraId="14669C08" w14:textId="77777777" w:rsidR="00FA560F" w:rsidRDefault="00FA560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70A32"/>
    <w:multiLevelType w:val="hybridMultilevel"/>
    <w:tmpl w:val="909E807C"/>
    <w:lvl w:ilvl="0" w:tplc="78C6A0A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174AD4C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F8AA48A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08E241F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D6DAFB9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16D6837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EC285C6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72E08B5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3960845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D2773"/>
    <w:multiLevelType w:val="hybridMultilevel"/>
    <w:tmpl w:val="4552E128"/>
    <w:lvl w:ilvl="0" w:tplc="69CEA5F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A47EF23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B8843C0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62E0A6E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5080C16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9EF6C76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BED68C4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EC9E2BF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2C9E142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num w:numId="1" w16cid:durableId="1836022407">
    <w:abstractNumId w:val="1"/>
  </w:num>
  <w:num w:numId="2" w16cid:durableId="1286737903">
    <w:abstractNumId w:val="3"/>
  </w:num>
  <w:num w:numId="3" w16cid:durableId="162866206">
    <w:abstractNumId w:val="6"/>
  </w:num>
  <w:num w:numId="4" w16cid:durableId="2102137271">
    <w:abstractNumId w:val="4"/>
  </w:num>
  <w:num w:numId="5" w16cid:durableId="227151038">
    <w:abstractNumId w:val="0"/>
  </w:num>
  <w:num w:numId="6" w16cid:durableId="53360213">
    <w:abstractNumId w:val="5"/>
  </w:num>
  <w:num w:numId="7" w16cid:durableId="1461455573">
    <w:abstractNumId w:val="2"/>
  </w:num>
  <w:num w:numId="8" w16cid:durableId="1327171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2x500dudpe2bepfawvv0w1rsw9trdrdpfs&quot;&gt;22096 Flatiron CSCC ms_Can Man Re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/record-ids&gt;&lt;/item&gt;&lt;/Libraries&gt;"/>
  </w:docVars>
  <w:rsids>
    <w:rsidRoot w:val="00B30BC3"/>
    <w:rsid w:val="00006E2A"/>
    <w:rsid w:val="00033695"/>
    <w:rsid w:val="000342A0"/>
    <w:rsid w:val="00035CCC"/>
    <w:rsid w:val="00042FD9"/>
    <w:rsid w:val="00043C1E"/>
    <w:rsid w:val="0005257A"/>
    <w:rsid w:val="00054361"/>
    <w:rsid w:val="0005701A"/>
    <w:rsid w:val="00057DEC"/>
    <w:rsid w:val="00062025"/>
    <w:rsid w:val="000666AF"/>
    <w:rsid w:val="0007252D"/>
    <w:rsid w:val="0008401B"/>
    <w:rsid w:val="00087F9B"/>
    <w:rsid w:val="00090414"/>
    <w:rsid w:val="000A4388"/>
    <w:rsid w:val="000B2BC9"/>
    <w:rsid w:val="000C59ED"/>
    <w:rsid w:val="000D3E37"/>
    <w:rsid w:val="000E6B48"/>
    <w:rsid w:val="000E7758"/>
    <w:rsid w:val="00117777"/>
    <w:rsid w:val="00117934"/>
    <w:rsid w:val="00127CD5"/>
    <w:rsid w:val="00133CC9"/>
    <w:rsid w:val="0013736A"/>
    <w:rsid w:val="001414A6"/>
    <w:rsid w:val="001425E2"/>
    <w:rsid w:val="0017004E"/>
    <w:rsid w:val="00170F20"/>
    <w:rsid w:val="00173279"/>
    <w:rsid w:val="00191F49"/>
    <w:rsid w:val="001B2378"/>
    <w:rsid w:val="001B68B3"/>
    <w:rsid w:val="001E7479"/>
    <w:rsid w:val="00203209"/>
    <w:rsid w:val="00210AD8"/>
    <w:rsid w:val="00210B3B"/>
    <w:rsid w:val="0021416D"/>
    <w:rsid w:val="00217684"/>
    <w:rsid w:val="00217D65"/>
    <w:rsid w:val="00222AF4"/>
    <w:rsid w:val="0022632E"/>
    <w:rsid w:val="0022707E"/>
    <w:rsid w:val="00240E76"/>
    <w:rsid w:val="00246A32"/>
    <w:rsid w:val="00270A96"/>
    <w:rsid w:val="00272487"/>
    <w:rsid w:val="00285503"/>
    <w:rsid w:val="00286E82"/>
    <w:rsid w:val="00291CB8"/>
    <w:rsid w:val="00294CB0"/>
    <w:rsid w:val="002A0973"/>
    <w:rsid w:val="002A2D9E"/>
    <w:rsid w:val="002B11FB"/>
    <w:rsid w:val="002D1A3E"/>
    <w:rsid w:val="002F4012"/>
    <w:rsid w:val="003050D0"/>
    <w:rsid w:val="00311180"/>
    <w:rsid w:val="003155A1"/>
    <w:rsid w:val="00315789"/>
    <w:rsid w:val="00320065"/>
    <w:rsid w:val="00320521"/>
    <w:rsid w:val="00324666"/>
    <w:rsid w:val="00347AD1"/>
    <w:rsid w:val="0035716B"/>
    <w:rsid w:val="00371AEE"/>
    <w:rsid w:val="0037212B"/>
    <w:rsid w:val="003779E2"/>
    <w:rsid w:val="0038573C"/>
    <w:rsid w:val="0038598C"/>
    <w:rsid w:val="0039041E"/>
    <w:rsid w:val="003948EC"/>
    <w:rsid w:val="003A6F39"/>
    <w:rsid w:val="003B4083"/>
    <w:rsid w:val="003C227D"/>
    <w:rsid w:val="003D171C"/>
    <w:rsid w:val="003D69BD"/>
    <w:rsid w:val="003E5753"/>
    <w:rsid w:val="00410570"/>
    <w:rsid w:val="00411796"/>
    <w:rsid w:val="004157A6"/>
    <w:rsid w:val="00427E05"/>
    <w:rsid w:val="00431388"/>
    <w:rsid w:val="004675C1"/>
    <w:rsid w:val="004718F7"/>
    <w:rsid w:val="00473BF1"/>
    <w:rsid w:val="004754C9"/>
    <w:rsid w:val="00475842"/>
    <w:rsid w:val="00476558"/>
    <w:rsid w:val="00480724"/>
    <w:rsid w:val="00491206"/>
    <w:rsid w:val="004B3B29"/>
    <w:rsid w:val="004B52C5"/>
    <w:rsid w:val="004B7B8B"/>
    <w:rsid w:val="004C5313"/>
    <w:rsid w:val="004C5DB2"/>
    <w:rsid w:val="004E0368"/>
    <w:rsid w:val="004E2F6D"/>
    <w:rsid w:val="004E782D"/>
    <w:rsid w:val="004F305F"/>
    <w:rsid w:val="00511DB2"/>
    <w:rsid w:val="00553800"/>
    <w:rsid w:val="00556F09"/>
    <w:rsid w:val="00565970"/>
    <w:rsid w:val="00573828"/>
    <w:rsid w:val="00587B1F"/>
    <w:rsid w:val="00591C10"/>
    <w:rsid w:val="00594DC0"/>
    <w:rsid w:val="005A6431"/>
    <w:rsid w:val="005B6332"/>
    <w:rsid w:val="005D3515"/>
    <w:rsid w:val="005E1ECB"/>
    <w:rsid w:val="005F4765"/>
    <w:rsid w:val="00600B5C"/>
    <w:rsid w:val="0060400B"/>
    <w:rsid w:val="00605A50"/>
    <w:rsid w:val="00611C5F"/>
    <w:rsid w:val="00613D94"/>
    <w:rsid w:val="00616A5D"/>
    <w:rsid w:val="0062140C"/>
    <w:rsid w:val="00625B57"/>
    <w:rsid w:val="00646CF0"/>
    <w:rsid w:val="00661C2D"/>
    <w:rsid w:val="00661D2F"/>
    <w:rsid w:val="00662E52"/>
    <w:rsid w:val="006643B7"/>
    <w:rsid w:val="00664525"/>
    <w:rsid w:val="00667BDF"/>
    <w:rsid w:val="00680193"/>
    <w:rsid w:val="00686508"/>
    <w:rsid w:val="006A72A7"/>
    <w:rsid w:val="006B242E"/>
    <w:rsid w:val="006C5368"/>
    <w:rsid w:val="006C58F2"/>
    <w:rsid w:val="006C6E88"/>
    <w:rsid w:val="006D0474"/>
    <w:rsid w:val="006D142F"/>
    <w:rsid w:val="006D4AC5"/>
    <w:rsid w:val="006E7713"/>
    <w:rsid w:val="00703585"/>
    <w:rsid w:val="00711171"/>
    <w:rsid w:val="00723455"/>
    <w:rsid w:val="007265D3"/>
    <w:rsid w:val="00740F67"/>
    <w:rsid w:val="00745C2A"/>
    <w:rsid w:val="00750335"/>
    <w:rsid w:val="00753E6B"/>
    <w:rsid w:val="00770D32"/>
    <w:rsid w:val="00772D42"/>
    <w:rsid w:val="00774578"/>
    <w:rsid w:val="00776A7C"/>
    <w:rsid w:val="00780A29"/>
    <w:rsid w:val="00786D0A"/>
    <w:rsid w:val="007900DA"/>
    <w:rsid w:val="007A1BDB"/>
    <w:rsid w:val="007A2AB8"/>
    <w:rsid w:val="007A3BEE"/>
    <w:rsid w:val="007A57BE"/>
    <w:rsid w:val="007C30BC"/>
    <w:rsid w:val="007C3C11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D3C95"/>
    <w:rsid w:val="008E3EA8"/>
    <w:rsid w:val="008E4571"/>
    <w:rsid w:val="008F07DA"/>
    <w:rsid w:val="00900663"/>
    <w:rsid w:val="00901244"/>
    <w:rsid w:val="00913470"/>
    <w:rsid w:val="0091401F"/>
    <w:rsid w:val="009140FE"/>
    <w:rsid w:val="009147B3"/>
    <w:rsid w:val="00927DE6"/>
    <w:rsid w:val="00931361"/>
    <w:rsid w:val="009345FC"/>
    <w:rsid w:val="00937F3D"/>
    <w:rsid w:val="00945BEC"/>
    <w:rsid w:val="00946800"/>
    <w:rsid w:val="00947663"/>
    <w:rsid w:val="009563F4"/>
    <w:rsid w:val="00956C4D"/>
    <w:rsid w:val="009828D3"/>
    <w:rsid w:val="00992CB9"/>
    <w:rsid w:val="009A1F5A"/>
    <w:rsid w:val="009B1D49"/>
    <w:rsid w:val="009B3806"/>
    <w:rsid w:val="009B4157"/>
    <w:rsid w:val="009D3AD0"/>
    <w:rsid w:val="009E4CA8"/>
    <w:rsid w:val="009E61E2"/>
    <w:rsid w:val="00A10913"/>
    <w:rsid w:val="00A20FFB"/>
    <w:rsid w:val="00A3756A"/>
    <w:rsid w:val="00A445D7"/>
    <w:rsid w:val="00A6170F"/>
    <w:rsid w:val="00A63CD7"/>
    <w:rsid w:val="00A70251"/>
    <w:rsid w:val="00A86F87"/>
    <w:rsid w:val="00AB389E"/>
    <w:rsid w:val="00AB47E4"/>
    <w:rsid w:val="00AC1F93"/>
    <w:rsid w:val="00AC5480"/>
    <w:rsid w:val="00AD76B0"/>
    <w:rsid w:val="00AE257F"/>
    <w:rsid w:val="00AE5062"/>
    <w:rsid w:val="00AE54F9"/>
    <w:rsid w:val="00B26A6E"/>
    <w:rsid w:val="00B30BC3"/>
    <w:rsid w:val="00B7570E"/>
    <w:rsid w:val="00B75EF4"/>
    <w:rsid w:val="00B82724"/>
    <w:rsid w:val="00B8558A"/>
    <w:rsid w:val="00B86FEB"/>
    <w:rsid w:val="00B95857"/>
    <w:rsid w:val="00B96017"/>
    <w:rsid w:val="00BB027B"/>
    <w:rsid w:val="00BB1344"/>
    <w:rsid w:val="00BC41A2"/>
    <w:rsid w:val="00BD2C83"/>
    <w:rsid w:val="00BF52B3"/>
    <w:rsid w:val="00C43B3D"/>
    <w:rsid w:val="00C548FC"/>
    <w:rsid w:val="00C701F9"/>
    <w:rsid w:val="00C94612"/>
    <w:rsid w:val="00CA0CFC"/>
    <w:rsid w:val="00CB0023"/>
    <w:rsid w:val="00CB6B35"/>
    <w:rsid w:val="00CC1ADF"/>
    <w:rsid w:val="00CD55BB"/>
    <w:rsid w:val="00CD6F5E"/>
    <w:rsid w:val="00CD758F"/>
    <w:rsid w:val="00CD7DB8"/>
    <w:rsid w:val="00CE79D7"/>
    <w:rsid w:val="00CE7DDC"/>
    <w:rsid w:val="00CF4CBE"/>
    <w:rsid w:val="00D00B4B"/>
    <w:rsid w:val="00D10823"/>
    <w:rsid w:val="00D12707"/>
    <w:rsid w:val="00D20E21"/>
    <w:rsid w:val="00D20F53"/>
    <w:rsid w:val="00D42C54"/>
    <w:rsid w:val="00D50641"/>
    <w:rsid w:val="00D507A0"/>
    <w:rsid w:val="00D51863"/>
    <w:rsid w:val="00D5715A"/>
    <w:rsid w:val="00D578A6"/>
    <w:rsid w:val="00D700C3"/>
    <w:rsid w:val="00D7204D"/>
    <w:rsid w:val="00D749CC"/>
    <w:rsid w:val="00D81B3E"/>
    <w:rsid w:val="00D94F22"/>
    <w:rsid w:val="00DB0A0D"/>
    <w:rsid w:val="00DD14D8"/>
    <w:rsid w:val="00DD62D2"/>
    <w:rsid w:val="00DE1DDB"/>
    <w:rsid w:val="00DE5F42"/>
    <w:rsid w:val="00DF4C7F"/>
    <w:rsid w:val="00DF6A1F"/>
    <w:rsid w:val="00E031E1"/>
    <w:rsid w:val="00E1216B"/>
    <w:rsid w:val="00E12A93"/>
    <w:rsid w:val="00E45ED2"/>
    <w:rsid w:val="00E62157"/>
    <w:rsid w:val="00E649C1"/>
    <w:rsid w:val="00E96D45"/>
    <w:rsid w:val="00EA66F2"/>
    <w:rsid w:val="00EA6EE0"/>
    <w:rsid w:val="00EC0D75"/>
    <w:rsid w:val="00ED3981"/>
    <w:rsid w:val="00ED4D96"/>
    <w:rsid w:val="00EE0017"/>
    <w:rsid w:val="00EE0956"/>
    <w:rsid w:val="00EE1423"/>
    <w:rsid w:val="00EE2FBA"/>
    <w:rsid w:val="00EE3604"/>
    <w:rsid w:val="00F03012"/>
    <w:rsid w:val="00F05A9C"/>
    <w:rsid w:val="00F05E46"/>
    <w:rsid w:val="00F14C90"/>
    <w:rsid w:val="00F16121"/>
    <w:rsid w:val="00F210A1"/>
    <w:rsid w:val="00F24210"/>
    <w:rsid w:val="00F24B6C"/>
    <w:rsid w:val="00F41860"/>
    <w:rsid w:val="00F424C5"/>
    <w:rsid w:val="00F425D5"/>
    <w:rsid w:val="00F56A5E"/>
    <w:rsid w:val="00F67733"/>
    <w:rsid w:val="00F80CD4"/>
    <w:rsid w:val="00F82795"/>
    <w:rsid w:val="00F91124"/>
    <w:rsid w:val="00F9503E"/>
    <w:rsid w:val="00FA2EA1"/>
    <w:rsid w:val="00FA560F"/>
    <w:rsid w:val="00FB557D"/>
    <w:rsid w:val="00FB5A89"/>
    <w:rsid w:val="00FC05F2"/>
    <w:rsid w:val="00FD4807"/>
    <w:rsid w:val="00FF2660"/>
    <w:rsid w:val="00FF6617"/>
    <w:rsid w:val="00FF6EA8"/>
    <w:rsid w:val="00FF7196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customStyle="1" w:styleId="paragraph">
    <w:name w:val="paragraph"/>
    <w:basedOn w:val="Normal"/>
    <w:rsid w:val="007C3C1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7C3C11"/>
  </w:style>
  <w:style w:type="character" w:customStyle="1" w:styleId="eop">
    <w:name w:val="eop"/>
    <w:basedOn w:val="DefaultParagraphFont"/>
    <w:rsid w:val="007C3C11"/>
  </w:style>
  <w:style w:type="character" w:styleId="FollowedHyperlink">
    <w:name w:val="FollowedHyperlink"/>
    <w:basedOn w:val="DefaultParagraphFont"/>
    <w:rsid w:val="00FF71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1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7196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F7196"/>
    <w:pPr>
      <w:spacing w:after="200" w:line="240" w:lineRule="auto"/>
    </w:pPr>
    <w:rPr>
      <w:rFonts w:eastAsia="Calibri" w:cs="Arial"/>
      <w:b/>
      <w:iCs/>
      <w:sz w:val="22"/>
      <w:szCs w:val="18"/>
    </w:rPr>
  </w:style>
  <w:style w:type="paragraph" w:styleId="Revision">
    <w:name w:val="Revision"/>
    <w:hidden/>
    <w:uiPriority w:val="99"/>
    <w:semiHidden/>
    <w:rsid w:val="0022707E"/>
    <w:rPr>
      <w:rFonts w:ascii="Arial" w:hAnsi="Arial"/>
      <w:szCs w:val="24"/>
    </w:rPr>
  </w:style>
  <w:style w:type="character" w:styleId="Strong">
    <w:name w:val="Strong"/>
    <w:basedOn w:val="DefaultParagraphFont"/>
    <w:qFormat/>
    <w:rsid w:val="00D12707"/>
    <w:rPr>
      <w:b/>
      <w:bCs/>
    </w:rPr>
  </w:style>
  <w:style w:type="paragraph" w:styleId="NoSpacing">
    <w:name w:val="No Spacing"/>
    <w:uiPriority w:val="1"/>
    <w:qFormat/>
    <w:rsid w:val="0035716B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14C90"/>
    <w:rPr>
      <w:rFonts w:ascii="Arial" w:hAnsi="Arial" w:cs="Arial"/>
      <w:b/>
      <w:bCs/>
      <w:kern w:val="32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D20E21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0E21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20E21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20E21"/>
    <w:rPr>
      <w:rFonts w:ascii="Arial" w:hAnsi="Arial" w:cs="Arial"/>
      <w:noProof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142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A5073D6B334D9AA898231B569048" ma:contentTypeVersion="17" ma:contentTypeDescription="Create a new document." ma:contentTypeScope="" ma:versionID="0ccb84c8b6eecfa28dc75561917277ce">
  <xsd:schema xmlns:xsd="http://www.w3.org/2001/XMLSchema" xmlns:xs="http://www.w3.org/2001/XMLSchema" xmlns:p="http://schemas.microsoft.com/office/2006/metadata/properties" xmlns:ns2="c61a8760-d9af-48cc-b43f-dc7acb148ef7" xmlns:ns3="a785620c-fb3c-4762-8c86-ca89ecf35e94" targetNamespace="http://schemas.microsoft.com/office/2006/metadata/properties" ma:root="true" ma:fieldsID="3f96b0f4d98cfc9d247ad9389dfe7202" ns2:_="" ns3:_="">
    <xsd:import namespace="c61a8760-d9af-48cc-b43f-dc7acb148ef7"/>
    <xsd:import namespace="a785620c-fb3c-4762-8c86-ca89ecf35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8760-d9af-48cc-b43f-dc7acb148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078bdb-18a8-4b38-96d3-955d154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620c-fb3c-4762-8c86-ca89ecf35e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79c693-50ae-4fa5-ae3a-02443bbb2c5e}" ma:internalName="TaxCatchAll" ma:showField="CatchAllData" ma:web="a785620c-fb3c-4762-8c86-ca89ecf35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1a8760-d9af-48cc-b43f-dc7acb148ef7">
      <Terms xmlns="http://schemas.microsoft.com/office/infopath/2007/PartnerControls"/>
    </lcf76f155ced4ddcb4097134ff3c332f>
    <TaxCatchAll xmlns="a785620c-fb3c-4762-8c86-ca89ecf35e94" xsi:nil="true"/>
  </documentManagement>
</p:properties>
</file>

<file path=customXml/itemProps1.xml><?xml version="1.0" encoding="utf-8"?>
<ds:datastoreItem xmlns:ds="http://schemas.openxmlformats.org/officeDocument/2006/customXml" ds:itemID="{2EA742E7-C20A-43AA-AA5A-31C24C60A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92B4C-7490-4542-BC55-2C65373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8760-d9af-48cc-b43f-dc7acb148ef7"/>
    <ds:schemaRef ds:uri="a785620c-fb3c-4762-8c86-ca89ecf35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B7D99-7C40-4371-913C-C2FA13A3C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00FB0-F95E-4887-9F40-1F9B815C6062}">
  <ds:schemaRefs>
    <ds:schemaRef ds:uri="http://schemas.microsoft.com/office/2006/metadata/properties"/>
    <ds:schemaRef ds:uri="http://schemas.microsoft.com/office/infopath/2007/PartnerControls"/>
    <ds:schemaRef ds:uri="c61a8760-d9af-48cc-b43f-dc7acb148ef7"/>
    <ds:schemaRef ds:uri="a785620c-fb3c-4762-8c86-ca89ecf35e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5819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Writer</cp:lastModifiedBy>
  <cp:revision>2</cp:revision>
  <cp:lastPrinted>2009-01-07T21:57:00Z</cp:lastPrinted>
  <dcterms:created xsi:type="dcterms:W3CDTF">2024-03-28T21:10:00Z</dcterms:created>
  <dcterms:modified xsi:type="dcterms:W3CDTF">2024-03-28T21:10:00Z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0x0101005D1EA5073D6B334D9AA898231B569048</vt:lpwstr>
  </property>
  <property fmtid="{D5CDD505-2E9C-101B-9397-08002B2CF9AE}" pid="10" name="MediaServiceImageTags">
    <vt:lpwstr/>
  </property>
</Properties>
</file>