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Arial Regular" w:hAnsi="Arial Regular" w:cs="Arial Regular"/>
        </w:rPr>
      </w:pPr>
      <w:r>
        <w:rPr>
          <w:rFonts w:ascii="Arial Regular" w:hAnsi="Arial Regular" w:cs="Arial Regular"/>
        </w:rPr>
        <w:t>Supplemental Material</w:t>
      </w:r>
    </w:p>
    <w:p>
      <w:pPr>
        <w:rPr>
          <w:rFonts w:hint="eastAsia" w:ascii="Arial Regular" w:hAnsi="Arial Regular" w:cs="Arial Regular"/>
        </w:rPr>
      </w:pPr>
      <w:r>
        <w:rPr>
          <w:rFonts w:ascii="Arial Regular" w:hAnsi="Arial Regular" w:cs="Arial Regular"/>
        </w:rPr>
        <w:t>Table S1. Baseline characteristics comparison between included and excluded patients in hospitalized patients with COVID-19.</w:t>
      </w:r>
    </w:p>
    <w:p>
      <w:pPr>
        <w:rPr>
          <w:rFonts w:hint="eastAsia" w:ascii="Arial Regular" w:hAnsi="Arial Regular" w:cs="Arial Regular"/>
        </w:rPr>
      </w:pPr>
      <w:r>
        <w:rPr>
          <w:rFonts w:ascii="Arial Regular" w:hAnsi="Arial Regular" w:cs="Arial Regular"/>
        </w:rPr>
        <w:t>Table S2. Baseline characteristics of hospitalized patients with COVID-19 in the nirmatrelvir–ritonavir and control groups.</w:t>
      </w:r>
    </w:p>
    <w:p>
      <w:pPr>
        <w:rPr>
          <w:rFonts w:hint="eastAsia" w:ascii="Arial Regular" w:hAnsi="Arial Regular" w:cs="Arial Regular"/>
        </w:rPr>
      </w:pPr>
      <w:r>
        <w:rPr>
          <w:rFonts w:ascii="Arial Regular" w:hAnsi="Arial Regular" w:cs="Arial Regular"/>
        </w:rPr>
        <w:t xml:space="preserve">Table S3. Sensitivity analyses of </w:t>
      </w:r>
      <w:r>
        <w:rPr>
          <w:rFonts w:ascii="Arial Regular" w:hAnsi="Arial Regular" w:cs="Arial Regular"/>
          <w:lang w:eastAsia="zh-Hans"/>
        </w:rPr>
        <w:t>ou</w:t>
      </w:r>
      <w:r>
        <w:rPr>
          <w:rFonts w:ascii="Arial Regular" w:hAnsi="Arial Regular" w:cs="Arial Regular"/>
        </w:rPr>
        <w:t xml:space="preserve">tcomes of </w:t>
      </w:r>
      <w:r>
        <w:rPr>
          <w:rFonts w:ascii="Arial Regular" w:hAnsi="Arial Regular" w:cs="Arial Regular"/>
          <w:lang w:eastAsia="zh-Hans"/>
        </w:rPr>
        <w:t>h</w:t>
      </w:r>
      <w:r>
        <w:rPr>
          <w:rFonts w:ascii="Arial Regular" w:hAnsi="Arial Regular" w:cs="Arial Regular"/>
        </w:rPr>
        <w:t xml:space="preserve">ospitalized COVID-19 patients treated with nirmatrelvir-ritonavir compared to </w:t>
      </w:r>
      <w:r>
        <w:rPr>
          <w:rFonts w:ascii="Arial Regular" w:hAnsi="Arial Regular" w:cs="Arial Regular"/>
          <w:lang w:eastAsia="zh-Hans"/>
        </w:rPr>
        <w:t>the</w:t>
      </w:r>
      <w:r>
        <w:rPr>
          <w:rFonts w:ascii="Arial Regular" w:hAnsi="Arial Regular" w:cs="Arial Regular"/>
        </w:rPr>
        <w:t xml:space="preserve"> control group using Cox regression models</w:t>
      </w:r>
      <w:r>
        <w:rPr>
          <w:rFonts w:hint="eastAsia" w:ascii="Arial Regular" w:hAnsi="Arial Regular" w:cs="Arial Regular"/>
        </w:rPr>
        <w:t>.</w:t>
      </w:r>
    </w:p>
    <w:p>
      <w:pPr>
        <w:rPr>
          <w:rFonts w:hint="eastAsia" w:ascii="Arial Regular" w:hAnsi="Arial Regular" w:cs="Arial Regular"/>
        </w:rPr>
      </w:pPr>
      <w:r>
        <w:rPr>
          <w:rFonts w:ascii="Arial Regular" w:hAnsi="Arial Regular" w:cs="Arial Regular"/>
        </w:rPr>
        <w:t>Table S4. Sensitivity analysis of outcomes in hospitalized COVID-19 patients treated with nirmatrelvir-ritonavir compared to control group after multiple imputation</w:t>
      </w:r>
      <w:r>
        <w:rPr>
          <w:rFonts w:hint="eastAsia" w:ascii="Arial Regular" w:hAnsi="Arial Regular" w:cs="Arial Regular"/>
        </w:rPr>
        <w:t>.</w:t>
      </w:r>
    </w:p>
    <w:p>
      <w:pPr>
        <w:rPr>
          <w:rFonts w:hint="eastAsia" w:ascii="Arial Regular" w:hAnsi="Arial Regular" w:cs="Arial Regular"/>
        </w:rPr>
      </w:pPr>
      <w:r>
        <w:rPr>
          <w:rFonts w:ascii="Arial Regular" w:hAnsi="Arial Regular" w:cs="Arial Regular"/>
        </w:rPr>
        <w:t>Table S5. Sensitivity analysis of nirmatrelvir-ritonavir's effects on outcomes in hospitalized COVID-19 patients including events within 24 Hours of admission.</w:t>
      </w:r>
    </w:p>
    <w:p>
      <w:pPr>
        <w:rPr>
          <w:rFonts w:hint="eastAsia" w:ascii="Arial Regular" w:hAnsi="Arial Regular" w:cs="Arial Regular"/>
        </w:rPr>
      </w:pPr>
      <w:r>
        <w:rPr>
          <w:rFonts w:ascii="Arial Regular" w:hAnsi="Arial Regular" w:cs="Arial Regular"/>
        </w:rPr>
        <w:t>Table S6. Subgroup analyses of all-cause mortality for hospitalized COVID-19 nirmatrelvir-ritonavir versus control group after IPTW-adjusted</w:t>
      </w:r>
      <w:r>
        <w:rPr>
          <w:rFonts w:hint="eastAsia" w:ascii="Arial Regular" w:hAnsi="Arial Regular" w:cs="Arial Regular"/>
        </w:rPr>
        <w:t>.</w:t>
      </w:r>
    </w:p>
    <w:p>
      <w:pPr>
        <w:rPr>
          <w:rFonts w:hint="eastAsia" w:ascii="Arial Regular" w:hAnsi="Arial Regular" w:cs="Arial Regular"/>
        </w:rPr>
      </w:pPr>
      <w:r>
        <w:rPr>
          <w:rFonts w:ascii="Arial Regular" w:hAnsi="Arial Regular" w:cs="Arial Regular"/>
        </w:rPr>
        <w:t>Table S7. Subgroup analyses of Disease progression for hospitalized COVID-19 nirmatrelvir-ritonavir versus control group.</w:t>
      </w:r>
    </w:p>
    <w:p>
      <w:pPr>
        <w:rPr>
          <w:rFonts w:hint="eastAsia" w:ascii="Arial Regular" w:hAnsi="Arial Regular" w:cs="Arial Regular"/>
        </w:rPr>
      </w:pPr>
      <w:r>
        <w:rPr>
          <w:rFonts w:ascii="Arial Regular" w:hAnsi="Arial Regular" w:cs="Arial Regular"/>
        </w:rPr>
        <w:t>Table S8. Subgroup analyses of outcomes for hospitalized COVID-19 according to vaccination and immunity status.</w:t>
      </w:r>
    </w:p>
    <w:p>
      <w:pPr>
        <w:rPr>
          <w:rFonts w:hint="eastAsia" w:ascii="Arial Regular" w:hAnsi="Arial Regular" w:cs="Arial Regular"/>
        </w:rPr>
      </w:pPr>
    </w:p>
    <w:p>
      <w:pPr>
        <w:rPr>
          <w:rFonts w:hint="eastAsia" w:ascii="Arial Regular" w:hAnsi="Arial Regular" w:cs="Arial Regular"/>
        </w:rPr>
      </w:pPr>
    </w:p>
    <w:p>
      <w:pPr>
        <w:rPr>
          <w:rFonts w:hint="eastAsia" w:ascii="Arial Regular" w:hAnsi="Arial Regular" w:cs="Arial Regular"/>
        </w:rPr>
      </w:pPr>
    </w:p>
    <w:p>
      <w:pPr>
        <w:rPr>
          <w:rFonts w:hint="eastAsia" w:ascii="Arial Regular" w:hAnsi="Arial Regular" w:cs="Arial Regular"/>
        </w:rPr>
      </w:pPr>
    </w:p>
    <w:p>
      <w:pPr>
        <w:rPr>
          <w:rFonts w:hint="eastAsia" w:ascii="Arial Regular" w:hAnsi="Arial Regular" w:cs="Arial Regular"/>
        </w:rPr>
      </w:pPr>
    </w:p>
    <w:p>
      <w:pPr>
        <w:rPr>
          <w:rFonts w:hint="eastAsia" w:ascii="Arial Regular" w:hAnsi="Arial Regular" w:cs="Arial Regular"/>
        </w:rPr>
      </w:pPr>
    </w:p>
    <w:p>
      <w:pPr>
        <w:rPr>
          <w:rFonts w:hint="eastAsia" w:ascii="Arial Regular" w:hAnsi="Arial Regular" w:cs="Arial Regular"/>
        </w:rPr>
      </w:pPr>
    </w:p>
    <w:p>
      <w:pPr>
        <w:rPr>
          <w:rFonts w:hint="eastAsia" w:ascii="Arial Regular" w:hAnsi="Arial Regular" w:cs="Arial Regular"/>
        </w:rPr>
      </w:pPr>
    </w:p>
    <w:p>
      <w:pPr>
        <w:rPr>
          <w:rFonts w:hint="eastAsia" w:ascii="Arial Regular" w:hAnsi="Arial Regular" w:cs="Arial Regular"/>
        </w:rPr>
      </w:pPr>
    </w:p>
    <w:p>
      <w:pPr>
        <w:rPr>
          <w:rFonts w:hint="eastAsia" w:ascii="Arial Regular" w:hAnsi="Arial Regular" w:cs="Arial Regular"/>
        </w:rPr>
      </w:pPr>
    </w:p>
    <w:p>
      <w:pPr>
        <w:rPr>
          <w:rFonts w:hint="eastAsia" w:ascii="Arial Regular" w:hAnsi="Arial Regular" w:cs="Arial Regular"/>
        </w:rPr>
      </w:pPr>
    </w:p>
    <w:p>
      <w:pPr>
        <w:rPr>
          <w:rFonts w:hint="eastAsia" w:ascii="Arial Regular" w:hAnsi="Arial Regular" w:cs="Arial Regular"/>
        </w:rPr>
      </w:pPr>
    </w:p>
    <w:p>
      <w:pPr>
        <w:rPr>
          <w:rFonts w:hint="eastAsia" w:ascii="Arial Regular" w:hAnsi="Arial Regular" w:cs="Arial Regular"/>
          <w:b/>
          <w:bCs/>
        </w:rPr>
      </w:pPr>
      <w:r>
        <w:rPr>
          <w:rFonts w:ascii="Arial Regular" w:hAnsi="Arial Regular" w:cs="Arial Regular"/>
          <w:b/>
          <w:bCs/>
        </w:rPr>
        <w:t>Table S1. Baseline characteristics comparison between included and excluded patients in hospitalized patients with COVID-19.</w:t>
      </w:r>
    </w:p>
    <w:tbl>
      <w:tblPr>
        <w:tblStyle w:val="5"/>
        <w:tblW w:w="1158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1"/>
        <w:gridCol w:w="2620"/>
        <w:gridCol w:w="2560"/>
        <w:gridCol w:w="2100"/>
      </w:tblGrid>
      <w:tr>
        <w:trPr>
          <w:trHeight w:val="285" w:hRule="atLeast"/>
          <w:jc w:val="center"/>
        </w:trPr>
        <w:tc>
          <w:tcPr>
            <w:tcW w:w="4301" w:type="dxa"/>
            <w:vMerge w:val="restart"/>
            <w:tcBorders>
              <w:top w:val="single" w:color="auto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characteristics</w:t>
            </w:r>
          </w:p>
        </w:tc>
        <w:tc>
          <w:tcPr>
            <w:tcW w:w="262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included participants</w:t>
            </w:r>
          </w:p>
        </w:tc>
        <w:tc>
          <w:tcPr>
            <w:tcW w:w="256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excluded participants</w:t>
            </w:r>
          </w:p>
        </w:tc>
        <w:tc>
          <w:tcPr>
            <w:tcW w:w="2100" w:type="dxa"/>
            <w:vMerge w:val="restart"/>
            <w:tcBorders>
              <w:top w:val="single" w:color="auto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Standardize diff.</w:t>
            </w:r>
          </w:p>
        </w:tc>
      </w:tr>
      <w:tr>
        <w:trPr>
          <w:trHeight w:val="285" w:hRule="atLeast"/>
          <w:jc w:val="center"/>
        </w:trPr>
        <w:tc>
          <w:tcPr>
            <w:tcW w:w="4301" w:type="dxa"/>
            <w:vMerge w:val="continue"/>
            <w:tcBorders>
              <w:top w:val="single" w:color="auto" w:sz="8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821</w:t>
            </w:r>
          </w:p>
        </w:tc>
        <w:tc>
          <w:tcPr>
            <w:tcW w:w="2100" w:type="dxa"/>
            <w:vMerge w:val="continue"/>
            <w:tcBorders>
              <w:top w:val="single" w:color="auto" w:sz="8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Age, years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67.88 ± 18.33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74.40 ± 12.26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0.42</w:t>
            </w:r>
          </w:p>
        </w:tc>
      </w:tr>
      <w:tr>
        <w:trPr>
          <w:trHeight w:val="285" w:hRule="atLeast"/>
          <w:jc w:val="center"/>
        </w:trPr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Female sex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108 (36.1%)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289 (35.2%)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0.02</w:t>
            </w:r>
          </w:p>
        </w:tc>
      </w:tr>
      <w:tr>
        <w:trPr>
          <w:trHeight w:val="285" w:hRule="atLeast"/>
          <w:jc w:val="center"/>
        </w:trPr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Adequate health insurance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47 (15.7%)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148 (18.0%)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0.07</w:t>
            </w:r>
          </w:p>
        </w:tc>
      </w:tr>
      <w:tr>
        <w:trPr>
          <w:trHeight w:val="285" w:hRule="atLeast"/>
          <w:jc w:val="center"/>
        </w:trPr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Duration of symptoms to hospitalization, day</w:t>
            </w:r>
            <w:r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2.63 ± 1.64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10.93 ± 5.58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2.02</w:t>
            </w:r>
          </w:p>
        </w:tc>
      </w:tr>
      <w:tr>
        <w:trPr>
          <w:trHeight w:val="285" w:hRule="atLeast"/>
          <w:jc w:val="center"/>
        </w:trPr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Hypertension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124 (41.5%)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496 (60.4%)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0.39</w:t>
            </w:r>
          </w:p>
        </w:tc>
      </w:tr>
      <w:tr>
        <w:trPr>
          <w:trHeight w:val="285" w:hRule="atLeast"/>
          <w:jc w:val="center"/>
        </w:trPr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Diabetes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67 (22.4%)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283 (34.5%)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0.27</w:t>
            </w:r>
          </w:p>
        </w:tc>
      </w:tr>
      <w:tr>
        <w:trPr>
          <w:trHeight w:val="285" w:hRule="atLeast"/>
          <w:jc w:val="center"/>
        </w:trPr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Chronic </w:t>
            </w:r>
            <w:r>
              <w:rPr>
                <w:rFonts w:hint="default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ung </w:t>
            </w:r>
            <w:r>
              <w:rPr>
                <w:rFonts w:hint="default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d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iseases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84 (28.1%)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356 (43.4%)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0.32</w:t>
            </w:r>
          </w:p>
        </w:tc>
      </w:tr>
      <w:tr>
        <w:trPr>
          <w:trHeight w:val="285" w:hRule="atLeast"/>
          <w:jc w:val="center"/>
        </w:trPr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Chronic liver disease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34 (11.4%)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110 (13.4%)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0.06</w:t>
            </w:r>
          </w:p>
        </w:tc>
      </w:tr>
      <w:tr>
        <w:trPr>
          <w:trHeight w:val="285" w:hRule="atLeast"/>
          <w:jc w:val="center"/>
        </w:trPr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Cardiovascular disease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97 (32.4%)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366 (44.6%)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0.25</w:t>
            </w:r>
          </w:p>
        </w:tc>
      </w:tr>
      <w:tr>
        <w:trPr>
          <w:trHeight w:val="285" w:hRule="atLeast"/>
          <w:jc w:val="center"/>
        </w:trPr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Cerebrovascular disease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51 (17.1%)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142 (17.3%)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0.01</w:t>
            </w:r>
          </w:p>
        </w:tc>
      </w:tr>
      <w:tr>
        <w:trPr>
          <w:trHeight w:val="285" w:hRule="atLeast"/>
          <w:jc w:val="center"/>
        </w:trPr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Chronic kidney disease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49 (16.4%)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181 (22.1%)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0.14</w:t>
            </w:r>
          </w:p>
        </w:tc>
      </w:tr>
      <w:tr>
        <w:trPr>
          <w:trHeight w:val="285" w:hRule="atLeast"/>
          <w:jc w:val="center"/>
        </w:trPr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Neurological diseases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9 (3.0%)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30 (3.7%)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0.04</w:t>
            </w:r>
          </w:p>
        </w:tc>
      </w:tr>
      <w:tr>
        <w:trPr>
          <w:trHeight w:val="285" w:hRule="atLeast"/>
          <w:jc w:val="center"/>
        </w:trPr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Oncology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30 (10.0%)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59 (7.2%)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0.10</w:t>
            </w:r>
          </w:p>
        </w:tc>
      </w:tr>
      <w:tr>
        <w:trPr>
          <w:trHeight w:val="285" w:hRule="atLeast"/>
          <w:jc w:val="center"/>
        </w:trPr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Immunosuppression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37 (12.4%)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93 (11.3%)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0.03</w:t>
            </w:r>
          </w:p>
        </w:tc>
      </w:tr>
      <w:tr>
        <w:trPr>
          <w:trHeight w:val="285" w:hRule="atLeast"/>
          <w:jc w:val="center"/>
        </w:trPr>
        <w:tc>
          <w:tcPr>
            <w:tcW w:w="43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Oxygen support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226 (75.6%)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784 (95.5%)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0.59</w:t>
            </w:r>
          </w:p>
        </w:tc>
      </w:tr>
    </w:tbl>
    <w:p>
      <w:pPr>
        <w:rPr>
          <w:rFonts w:hint="eastAsia" w:ascii="Arial Regular" w:hAnsi="Arial Regular" w:cs="Arial Regular"/>
        </w:rPr>
      </w:pPr>
    </w:p>
    <w:p>
      <w:pPr>
        <w:rPr>
          <w:rFonts w:hint="eastAsia" w:ascii="Arial Regular" w:hAnsi="Arial Regular" w:cs="Arial Regular"/>
        </w:rPr>
      </w:pPr>
    </w:p>
    <w:p>
      <w:pPr>
        <w:rPr>
          <w:rFonts w:hint="eastAsia" w:ascii="Arial Regular" w:hAnsi="Arial Regular" w:cs="Arial Regular"/>
        </w:rPr>
      </w:pPr>
    </w:p>
    <w:p>
      <w:pPr>
        <w:rPr>
          <w:rFonts w:hint="eastAsia" w:ascii="Arial Regular" w:hAnsi="Arial Regular" w:cs="Arial Regular"/>
          <w:b/>
          <w:bCs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Arial Regular" w:hAnsi="Arial Regular" w:cs="Arial Regular"/>
          <w:b/>
          <w:bCs/>
        </w:rPr>
      </w:pPr>
      <w:r>
        <w:rPr>
          <w:rFonts w:ascii="Arial Regular" w:hAnsi="Arial Regular" w:cs="Arial Regular"/>
          <w:b/>
          <w:bCs/>
        </w:rPr>
        <w:t>Table S2. Baseline characteristics of hospitalized patients with COVID-19 in the nirmatrelvir–ritonavir and control groups.</w:t>
      </w:r>
    </w:p>
    <w:tbl>
      <w:tblPr>
        <w:tblStyle w:val="5"/>
        <w:tblW w:w="90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2130"/>
        <w:gridCol w:w="2189"/>
        <w:gridCol w:w="1080"/>
      </w:tblGrid>
      <w:tr>
        <w:trPr>
          <w:trHeight w:val="315" w:hRule="atLeast"/>
          <w:jc w:val="center"/>
        </w:trPr>
        <w:tc>
          <w:tcPr>
            <w:tcW w:w="3686" w:type="dxa"/>
            <w:vMerge w:val="restart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cs="Arial Regular"/>
                <w:b/>
                <w:bCs/>
                <w:sz w:val="20"/>
                <w:szCs w:val="20"/>
              </w:rPr>
              <w:t>characteristics</w:t>
            </w:r>
          </w:p>
        </w:tc>
        <w:tc>
          <w:tcPr>
            <w:tcW w:w="213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b/>
                <w:bCs/>
                <w:color w:val="000000"/>
                <w:kern w:val="0"/>
                <w:sz w:val="20"/>
                <w:szCs w:val="20"/>
              </w:rPr>
              <w:t>Nirmatrelvir-ritonavir</w:t>
            </w:r>
          </w:p>
        </w:tc>
        <w:tc>
          <w:tcPr>
            <w:tcW w:w="218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b/>
                <w:bCs/>
                <w:color w:val="000000"/>
                <w:kern w:val="0"/>
                <w:sz w:val="20"/>
                <w:szCs w:val="20"/>
              </w:rPr>
              <w:t>Control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b/>
                <w:bCs/>
                <w:color w:val="000000"/>
                <w:kern w:val="0"/>
                <w:sz w:val="20"/>
                <w:szCs w:val="20"/>
              </w:rPr>
              <w:t>P-value</w:t>
            </w:r>
          </w:p>
        </w:tc>
      </w:tr>
      <w:tr>
        <w:trPr>
          <w:trHeight w:val="300" w:hRule="atLeast"/>
          <w:jc w:val="center"/>
        </w:trPr>
        <w:tc>
          <w:tcPr>
            <w:tcW w:w="3686" w:type="dxa"/>
            <w:vMerge w:val="continue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Female sex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66 (39.5%)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42 (31.8%)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0.169</w:t>
            </w:r>
          </w:p>
        </w:tc>
      </w:tr>
      <w:tr>
        <w:trPr>
          <w:trHeight w:val="285" w:hRule="atLeast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Age, years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67.92 ± 17.32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67.84 ± 19.60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0.972</w:t>
            </w:r>
          </w:p>
        </w:tc>
      </w:tr>
      <w:tr>
        <w:trPr>
          <w:trHeight w:val="285" w:hRule="atLeast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&gt;65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110 (65.9%)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83 (62.9%)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0.592</w:t>
            </w:r>
          </w:p>
        </w:tc>
      </w:tr>
      <w:tr>
        <w:trPr>
          <w:trHeight w:val="285" w:hRule="atLeast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Ethnicity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 Regular" w:hAnsi="Arial Regular" w:eastAsia="Times New Roman" w:cs="Arial Regular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Han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161 (96.4%)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130 (98.5%)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0.269</w:t>
            </w:r>
          </w:p>
        </w:tc>
      </w:tr>
      <w:tr>
        <w:trPr>
          <w:trHeight w:val="285" w:hRule="atLeast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Minority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6 (3.6%)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 (1.5%)</w:t>
            </w:r>
          </w:p>
        </w:tc>
        <w:tc>
          <w:tcPr>
            <w:tcW w:w="108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Adequate health insurance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143 (85.6%)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109 (82.6%)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0.471</w:t>
            </w:r>
          </w:p>
        </w:tc>
      </w:tr>
      <w:tr>
        <w:trPr>
          <w:trHeight w:val="285" w:hRule="atLeast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Vaccination status, doses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 Regular" w:hAnsi="Arial Regular" w:eastAsia="Times New Roman" w:cs="Arial Regular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≤1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67 (43.2%)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61 (48.8%)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0.389</w:t>
            </w:r>
          </w:p>
        </w:tc>
      </w:tr>
      <w:tr>
        <w:trPr>
          <w:trHeight w:val="300" w:hRule="atLeast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16 (10.3%)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16 (12.8%)</w:t>
            </w:r>
          </w:p>
        </w:tc>
        <w:tc>
          <w:tcPr>
            <w:tcW w:w="1080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315" w:hRule="atLeast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≥3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72 (46.5%)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48 (38.4%)</w:t>
            </w:r>
          </w:p>
        </w:tc>
        <w:tc>
          <w:tcPr>
            <w:tcW w:w="108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Duration of symptoms to hospitalization, day</w:t>
            </w:r>
            <w:r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2.55 ± 1.74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2.73 ± 1.50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0.356</w:t>
            </w:r>
          </w:p>
        </w:tc>
      </w:tr>
      <w:tr>
        <w:trPr>
          <w:trHeight w:val="285" w:hRule="atLeast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b/>
                <w:bCs/>
                <w:color w:val="000000"/>
                <w:kern w:val="0"/>
                <w:sz w:val="20"/>
                <w:szCs w:val="20"/>
              </w:rPr>
              <w:t>Comorbidities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375" w:hRule="atLeast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BMI≥30</w:t>
            </w:r>
            <w:r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kg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9 (5.4%)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13 (9.9%)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0.143</w:t>
            </w:r>
          </w:p>
        </w:tc>
      </w:tr>
      <w:tr>
        <w:trPr>
          <w:trHeight w:val="315" w:hRule="atLeast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Hypertension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64 (38.3%)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 Regular" w:hAnsi="Arial Regular" w:eastAsia="Times New Roman" w:cs="Arial Regular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60 (45.5%)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 Regular" w:hAnsi="Arial Regular" w:eastAsia="Times New Roman" w:cs="Arial Regular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0.214</w:t>
            </w:r>
          </w:p>
        </w:tc>
      </w:tr>
      <w:tr>
        <w:trPr>
          <w:trHeight w:val="315" w:hRule="atLeast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Diabetes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37 (22.2%)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30 (22.7%)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0.906</w:t>
            </w:r>
          </w:p>
        </w:tc>
      </w:tr>
      <w:tr>
        <w:trPr>
          <w:trHeight w:val="315" w:hRule="atLeast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Chronic </w:t>
            </w:r>
            <w:r>
              <w:rPr>
                <w:rFonts w:hint="default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ung </w:t>
            </w:r>
            <w:r>
              <w:rPr>
                <w:rFonts w:hint="default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d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iseases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40 (24.0%)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44 (33.3%)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0.073</w:t>
            </w:r>
          </w:p>
        </w:tc>
      </w:tr>
      <w:tr>
        <w:trPr>
          <w:trHeight w:val="300" w:hRule="atLeast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Cardiovascular disease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42 (25.2%)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55 (41.7%)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0.002</w:t>
            </w:r>
          </w:p>
        </w:tc>
      </w:tr>
      <w:tr>
        <w:trPr>
          <w:trHeight w:val="285" w:hRule="atLeast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Cerebrovascular disease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23 (13.8%)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28 (21.2%)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0.089</w:t>
            </w:r>
          </w:p>
        </w:tc>
      </w:tr>
      <w:tr>
        <w:trPr>
          <w:trHeight w:val="285" w:hRule="atLeast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Chronic kidney disease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26 (15.6%)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23 (17.4%)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0.667</w:t>
            </w:r>
          </w:p>
        </w:tc>
      </w:tr>
      <w:tr>
        <w:trPr>
          <w:trHeight w:val="285" w:hRule="atLeast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Chronic liver disease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16 (9.6%)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18 (13.6%)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0.273</w:t>
            </w:r>
          </w:p>
        </w:tc>
      </w:tr>
      <w:tr>
        <w:trPr>
          <w:trHeight w:val="285" w:hRule="atLeast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Neurological diseases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 (1.8%)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6 (4.6%)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0.167</w:t>
            </w:r>
          </w:p>
        </w:tc>
      </w:tr>
      <w:tr>
        <w:trPr>
          <w:trHeight w:val="285" w:hRule="atLeast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Oncology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20 (12.0%)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10 (7.6%)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0.209</w:t>
            </w:r>
          </w:p>
        </w:tc>
      </w:tr>
      <w:tr>
        <w:trPr>
          <w:trHeight w:val="285" w:hRule="atLeast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Immunosuppression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26 (15.6%)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11 (8.3%)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0.059</w:t>
            </w:r>
          </w:p>
        </w:tc>
      </w:tr>
      <w:tr>
        <w:trPr>
          <w:trHeight w:val="285" w:hRule="atLeast"/>
          <w:jc w:val="center"/>
        </w:trPr>
        <w:tc>
          <w:tcPr>
            <w:tcW w:w="581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b/>
                <w:bCs/>
                <w:color w:val="000000"/>
                <w:kern w:val="0"/>
                <w:sz w:val="20"/>
                <w:szCs w:val="20"/>
              </w:rPr>
              <w:t>Concomitant treatments initiated on admission</w:t>
            </w:r>
          </w:p>
        </w:tc>
        <w:tc>
          <w:tcPr>
            <w:tcW w:w="21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3686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Oxygen support</w:t>
            </w:r>
          </w:p>
        </w:tc>
        <w:tc>
          <w:tcPr>
            <w:tcW w:w="2130" w:type="dxa"/>
            <w:tcBorders>
              <w:top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126 (75.5%)</w:t>
            </w:r>
          </w:p>
        </w:tc>
        <w:tc>
          <w:tcPr>
            <w:tcW w:w="2189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100 (75.8%)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0.951</w:t>
            </w:r>
          </w:p>
        </w:tc>
      </w:tr>
      <w:tr>
        <w:trPr>
          <w:trHeight w:val="300" w:hRule="atLeast"/>
          <w:jc w:val="center"/>
        </w:trPr>
        <w:tc>
          <w:tcPr>
            <w:tcW w:w="368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ICU admission</w:t>
            </w:r>
          </w:p>
        </w:tc>
        <w:tc>
          <w:tcPr>
            <w:tcW w:w="213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16 (9.6%)</w:t>
            </w:r>
          </w:p>
        </w:tc>
        <w:tc>
          <w:tcPr>
            <w:tcW w:w="2189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 (1.5%)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 Regular" w:hAnsi="Arial Regular" w:eastAsia="Times New Roman" w:cs="Arial Regular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0.004</w:t>
            </w:r>
          </w:p>
        </w:tc>
      </w:tr>
      <w:tr>
        <w:trPr>
          <w:trHeight w:val="285" w:hRule="atLeast"/>
          <w:jc w:val="center"/>
        </w:trPr>
        <w:tc>
          <w:tcPr>
            <w:tcW w:w="3686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Ventilatory support</w:t>
            </w:r>
          </w:p>
        </w:tc>
        <w:tc>
          <w:tcPr>
            <w:tcW w:w="2130" w:type="dxa"/>
            <w:tcBorders>
              <w:bottom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6 (3.6%)</w:t>
            </w:r>
          </w:p>
        </w:tc>
        <w:tc>
          <w:tcPr>
            <w:tcW w:w="2189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 (0.8%)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0.107</w:t>
            </w:r>
          </w:p>
        </w:tc>
      </w:tr>
      <w:tr>
        <w:trPr>
          <w:trHeight w:val="285" w:hRule="atLeast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Dexamethasone</w:t>
            </w:r>
          </w:p>
        </w:tc>
        <w:tc>
          <w:tcPr>
            <w:tcW w:w="213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23 (13.8%)</w:t>
            </w:r>
          </w:p>
        </w:tc>
        <w:tc>
          <w:tcPr>
            <w:tcW w:w="218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6 (4.6%)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0.007</w:t>
            </w:r>
          </w:p>
        </w:tc>
      </w:tr>
      <w:tr>
        <w:trPr>
          <w:trHeight w:val="285" w:hRule="atLeast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Other systemic steroid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38 (22.8%)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31 (23.5%)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0.882</w:t>
            </w:r>
          </w:p>
        </w:tc>
      </w:tr>
      <w:tr>
        <w:trPr>
          <w:trHeight w:val="285" w:hRule="atLeast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Antibiotics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62 (37.1%)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55 (41.7%)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0.424</w:t>
            </w:r>
          </w:p>
        </w:tc>
      </w:tr>
      <w:tr>
        <w:trPr>
          <w:trHeight w:val="285" w:hRule="atLeast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Baricitinib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 (0.6%)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 (1.5%)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0.43</w:t>
            </w:r>
          </w:p>
        </w:tc>
      </w:tr>
      <w:tr>
        <w:trPr>
          <w:trHeight w:val="285" w:hRule="atLeast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Tocilizumab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 (0.6%)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0.373</w:t>
            </w:r>
          </w:p>
        </w:tc>
      </w:tr>
      <w:tr>
        <w:trPr>
          <w:trHeight w:val="285" w:hRule="atLeast"/>
          <w:jc w:val="center"/>
        </w:trPr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Remdesivir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rPr>
          <w:trHeight w:val="285" w:hRule="atLeast"/>
          <w:jc w:val="center"/>
        </w:trPr>
        <w:tc>
          <w:tcPr>
            <w:tcW w:w="9085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cs="Arial Regular"/>
              </w:rPr>
              <w:t xml:space="preserve">BMI, body </w:t>
            </w:r>
            <w:r>
              <w:rPr>
                <w:rFonts w:ascii="Arial Regular" w:hAnsi="Arial Regular" w:cs="Arial Regular"/>
                <w:lang w:eastAsia="zh-Hans"/>
              </w:rPr>
              <w:t>mass index; ICU, intensive center unit.</w:t>
            </w:r>
          </w:p>
        </w:tc>
      </w:tr>
    </w:tbl>
    <w:p>
      <w:pPr>
        <w:rPr>
          <w:rFonts w:hint="eastAsia" w:ascii="Arial Regular" w:hAnsi="Arial Regular" w:cs="Arial Regular"/>
        </w:rPr>
      </w:pPr>
    </w:p>
    <w:p>
      <w:pPr>
        <w:rPr>
          <w:rFonts w:hint="eastAsia" w:ascii="Arial Regular" w:hAnsi="Arial Regular" w:cs="Arial Regular"/>
          <w:b/>
          <w:bCs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Arial Regular" w:hAnsi="Arial Regular" w:cs="Arial Regular"/>
          <w:b/>
          <w:bCs/>
        </w:rPr>
      </w:pPr>
      <w:r>
        <w:rPr>
          <w:rFonts w:ascii="Arial Regular" w:hAnsi="Arial Regular" w:cs="Arial Regular"/>
          <w:b/>
          <w:bCs/>
        </w:rPr>
        <w:t xml:space="preserve">Table S3. Sensitivity analyses of </w:t>
      </w:r>
      <w:r>
        <w:rPr>
          <w:rFonts w:ascii="Arial Regular" w:hAnsi="Arial Regular" w:cs="Arial Regular"/>
          <w:b/>
          <w:bCs/>
          <w:lang w:eastAsia="zh-Hans"/>
        </w:rPr>
        <w:t>ou</w:t>
      </w:r>
      <w:r>
        <w:rPr>
          <w:rFonts w:ascii="Arial Regular" w:hAnsi="Arial Regular" w:cs="Arial Regular"/>
          <w:b/>
          <w:bCs/>
        </w:rPr>
        <w:t xml:space="preserve">tcomes of </w:t>
      </w:r>
      <w:r>
        <w:rPr>
          <w:rFonts w:ascii="Arial Regular" w:hAnsi="Arial Regular" w:cs="Arial Regular"/>
          <w:b/>
          <w:bCs/>
          <w:lang w:eastAsia="zh-Hans"/>
        </w:rPr>
        <w:t>h</w:t>
      </w:r>
      <w:r>
        <w:rPr>
          <w:rFonts w:ascii="Arial Regular" w:hAnsi="Arial Regular" w:cs="Arial Regular"/>
          <w:b/>
          <w:bCs/>
        </w:rPr>
        <w:t xml:space="preserve">ospitalized COVID-19 patients treated with nirmatrelvir-ritonavir compared to </w:t>
      </w:r>
      <w:r>
        <w:rPr>
          <w:rFonts w:ascii="Arial Regular" w:hAnsi="Arial Regular" w:cs="Arial Regular"/>
          <w:b/>
          <w:bCs/>
          <w:lang w:eastAsia="zh-Hans"/>
        </w:rPr>
        <w:t>the</w:t>
      </w:r>
      <w:r>
        <w:rPr>
          <w:rFonts w:ascii="Arial Regular" w:hAnsi="Arial Regular" w:cs="Arial Regular"/>
          <w:b/>
          <w:bCs/>
        </w:rPr>
        <w:t xml:space="preserve"> control group using Cox regression models</w:t>
      </w:r>
      <w:r>
        <w:rPr>
          <w:rFonts w:hint="eastAsia" w:ascii="Arial Regular" w:hAnsi="Arial Regular" w:cs="Arial Regular"/>
          <w:b/>
          <w:bCs/>
        </w:rPr>
        <w:t>.</w:t>
      </w:r>
    </w:p>
    <w:tbl>
      <w:tblPr>
        <w:tblStyle w:val="5"/>
        <w:tblW w:w="134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8"/>
        <w:gridCol w:w="1591"/>
        <w:gridCol w:w="1556"/>
        <w:gridCol w:w="1037"/>
        <w:gridCol w:w="1900"/>
        <w:gridCol w:w="1900"/>
        <w:gridCol w:w="2075"/>
      </w:tblGrid>
      <w:tr>
        <w:trPr>
          <w:trHeight w:val="573" w:hRule="atLeast"/>
          <w:jc w:val="center"/>
        </w:trPr>
        <w:tc>
          <w:tcPr>
            <w:tcW w:w="3418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Outcomes</w:t>
            </w:r>
          </w:p>
        </w:tc>
        <w:tc>
          <w:tcPr>
            <w:tcW w:w="1591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Nirmatrelvir-ritonavir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Control</w:t>
            </w:r>
          </w:p>
        </w:tc>
        <w:tc>
          <w:tcPr>
            <w:tcW w:w="1037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P value</w:t>
            </w:r>
          </w:p>
        </w:tc>
        <w:tc>
          <w:tcPr>
            <w:tcW w:w="190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Unadjusted</w:t>
            </w:r>
          </w:p>
        </w:tc>
        <w:tc>
          <w:tcPr>
            <w:tcW w:w="190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multivariate Cox regression†</w:t>
            </w:r>
          </w:p>
        </w:tc>
        <w:tc>
          <w:tcPr>
            <w:tcW w:w="2075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multivariate Cox regression††</w:t>
            </w:r>
          </w:p>
        </w:tc>
      </w:tr>
      <w:tr>
        <w:trPr>
          <w:trHeight w:val="304" w:hRule="atLeast"/>
          <w:jc w:val="center"/>
        </w:trPr>
        <w:tc>
          <w:tcPr>
            <w:tcW w:w="3418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n </w:t>
            </w:r>
            <w:r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n </w:t>
            </w:r>
            <w:r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037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 HR (95%CI)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 HR (95%CI)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 HR (95%CI)</w:t>
            </w:r>
          </w:p>
        </w:tc>
      </w:tr>
      <w:tr>
        <w:trPr>
          <w:trHeight w:val="304" w:hRule="atLeast"/>
          <w:jc w:val="center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All-cause mortality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20 (12.0)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30 (22.7)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0.013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0.49 (0.28, 0.86)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0.46 (0.26, 0.82)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sz w:val="20"/>
                <w:szCs w:val="20"/>
              </w:rPr>
              <w:t>0.48 (0.25, 0.91)</w:t>
            </w:r>
          </w:p>
        </w:tc>
      </w:tr>
      <w:tr>
        <w:trPr>
          <w:trHeight w:val="271" w:hRule="atLeast"/>
          <w:jc w:val="center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All-cause mortality within 7 days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8 (4.8)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18 (13.6)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0.007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0.34 (0.15, 0.79)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0.32 (0.13, 0.77)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sz w:val="20"/>
                <w:szCs w:val="20"/>
              </w:rPr>
              <w:t>0.22 (0.07, 0.64)</w:t>
            </w:r>
          </w:p>
        </w:tc>
      </w:tr>
      <w:tr>
        <w:trPr>
          <w:trHeight w:val="271" w:hRule="atLeast"/>
          <w:jc w:val="center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All-cause mortality within 14 days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16 (9.6)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24 (18.2)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0.030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0.50 (0.26, 0.93)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0.48 (0.25, 0.92)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sz w:val="20"/>
                <w:szCs w:val="20"/>
              </w:rPr>
              <w:t>0.51 (0.25, 1.05)</w:t>
            </w:r>
          </w:p>
        </w:tc>
      </w:tr>
      <w:tr>
        <w:trPr>
          <w:trHeight w:val="542" w:hRule="atLeast"/>
          <w:jc w:val="center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bookmarkStart w:id="0" w:name="RANGE!E15"/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*Disease progression (invasive mechanical ventilation, ICU </w:t>
            </w:r>
            <w:r>
              <w:rPr>
                <w:rFonts w:hint="default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dmission, death）</w:t>
            </w:r>
            <w:bookmarkEnd w:id="0"/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22 (14.7)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30 (23.3)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0.043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0.59 (0.34, 1.02)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0.58 (0.33, 1.02)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sz w:val="20"/>
                <w:szCs w:val="20"/>
              </w:rPr>
              <w:t>0.70 (0.37, 1.34)</w:t>
            </w:r>
          </w:p>
        </w:tc>
      </w:tr>
      <w:tr>
        <w:trPr>
          <w:trHeight w:val="352" w:hRule="atLeast"/>
          <w:jc w:val="center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*Invasive mechanical ventilation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4 (2.7)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 (1.6)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0.507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1.56 (0.29, 8.53)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1.64 (0.30, 9.06)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sz w:val="20"/>
                <w:szCs w:val="20"/>
              </w:rPr>
              <w:t>10.68 (0.22, 512.76)</w:t>
            </w:r>
          </w:p>
        </w:tc>
      </w:tr>
      <w:tr>
        <w:trPr>
          <w:trHeight w:val="271" w:hRule="atLeast"/>
          <w:jc w:val="center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*ICU Admission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 (1.3</w:t>
            </w:r>
            <w:r>
              <w:rPr>
                <w:rFonts w:ascii="Arial Regular" w:hAnsi="Arial Regular" w:eastAsia="宋体" w:cs="Arial Regular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 (0.8)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0.705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1.61 (0.15, 17.73)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1.68 (0.15, 19.00)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542" w:hRule="atLeast"/>
          <w:jc w:val="center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Cardiovascular thromboembolic events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 (1.2)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 (0.0)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0.207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271" w:hRule="atLeast"/>
          <w:jc w:val="center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Readmission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7(4.2)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8 (6.1)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0.462</w:t>
            </w:r>
          </w:p>
        </w:tc>
        <w:tc>
          <w:tcPr>
            <w:tcW w:w="1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0.56 (0.20, 1.56)</w:t>
            </w:r>
          </w:p>
        </w:tc>
        <w:tc>
          <w:tcPr>
            <w:tcW w:w="1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0.47 (0.17, 1.32)</w:t>
            </w:r>
          </w:p>
        </w:tc>
        <w:tc>
          <w:tcPr>
            <w:tcW w:w="20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0.78 (0.24, 2.51)</w:t>
            </w:r>
          </w:p>
        </w:tc>
      </w:tr>
      <w:tr>
        <w:trPr>
          <w:trHeight w:val="271" w:hRule="atLeast"/>
          <w:jc w:val="center"/>
        </w:trPr>
        <w:tc>
          <w:tcPr>
            <w:tcW w:w="341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Re-infection with COVID-19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 (0.6)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 (0.0)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0.073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rPr>
          <w:trHeight w:val="1260" w:hRule="atLeast"/>
          <w:jc w:val="center"/>
        </w:trPr>
        <w:tc>
          <w:tcPr>
            <w:tcW w:w="13477" w:type="dxa"/>
            <w:gridSpan w:val="7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  <w:lang w:eastAsia="zh-Hans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HR, hazard ratio; CI, confidence interval; BMI, body 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  <w:lang w:eastAsia="zh-Hans"/>
              </w:rPr>
              <w:t>mass index; ICU, intensive center unit</w:t>
            </w:r>
          </w:p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*25 patients admitted to the ICU or receiving invasive tracheal intubation within 24 h of admission were excluded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† Adjusted covariates include age, sex, and BMI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†† Adjusted covariates include: age, sex, BMI, adequate health insurance, vaccination status, chronic lung diseases chronic, cardiovascular disease, cerebrovascular disease, chronic kidney disease, chronic liver disease, neurological diseases, oncology, immunosuppression, oxygen support</w:t>
            </w:r>
          </w:p>
        </w:tc>
      </w:tr>
    </w:tbl>
    <w:p>
      <w:pPr>
        <w:rPr>
          <w:rFonts w:hint="eastAsia" w:ascii="Arial Regular" w:hAnsi="Arial Regular" w:cs="Arial Regular"/>
          <w:b/>
          <w:bCs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Arial Regular" w:hAnsi="Arial Regular" w:cs="Arial Regular"/>
          <w:b/>
          <w:bCs/>
        </w:rPr>
      </w:pPr>
      <w:r>
        <w:rPr>
          <w:rFonts w:ascii="Arial Regular" w:hAnsi="Arial Regular" w:cs="Arial Regular"/>
          <w:b/>
          <w:bCs/>
        </w:rPr>
        <w:t>Table S4. Sensitivity analysis of outcomes in hospitalized COVID-19 patients treated with nirmatrelvir-ritonavir compared to control group after multiple imputation</w:t>
      </w:r>
      <w:r>
        <w:rPr>
          <w:rFonts w:hint="eastAsia" w:ascii="Arial Regular" w:hAnsi="Arial Regular" w:cs="Arial Regular"/>
          <w:b/>
          <w:bCs/>
        </w:rPr>
        <w:t>.</w:t>
      </w:r>
    </w:p>
    <w:tbl>
      <w:tblPr>
        <w:tblStyle w:val="5"/>
        <w:tblW w:w="1349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3"/>
        <w:gridCol w:w="1883"/>
        <w:gridCol w:w="1841"/>
        <w:gridCol w:w="1227"/>
        <w:gridCol w:w="2239"/>
        <w:gridCol w:w="2264"/>
      </w:tblGrid>
      <w:tr>
        <w:trPr>
          <w:trHeight w:val="604" w:hRule="atLeast"/>
          <w:jc w:val="center"/>
        </w:trPr>
        <w:tc>
          <w:tcPr>
            <w:tcW w:w="4043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Outcomes</w:t>
            </w:r>
          </w:p>
        </w:tc>
        <w:tc>
          <w:tcPr>
            <w:tcW w:w="1883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Nirmatrelvir-ritonavir</w:t>
            </w:r>
          </w:p>
        </w:tc>
        <w:tc>
          <w:tcPr>
            <w:tcW w:w="1841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Control</w:t>
            </w:r>
          </w:p>
        </w:tc>
        <w:tc>
          <w:tcPr>
            <w:tcW w:w="1227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P value</w:t>
            </w:r>
          </w:p>
        </w:tc>
        <w:tc>
          <w:tcPr>
            <w:tcW w:w="2239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sz w:val="20"/>
                <w:szCs w:val="20"/>
              </w:rPr>
            </w:pPr>
            <w:r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  <w:lang w:val="en-US" w:eastAsia="zh-CN"/>
              </w:rPr>
              <w:t>M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ultivariate Cox regression†</w:t>
            </w:r>
          </w:p>
        </w:tc>
        <w:tc>
          <w:tcPr>
            <w:tcW w:w="2264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sz w:val="20"/>
                <w:szCs w:val="20"/>
              </w:rPr>
              <w:t>IPTW-adjusted Cox model</w:t>
            </w:r>
          </w:p>
        </w:tc>
      </w:tr>
      <w:tr>
        <w:trPr>
          <w:trHeight w:val="260" w:hRule="atLeast"/>
          <w:jc w:val="center"/>
        </w:trPr>
        <w:tc>
          <w:tcPr>
            <w:tcW w:w="4043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n </w:t>
            </w:r>
            <w:r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n </w:t>
            </w:r>
            <w:r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227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 HR (95%CI)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sz w:val="20"/>
                <w:szCs w:val="20"/>
              </w:rPr>
              <w:t xml:space="preserve"> HR (95%CI)</w:t>
            </w:r>
          </w:p>
        </w:tc>
      </w:tr>
      <w:tr>
        <w:trPr>
          <w:trHeight w:val="416" w:hRule="atLeast"/>
          <w:jc w:val="center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All-cause mortality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20 (12.0)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30 (22.7)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0.013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0.57 (0.31, 1.05) 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sz w:val="20"/>
                <w:szCs w:val="20"/>
              </w:rPr>
              <w:t>0.55 (0.37, 0.81)</w:t>
            </w:r>
          </w:p>
        </w:tc>
      </w:tr>
      <w:tr>
        <w:trPr>
          <w:trHeight w:val="377" w:hRule="atLeast"/>
          <w:jc w:val="center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All-cause mortality within 7 days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8 (4.8)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18 (13.6)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0.007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0.48 (0.20, 1.16)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sz w:val="20"/>
                <w:szCs w:val="20"/>
              </w:rPr>
              <w:t>0.34 (0.18, 0.64)</w:t>
            </w:r>
          </w:p>
        </w:tc>
      </w:tr>
      <w:tr>
        <w:trPr>
          <w:trHeight w:val="377" w:hRule="atLeast"/>
          <w:jc w:val="center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All-cause mortality within 14 days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16 (9.6)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24 (18.2)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0.030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0.62 (0.31, 1.22)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sz w:val="20"/>
                <w:szCs w:val="20"/>
              </w:rPr>
              <w:t>0.55 (0.35, 0.87)</w:t>
            </w:r>
          </w:p>
        </w:tc>
      </w:tr>
      <w:tr>
        <w:trPr>
          <w:trHeight w:val="564" w:hRule="atLeast"/>
          <w:jc w:val="center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*Disease progression (invasive mechanical ventilation</w:t>
            </w:r>
            <w:r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  <w:lang w:val="en-US" w:eastAsia="zh-CN"/>
              </w:rPr>
              <w:t xml:space="preserve">, 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ICU</w:t>
            </w:r>
            <w:r>
              <w:rPr>
                <w:rFonts w:hint="default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 a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dmission、death）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22 (14.7)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30 (23.3)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0.043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0.72 (0.40, 1.29) 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sz w:val="20"/>
                <w:szCs w:val="20"/>
              </w:rPr>
              <w:t>0.61 (0.42, 0.88)</w:t>
            </w:r>
          </w:p>
        </w:tc>
      </w:tr>
      <w:tr>
        <w:trPr>
          <w:trHeight w:val="377" w:hRule="atLeast"/>
          <w:jc w:val="center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*Invasive mechanical ventilation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4 (2.7)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 (1.6)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0.507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6.37 (0.86, 47.00)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sz w:val="20"/>
                <w:szCs w:val="20"/>
              </w:rPr>
              <w:t xml:space="preserve">0.61 (0.27, 1.40) </w:t>
            </w:r>
          </w:p>
        </w:tc>
      </w:tr>
      <w:tr>
        <w:trPr>
          <w:trHeight w:val="377" w:hRule="atLeast"/>
          <w:jc w:val="center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*ICU Admission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 (1.3</w:t>
            </w:r>
            <w:r>
              <w:rPr>
                <w:rFonts w:ascii="Arial Regular" w:hAnsi="Arial Regular" w:eastAsia="宋体" w:cs="Arial Regular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 (0.8)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0.705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sz w:val="20"/>
                <w:szCs w:val="20"/>
              </w:rPr>
              <w:t>1.86 (0.45, 7.73)</w:t>
            </w:r>
          </w:p>
        </w:tc>
      </w:tr>
      <w:tr>
        <w:trPr>
          <w:trHeight w:val="377" w:hRule="atLeast"/>
          <w:jc w:val="center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Cardiovascular thromboembolic events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 (1.2)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 (0.0)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0.207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377" w:hRule="atLeast"/>
          <w:jc w:val="center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Readmission 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7(4.2)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8 (6.1)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0.462</w:t>
            </w:r>
          </w:p>
        </w:tc>
        <w:tc>
          <w:tcPr>
            <w:tcW w:w="2239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0.79 (0.25, 2.52)</w:t>
            </w:r>
          </w:p>
        </w:tc>
        <w:tc>
          <w:tcPr>
            <w:tcW w:w="2264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sz w:val="20"/>
                <w:szCs w:val="20"/>
              </w:rPr>
              <w:t>0.68 (0.34, 1.37)</w:t>
            </w:r>
          </w:p>
        </w:tc>
      </w:tr>
      <w:tr>
        <w:trPr>
          <w:trHeight w:val="244" w:hRule="atLeast"/>
          <w:jc w:val="center"/>
        </w:trPr>
        <w:tc>
          <w:tcPr>
            <w:tcW w:w="40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Re-infection with COVID-19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 (0.6)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 (0.0)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0.073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sz w:val="20"/>
                <w:szCs w:val="20"/>
              </w:rPr>
              <w:t>-</w:t>
            </w:r>
          </w:p>
        </w:tc>
      </w:tr>
      <w:tr>
        <w:trPr>
          <w:trHeight w:val="252" w:hRule="atLeast"/>
          <w:jc w:val="center"/>
        </w:trPr>
        <w:tc>
          <w:tcPr>
            <w:tcW w:w="13497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  <w:lang w:eastAsia="zh-Hans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HR, hazard ratio; CI, confidence interval; BMI, body 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  <w:lang w:eastAsia="zh-Hans"/>
              </w:rPr>
              <w:t>mass index; ICU, intensive center unit</w:t>
            </w:r>
          </w:p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*25 patients admitted to the ICU or receiving invasive tracheal intubation within 24 h of admission were excluded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† Adjusted covariates includ</w:t>
            </w:r>
            <w:r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ing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 age, sex, BMI, adequate health insurance, vaccination status, chronic lung diseases chronic, cardiovascular disease, cerebrovascular disease, chronic kidney disease, chronic liver disease, neurological diseases, oncology, immunosuppression, oxygen support</w:t>
            </w:r>
          </w:p>
        </w:tc>
      </w:tr>
    </w:tbl>
    <w:p>
      <w:pPr>
        <w:rPr>
          <w:rFonts w:hint="eastAsia" w:ascii="Arial Regular" w:hAnsi="Arial Regular" w:cs="Arial Regular"/>
        </w:rPr>
      </w:pPr>
    </w:p>
    <w:p>
      <w:pPr>
        <w:rPr>
          <w:rFonts w:hint="eastAsia" w:ascii="Arial Regular" w:hAnsi="Arial Regular" w:cs="Arial Regular"/>
          <w:b/>
          <w:bCs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Arial Regular" w:hAnsi="Arial Regular" w:cs="Arial Regular"/>
          <w:b/>
          <w:bCs/>
        </w:rPr>
      </w:pPr>
      <w:r>
        <w:rPr>
          <w:rFonts w:ascii="Arial Regular" w:hAnsi="Arial Regular" w:cs="Arial Regular"/>
          <w:b/>
          <w:bCs/>
        </w:rPr>
        <w:t>Table S5. Sensitivity analysis of nirmatrelvir-ritonavir's effects on outcomes in hospitalized COVID-19 patients including events within 24 Hours of admission.</w:t>
      </w:r>
    </w:p>
    <w:tbl>
      <w:tblPr>
        <w:tblStyle w:val="5"/>
        <w:tblW w:w="14675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1860"/>
        <w:gridCol w:w="2360"/>
        <w:gridCol w:w="1360"/>
        <w:gridCol w:w="2320"/>
        <w:gridCol w:w="1960"/>
      </w:tblGrid>
      <w:tr>
        <w:trPr>
          <w:trHeight w:val="285" w:hRule="atLeast"/>
        </w:trPr>
        <w:tc>
          <w:tcPr>
            <w:tcW w:w="4815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outcomes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Nirmatrelvir-ritonavir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Control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P value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Unadjusted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IPTW-adjusted Cox model</w:t>
            </w:r>
          </w:p>
        </w:tc>
      </w:tr>
      <w:tr>
        <w:trPr>
          <w:trHeight w:val="285" w:hRule="atLeast"/>
        </w:trPr>
        <w:tc>
          <w:tcPr>
            <w:tcW w:w="4815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n </w:t>
            </w:r>
            <w:r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n </w:t>
            </w:r>
            <w:r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 HR (95%CI)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 HR (95%CI)</w:t>
            </w:r>
          </w:p>
        </w:tc>
      </w:tr>
      <w:tr>
        <w:trPr>
          <w:trHeight w:val="285" w:hRule="atLeast"/>
        </w:trPr>
        <w:tc>
          <w:tcPr>
            <w:tcW w:w="481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All-cause mortality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23 (13.5%)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36 (26.1%)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0.005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0.47 (0.28, 0.80)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0.58 (0.39, 0.86)</w:t>
            </w:r>
          </w:p>
        </w:tc>
      </w:tr>
      <w:tr>
        <w:trPr>
          <w:trHeight w:val="285" w:hRule="atLeast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All-cause mortality within 7 days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11 (6.5%)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24 (17.4%)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0.003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0.36 (0.17, 0.73)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0.41 (0.23, 0.73)</w:t>
            </w:r>
          </w:p>
        </w:tc>
      </w:tr>
      <w:tr>
        <w:trPr>
          <w:trHeight w:val="285" w:hRule="atLeast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All-cause mortality within 14 days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19 (11.2%)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30 (21.7%)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0.012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0.48 (0.27, 0.85)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0.57 (0.37, 0.89)</w:t>
            </w:r>
          </w:p>
        </w:tc>
      </w:tr>
      <w:tr>
        <w:trPr>
          <w:trHeight w:val="285" w:hRule="atLeast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Disease progression（invasive mechanical ventilation</w:t>
            </w:r>
            <w:r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  <w:lang w:val="en-US" w:eastAsia="zh-CN"/>
              </w:rPr>
              <w:t xml:space="preserve">, </w:t>
            </w:r>
            <w:bookmarkStart w:id="17" w:name="_GoBack"/>
            <w:bookmarkEnd w:id="17"/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ICU </w:t>
            </w:r>
            <w:r>
              <w:rPr>
                <w:rFonts w:hint="default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dmission、death）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42 (24.7%)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39 (28.3%)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0.481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0.86 (0.56, 1.33)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1.04 (0.75, 1.44)</w:t>
            </w:r>
          </w:p>
        </w:tc>
      </w:tr>
      <w:tr>
        <w:trPr>
          <w:trHeight w:val="285" w:hRule="atLeast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invasive mechanical ventilation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13 (7.7%)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4 (2.9%)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0.070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2.49 (0.81, 7.64)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2.64 (1.15, 6.08)</w:t>
            </w:r>
          </w:p>
        </w:tc>
      </w:tr>
      <w:tr>
        <w:trPr>
          <w:trHeight w:val="285" w:hRule="atLeast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ICU Admission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19 (11.2%)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 (2.2%)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0.002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5.10 (1.51, 17.25)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5.10 (2.19, 11.85)</w:t>
            </w:r>
          </w:p>
        </w:tc>
      </w:tr>
      <w:tr>
        <w:trPr>
          <w:trHeight w:val="285" w:hRule="atLeast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Cardiovascular thromboembolic events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 (1.2%)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0.201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48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Readmission 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7 (4.1%)</w:t>
            </w:r>
          </w:p>
        </w:tc>
        <w:tc>
          <w:tcPr>
            <w:tcW w:w="2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8 (5.8%)</w:t>
            </w:r>
          </w:p>
        </w:tc>
        <w:tc>
          <w:tcPr>
            <w:tcW w:w="1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0.496</w:t>
            </w:r>
          </w:p>
        </w:tc>
        <w:tc>
          <w:tcPr>
            <w:tcW w:w="2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0.57 (0.20, 1.56)</w:t>
            </w:r>
          </w:p>
        </w:tc>
        <w:tc>
          <w:tcPr>
            <w:tcW w:w="1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0.84 (0.41, 1.71)</w:t>
            </w:r>
          </w:p>
        </w:tc>
      </w:tr>
      <w:tr>
        <w:trPr>
          <w:trHeight w:val="285" w:hRule="atLeast"/>
        </w:trPr>
        <w:tc>
          <w:tcPr>
            <w:tcW w:w="48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Re-infection with COVID-19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 (0.6%)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0.367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-</w:t>
            </w:r>
          </w:p>
        </w:tc>
      </w:tr>
    </w:tbl>
    <w:p>
      <w:pPr>
        <w:rPr>
          <w:rFonts w:hint="eastAsia" w:ascii="Arial Regular" w:hAnsi="Arial Regular" w:cs="Arial Regular"/>
          <w:sz w:val="20"/>
          <w:szCs w:val="20"/>
        </w:rPr>
      </w:pPr>
      <w:r>
        <w:rPr>
          <w:rFonts w:ascii="Arial Regular" w:hAnsi="Arial Regular" w:eastAsia="DengXian" w:cs="Arial Regular"/>
          <w:color w:val="000000"/>
          <w:kern w:val="0"/>
          <w:sz w:val="20"/>
          <w:szCs w:val="20"/>
        </w:rPr>
        <w:t xml:space="preserve">HR, hazard ratio; CI, confidence interval; BMI, body </w:t>
      </w:r>
      <w:r>
        <w:rPr>
          <w:rFonts w:ascii="Arial Regular" w:hAnsi="Arial Regular" w:eastAsia="DengXian" w:cs="Arial Regular"/>
          <w:color w:val="000000"/>
          <w:kern w:val="0"/>
          <w:sz w:val="20"/>
          <w:szCs w:val="20"/>
          <w:lang w:eastAsia="zh-Hans"/>
        </w:rPr>
        <w:t>mass index; ICU, intensive center unit</w:t>
      </w:r>
    </w:p>
    <w:p>
      <w:pPr>
        <w:rPr>
          <w:rFonts w:hint="eastAsia" w:ascii="Arial Regular" w:hAnsi="Arial Regular" w:cs="Arial Regular"/>
        </w:rPr>
      </w:pPr>
    </w:p>
    <w:p>
      <w:pPr>
        <w:rPr>
          <w:rFonts w:hint="eastAsia" w:ascii="Arial Regular" w:hAnsi="Arial Regular" w:cs="Arial Regular"/>
          <w:b/>
          <w:bCs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Arial Regular" w:hAnsi="Arial Regular" w:cs="Arial Regular"/>
          <w:b/>
          <w:bCs/>
        </w:rPr>
      </w:pPr>
      <w:r>
        <w:rPr>
          <w:rFonts w:ascii="Arial Regular" w:hAnsi="Arial Regular" w:cs="Arial Regular"/>
          <w:b/>
          <w:bCs/>
        </w:rPr>
        <w:t>Table S6. Subgroup analyses of all-cause mortality for hospitalized COVID-19 nirmatrelvir-ritonavir versus control group after IPTW-adjusted</w:t>
      </w:r>
      <w:r>
        <w:rPr>
          <w:rFonts w:hint="eastAsia" w:ascii="Arial Regular" w:hAnsi="Arial Regular" w:cs="Arial Regular"/>
          <w:b/>
          <w:bCs/>
        </w:rPr>
        <w:t>.</w:t>
      </w:r>
    </w:p>
    <w:tbl>
      <w:tblPr>
        <w:tblStyle w:val="5"/>
        <w:tblW w:w="11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7"/>
        <w:gridCol w:w="850"/>
        <w:gridCol w:w="1894"/>
        <w:gridCol w:w="1459"/>
        <w:gridCol w:w="1562"/>
        <w:gridCol w:w="2865"/>
      </w:tblGrid>
      <w:tr>
        <w:trPr>
          <w:trHeight w:val="226" w:hRule="atLeast"/>
          <w:jc w:val="center"/>
        </w:trPr>
        <w:tc>
          <w:tcPr>
            <w:tcW w:w="330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1" w:name="OLE_LINK1"/>
            <w:r>
              <w:rPr>
                <w:rFonts w:ascii="Arial Regular" w:hAnsi="Arial Regular" w:eastAsia="DengXian" w:cs="Arial Regular"/>
                <w:b/>
                <w:bCs/>
                <w:color w:val="000000"/>
                <w:kern w:val="0"/>
                <w:sz w:val="20"/>
                <w:szCs w:val="20"/>
              </w:rPr>
              <w:t>Nirmatrelvir-ritonavir</w:t>
            </w:r>
            <w:bookmarkEnd w:id="1"/>
          </w:p>
        </w:tc>
        <w:tc>
          <w:tcPr>
            <w:tcW w:w="302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b/>
                <w:bCs/>
                <w:color w:val="000000"/>
                <w:kern w:val="0"/>
                <w:sz w:val="20"/>
                <w:szCs w:val="20"/>
              </w:rPr>
              <w:t>Control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b/>
                <w:bCs/>
                <w:color w:val="000000"/>
                <w:kern w:val="0"/>
                <w:sz w:val="20"/>
                <w:szCs w:val="20"/>
              </w:rPr>
              <w:t>IPTW-adjusted model</w:t>
            </w:r>
          </w:p>
        </w:tc>
      </w:tr>
      <w:tr>
        <w:trPr>
          <w:trHeight w:val="226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b/>
                <w:bCs/>
                <w:color w:val="000000"/>
                <w:kern w:val="0"/>
                <w:sz w:val="20"/>
                <w:szCs w:val="20"/>
              </w:rPr>
              <w:t>events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b/>
                <w:bCs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b/>
                <w:bCs/>
                <w:color w:val="000000"/>
                <w:kern w:val="0"/>
                <w:sz w:val="20"/>
                <w:szCs w:val="20"/>
              </w:rPr>
              <w:t>events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b/>
                <w:bCs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b/>
                <w:bCs/>
                <w:color w:val="000000"/>
                <w:kern w:val="0"/>
                <w:sz w:val="20"/>
                <w:szCs w:val="20"/>
              </w:rPr>
              <w:t>HR (95%CI)</w:t>
            </w:r>
          </w:p>
        </w:tc>
      </w:tr>
      <w:tr>
        <w:trPr>
          <w:trHeight w:val="226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Sex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15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15.8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22.2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0.69 (0.44, 1.08)</w:t>
            </w:r>
          </w:p>
        </w:tc>
      </w:tr>
      <w:tr>
        <w:trPr>
          <w:trHeight w:val="215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6.1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23.8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0.38 (0.18, 0.82)</w:t>
            </w:r>
          </w:p>
        </w:tc>
      </w:tr>
      <w:tr>
        <w:trPr>
          <w:trHeight w:val="226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Age, years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15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&lt;65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6.3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0.0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rPr>
          <w:trHeight w:val="293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15.5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37.5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0.34 (0.21, 0.52)</w:t>
            </w:r>
          </w:p>
        </w:tc>
      </w:tr>
      <w:tr>
        <w:trPr>
          <w:trHeight w:val="226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Ethnicity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15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Han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11.8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22.3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0.58 (0.39, 0.85)</w:t>
            </w:r>
          </w:p>
        </w:tc>
      </w:tr>
      <w:tr>
        <w:trPr>
          <w:trHeight w:val="215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Minority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16.7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50.0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0.82 (0.15, 4.39)</w:t>
            </w:r>
          </w:p>
        </w:tc>
      </w:tr>
      <w:tr>
        <w:trPr>
          <w:trHeight w:val="59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BMI</w:t>
            </w:r>
            <w:r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kg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509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宋体" w:cs="Arial Regular"/>
                <w:color w:val="000000"/>
                <w:kern w:val="0"/>
                <w:sz w:val="20"/>
                <w:szCs w:val="20"/>
              </w:rPr>
              <w:t>≤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11.6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22.0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0.52 (0.35, 0.78)</w:t>
            </w:r>
          </w:p>
        </w:tc>
      </w:tr>
      <w:tr>
        <w:trPr>
          <w:trHeight w:val="59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&gt;30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12.5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23.1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2.24 (0.48, 10.40)</w:t>
            </w:r>
          </w:p>
        </w:tc>
      </w:tr>
      <w:tr>
        <w:trPr>
          <w:trHeight w:val="215" w:hRule="atLeast"/>
          <w:jc w:val="center"/>
        </w:trPr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Adequate health insurance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339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13.3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25.7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1.05 (0.19, 5.88)</w:t>
            </w:r>
          </w:p>
        </w:tc>
      </w:tr>
      <w:tr>
        <w:trPr>
          <w:trHeight w:val="59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4.2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8.7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0.55 (0.37, 0.82)</w:t>
            </w:r>
          </w:p>
        </w:tc>
      </w:tr>
      <w:tr>
        <w:trPr>
          <w:trHeight w:val="215" w:hRule="atLeast"/>
          <w:jc w:val="center"/>
        </w:trPr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Vaccination status, doses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15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≤1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16.4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37.7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0.49 (0.31, 0.79)</w:t>
            </w:r>
          </w:p>
        </w:tc>
      </w:tr>
      <w:tr>
        <w:trPr>
          <w:trHeight w:val="339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18.8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25.0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0.57 (0.19, 1.70)</w:t>
            </w:r>
          </w:p>
        </w:tc>
      </w:tr>
      <w:tr>
        <w:trPr>
          <w:trHeight w:val="339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≥3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5.6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4.2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1.12 (0.47, 2.69)</w:t>
            </w:r>
          </w:p>
        </w:tc>
      </w:tr>
      <w:tr>
        <w:trPr>
          <w:trHeight w:val="215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Hypertension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26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15.6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28.3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0.62 (0.37, 1.05)</w:t>
            </w:r>
          </w:p>
        </w:tc>
      </w:tr>
      <w:tr>
        <w:trPr>
          <w:trHeight w:val="215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9.7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18.1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0.55 (0.31, 0.98)</w:t>
            </w:r>
          </w:p>
        </w:tc>
      </w:tr>
      <w:tr>
        <w:trPr>
          <w:trHeight w:val="215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Diabetes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15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16.2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33.3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0.42 (0.20, 0.90)</w:t>
            </w:r>
          </w:p>
        </w:tc>
      </w:tr>
      <w:tr>
        <w:trPr>
          <w:trHeight w:val="215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10.8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19.6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0.66 (0.42, 1.04)</w:t>
            </w:r>
          </w:p>
        </w:tc>
      </w:tr>
      <w:tr>
        <w:trPr>
          <w:trHeight w:val="215" w:hRule="atLeast"/>
          <w:jc w:val="center"/>
        </w:trPr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Chronic </w:t>
            </w:r>
            <w:r>
              <w:rPr>
                <w:rFonts w:hint="default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ung </w:t>
            </w:r>
            <w:r>
              <w:rPr>
                <w:rFonts w:hint="default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d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iseases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15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22.5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40.9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0.53 (0.32, 0.88)</w:t>
            </w:r>
          </w:p>
        </w:tc>
      </w:tr>
      <w:tr>
        <w:trPr>
          <w:trHeight w:val="215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8.7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13.6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0.64 (0.35, 1.17)</w:t>
            </w:r>
          </w:p>
        </w:tc>
      </w:tr>
      <w:tr>
        <w:trPr>
          <w:trHeight w:val="215" w:hRule="atLeast"/>
          <w:jc w:val="center"/>
        </w:trPr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Cardiovascular disease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15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19.1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32.7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0.52 (0.30, 0.92)</w:t>
            </w:r>
          </w:p>
        </w:tc>
      </w:tr>
      <w:tr>
        <w:trPr>
          <w:trHeight w:val="215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9.6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15.6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0.67 (0.39, 1.15)</w:t>
            </w:r>
          </w:p>
        </w:tc>
      </w:tr>
      <w:tr>
        <w:trPr>
          <w:trHeight w:val="215" w:hRule="atLeast"/>
          <w:jc w:val="center"/>
        </w:trPr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Cerebrovascular disease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15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30.4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39.3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0.67 (0.35, 1.29)</w:t>
            </w:r>
          </w:p>
        </w:tc>
      </w:tr>
      <w:tr>
        <w:trPr>
          <w:trHeight w:val="215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9.0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18.3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0.59 (0.37, 0.95)</w:t>
            </w:r>
          </w:p>
        </w:tc>
      </w:tr>
      <w:tr>
        <w:trPr>
          <w:trHeight w:val="215" w:hRule="atLeast"/>
          <w:jc w:val="center"/>
        </w:trPr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Chronic kidney disease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15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23.1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34.8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0.62 (0.31, 1.23)</w:t>
            </w:r>
          </w:p>
        </w:tc>
      </w:tr>
      <w:tr>
        <w:trPr>
          <w:trHeight w:val="215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9.9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20.2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0.57 (0.36, 0.91)</w:t>
            </w:r>
          </w:p>
        </w:tc>
      </w:tr>
      <w:tr>
        <w:trPr>
          <w:trHeight w:val="215" w:hRule="atLeast"/>
          <w:jc w:val="center"/>
        </w:trPr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Chronic liver disease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26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31.3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5.6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6.09 (1.01, 36.55)</w:t>
            </w:r>
          </w:p>
        </w:tc>
      </w:tr>
      <w:tr>
        <w:trPr>
          <w:trHeight w:val="215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9.9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25.4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0.47 (0.31, 0.72)</w:t>
            </w:r>
          </w:p>
        </w:tc>
      </w:tr>
      <w:tr>
        <w:trPr>
          <w:trHeight w:val="215" w:hRule="atLeast"/>
          <w:jc w:val="center"/>
        </w:trPr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Neurological diseases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339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100.0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33.3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4.05 (1.03, 15.92)</w:t>
            </w:r>
          </w:p>
        </w:tc>
      </w:tr>
      <w:tr>
        <w:trPr>
          <w:trHeight w:val="215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10.4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22.2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0.47 (0.31, 0.71)</w:t>
            </w:r>
          </w:p>
        </w:tc>
      </w:tr>
      <w:tr>
        <w:trPr>
          <w:trHeight w:val="215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Oncology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15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5.0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10.0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rPr>
          <w:trHeight w:val="215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12.9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23.8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0.60 (0.41, 0.88)</w:t>
            </w:r>
          </w:p>
        </w:tc>
      </w:tr>
      <w:tr>
        <w:trPr>
          <w:trHeight w:val="215" w:hRule="atLeast"/>
          <w:jc w:val="center"/>
        </w:trPr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Immunosuppression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15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7.7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9.1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0.55 (0.06, 5.44)</w:t>
            </w:r>
          </w:p>
        </w:tc>
      </w:tr>
      <w:tr>
        <w:trPr>
          <w:trHeight w:val="215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12.8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24.0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0.59 (0.40, 0.87)</w:t>
            </w:r>
          </w:p>
        </w:tc>
      </w:tr>
      <w:tr>
        <w:trPr>
          <w:trHeight w:val="215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Oxygen support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15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15.1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29.0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0.55 (0.37, 0.82)</w:t>
            </w:r>
          </w:p>
        </w:tc>
      </w:tr>
      <w:tr>
        <w:trPr>
          <w:trHeight w:val="215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2.4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3.1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0.93 (0.17, 5.04)</w:t>
            </w:r>
          </w:p>
        </w:tc>
      </w:tr>
      <w:tr>
        <w:trPr>
          <w:trHeight w:val="215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Invasive mechanical ventilation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15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0.0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1.00 (1.00, 1.00)</w:t>
            </w:r>
          </w:p>
        </w:tc>
      </w:tr>
      <w:tr>
        <w:trPr>
          <w:trHeight w:val="215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12.4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22.9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0.59 (0.40, 0.87)</w:t>
            </w:r>
          </w:p>
        </w:tc>
      </w:tr>
      <w:tr>
        <w:trPr>
          <w:trHeight w:val="215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ICU admission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15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6.3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50.0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0.07 (0.01, 0.56)</w:t>
            </w:r>
          </w:p>
        </w:tc>
      </w:tr>
      <w:tr>
        <w:trPr>
          <w:trHeight w:val="215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12.6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22.3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0.66 (0.44, 0.97)</w:t>
            </w:r>
          </w:p>
        </w:tc>
      </w:tr>
      <w:tr>
        <w:trPr>
          <w:trHeight w:val="215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Glucocorticoid use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15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20.3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44.4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0.47 (0.28, 0.78)</w:t>
            </w:r>
          </w:p>
        </w:tc>
      </w:tr>
      <w:tr>
        <w:trPr>
          <w:trHeight w:val="215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7.4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14.6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0.70 (0.39, 1.25)</w:t>
            </w:r>
          </w:p>
        </w:tc>
      </w:tr>
      <w:tr>
        <w:trPr>
          <w:trHeight w:val="226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Antibiotics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15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16.1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23.6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0.84 (0.48, 1.49)</w:t>
            </w:r>
          </w:p>
        </w:tc>
      </w:tr>
      <w:tr>
        <w:trPr>
          <w:trHeight w:val="215" w:hRule="atLeast"/>
          <w:jc w:val="center"/>
        </w:trPr>
        <w:tc>
          <w:tcPr>
            <w:tcW w:w="33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9.5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22.1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0.43 (0.25, 0.73)</w:t>
            </w:r>
          </w:p>
        </w:tc>
      </w:tr>
    </w:tbl>
    <w:p>
      <w:pPr>
        <w:rPr>
          <w:rFonts w:hint="eastAsia" w:ascii="Arial Regular" w:hAnsi="Arial Regular" w:cs="Arial Regular"/>
        </w:rPr>
      </w:pPr>
    </w:p>
    <w:p>
      <w:pPr>
        <w:rPr>
          <w:rFonts w:hint="eastAsia" w:ascii="Arial Regular" w:hAnsi="Arial Regular" w:cs="Arial Regular"/>
          <w:b/>
          <w:bCs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Arial Regular" w:hAnsi="Arial Regular" w:cs="Arial Regular"/>
          <w:b/>
          <w:bCs/>
        </w:rPr>
      </w:pPr>
      <w:r>
        <w:rPr>
          <w:rFonts w:ascii="Arial Regular" w:hAnsi="Arial Regular" w:cs="Arial Regular"/>
          <w:b/>
          <w:bCs/>
        </w:rPr>
        <w:t>Table S7 Subgroup analyses of Disease progression within 28 days for hospitalized COVID-19 nirmatrelvir-ritonavir versus control group</w:t>
      </w:r>
      <w:r>
        <w:rPr>
          <w:rFonts w:hint="eastAsia" w:ascii="Arial Regular" w:hAnsi="Arial Regular" w:cs="Arial Regular"/>
          <w:b/>
          <w:bCs/>
        </w:rPr>
        <w:t>.</w:t>
      </w:r>
    </w:p>
    <w:tbl>
      <w:tblPr>
        <w:tblStyle w:val="5"/>
        <w:tblW w:w="108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9"/>
        <w:gridCol w:w="1064"/>
        <w:gridCol w:w="1427"/>
        <w:gridCol w:w="1445"/>
        <w:gridCol w:w="1295"/>
        <w:gridCol w:w="2500"/>
      </w:tblGrid>
      <w:tr>
        <w:trPr>
          <w:trHeight w:val="300" w:hRule="atLeast"/>
          <w:jc w:val="center"/>
        </w:trPr>
        <w:tc>
          <w:tcPr>
            <w:tcW w:w="312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Nirmatrelvir-ritonavir</w:t>
            </w:r>
          </w:p>
        </w:tc>
        <w:tc>
          <w:tcPr>
            <w:tcW w:w="274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Control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IPTW-adjusted model</w:t>
            </w:r>
          </w:p>
        </w:tc>
      </w:tr>
      <w:tr>
        <w:trPr>
          <w:trHeight w:val="300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events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events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HR (95%CI)</w:t>
            </w:r>
          </w:p>
        </w:tc>
      </w:tr>
      <w:tr>
        <w:trPr>
          <w:trHeight w:val="300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Sex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17.8%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23.3%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0.73 (0.48, 1.12)</w:t>
            </w: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9.1%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23.8%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0.48 (0.24, 0.98)</w:t>
            </w:r>
          </w:p>
        </w:tc>
      </w:tr>
      <w:tr>
        <w:trPr>
          <w:trHeight w:val="300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Age, years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&lt;65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9.4%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0.0%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inf. (0.00, Inf)</w:t>
            </w:r>
          </w:p>
        </w:tc>
      </w:tr>
      <w:tr>
        <w:trPr>
          <w:trHeight w:val="390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≥65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17.5%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38.8%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0.38 (0.25, 0.57)</w:t>
            </w:r>
          </w:p>
        </w:tc>
      </w:tr>
      <w:tr>
        <w:trPr>
          <w:trHeight w:val="300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Ethnicity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Han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14.3%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23.1%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0.65 (0.45, 0.95)</w:t>
            </w: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Minority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16.7%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50.0%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0.82 (0.15, 4.39)</w:t>
            </w:r>
          </w:p>
        </w:tc>
      </w:tr>
      <w:tr>
        <w:trPr>
          <w:trHeight w:val="300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BMI</w:t>
            </w:r>
            <w:r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kg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390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≤30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14.2%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22.9%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0.60 (0.41, 0.88)</w:t>
            </w: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&gt;30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12.5%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23.1%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2.24 (0.48, 10.40)</w:t>
            </w: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Adequate health insurance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14.7%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26.6%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1.99 (0.43, 9.11)</w:t>
            </w: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12.5%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8.7%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0.59 (0.41, 0.87)</w:t>
            </w: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Vaccination status, times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≤1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19.4%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37.7%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0.59 (0.38, 0.92)</w:t>
            </w: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≥2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9.1%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10.9%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0.87 (0.46, 1.64)</w:t>
            </w: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Hypertension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20.3%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30.0%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0.75 (0.47, 1.20)</w:t>
            </w: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10.7%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18.1%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0.55 (0.31, 0.98)</w:t>
            </w: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Diabetes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16.2%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33.3%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0.43 (0.20, 0.92)</w:t>
            </w: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13.9%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20.6%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0.76 (0.50, 1.16)</w:t>
            </w: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Chronic </w:t>
            </w:r>
            <w:r>
              <w:rPr>
                <w:rFonts w:hint="default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ung </w:t>
            </w:r>
            <w:r>
              <w:rPr>
                <w:rFonts w:hint="default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d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iseases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32.5%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40.9%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0.67 (0.42, 1.07)</w:t>
            </w: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8.7%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14.8%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0.59 (0.33, 1.06)</w:t>
            </w: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Cardiovascular disease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23.8%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34.6%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0.57 (0.34, 0.97)</w:t>
            </w: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11.2%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15.6%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0.78 (0.47, 1.31)</w:t>
            </w: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Cerebrovascular disease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30.4%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42.9%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0.56 (0.30, 1.06)</w:t>
            </w: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11.8%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18.3%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0.75 (0.48, 1.17)</w:t>
            </w: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Chronic kidney disease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30.8%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39.1%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0.80 (0.44, 1.46)</w:t>
            </w: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11.4%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20.2%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0.59 (0.37, 0.94)</w:t>
            </w: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Chronic liver disease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31.3%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11.1%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2.16 (0.63, 7.47)</w:t>
            </w: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12.6%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25.4%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0.58 (0.39, 0.85)</w:t>
            </w: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Neurological diseases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100.0%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33.3%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4.05 (1.03, 15.92)</w:t>
            </w: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12.8%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23.0%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0.55 (0.37, 0.81)</w:t>
            </w: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Oncology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10.0%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20.0%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0.00 (0.00, Inf)</w:t>
            </w: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15.0%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23.8%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0.70 (0.49, 1.02)</w:t>
            </w: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Immunosuppression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11.5%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18.2%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0.22 (0.03, 1.75)</w:t>
            </w: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15.0%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24.0%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0.69 (0.48, 1.00)</w:t>
            </w: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Oxygen support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18.3%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30.0%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0.62 (0.43, 0.91)</w:t>
            </w: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2.4%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3.1%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0.93 (0.17, 5.04)</w:t>
            </w: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Invasive mechanical ventilation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0.0%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0.0%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1.00 (1.00, 1.00)</w:t>
            </w: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14.9%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23.7%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0.67 (0.46, 0.96)</w:t>
            </w: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ICU admission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12.5%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50.0%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0.12 (0.02, 0.57)</w:t>
            </w: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14.6%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23.1%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0.73 (0.50, 1.06)</w:t>
            </w: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Glucocorticoid use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22.0%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44.4%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0.49 (0.29, 0.81)</w:t>
            </w: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10.2%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15.6%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0.84 (0.49, 1.43)</w:t>
            </w:r>
          </w:p>
        </w:tc>
      </w:tr>
      <w:tr>
        <w:trPr>
          <w:trHeight w:val="300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Antibiotics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0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17.7%</w:t>
            </w:r>
          </w:p>
        </w:tc>
        <w:tc>
          <w:tcPr>
            <w:tcW w:w="14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25.5%</w:t>
            </w:r>
          </w:p>
        </w:tc>
        <w:tc>
          <w:tcPr>
            <w:tcW w:w="25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0.80 (0.46, 1.38)</w:t>
            </w:r>
          </w:p>
        </w:tc>
      </w:tr>
      <w:tr>
        <w:trPr>
          <w:trHeight w:val="285" w:hRule="atLeast"/>
          <w:jc w:val="center"/>
        </w:trPr>
        <w:tc>
          <w:tcPr>
            <w:tcW w:w="312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12.4%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22.1%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0.56 (0.34, 0.91)</w:t>
            </w:r>
          </w:p>
        </w:tc>
      </w:tr>
    </w:tbl>
    <w:p>
      <w:pPr>
        <w:rPr>
          <w:rFonts w:hint="eastAsia" w:ascii="Arial Regular" w:hAnsi="Arial Regular" w:cs="Arial Regular"/>
          <w:sz w:val="16"/>
          <w:szCs w:val="16"/>
        </w:rPr>
      </w:pPr>
    </w:p>
    <w:p>
      <w:pPr>
        <w:rPr>
          <w:rFonts w:hint="eastAsia" w:ascii="Arial Regular" w:hAnsi="Arial Regular" w:cs="Arial Regular"/>
          <w:sz w:val="16"/>
          <w:szCs w:val="16"/>
        </w:rPr>
      </w:pPr>
    </w:p>
    <w:p>
      <w:pPr>
        <w:rPr>
          <w:rFonts w:hint="eastAsia" w:ascii="Arial Regular" w:hAnsi="Arial Regular" w:cs="Arial Regular"/>
          <w:sz w:val="16"/>
          <w:szCs w:val="16"/>
        </w:rPr>
      </w:pPr>
    </w:p>
    <w:p>
      <w:pPr>
        <w:rPr>
          <w:rFonts w:hint="eastAsia" w:ascii="Arial Regular" w:hAnsi="Arial Regular" w:cs="Arial Regular"/>
          <w:sz w:val="16"/>
          <w:szCs w:val="16"/>
        </w:rPr>
      </w:pPr>
    </w:p>
    <w:p>
      <w:pPr>
        <w:rPr>
          <w:rFonts w:hint="eastAsia" w:ascii="Arial Regular" w:hAnsi="Arial Regular" w:cs="Arial Regular"/>
          <w:b/>
          <w:bCs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Arial Regular" w:hAnsi="Arial Regular" w:cs="Arial Regular"/>
          <w:b/>
          <w:bCs/>
        </w:rPr>
      </w:pPr>
      <w:r>
        <w:rPr>
          <w:rFonts w:ascii="Arial Regular" w:hAnsi="Arial Regular" w:cs="Arial Regular"/>
          <w:b/>
          <w:bCs/>
        </w:rPr>
        <w:t>Table S8. Subgroup analyses of outcomes for hospitalized COVID-19 according to vaccination and immunity status.</w:t>
      </w:r>
    </w:p>
    <w:tbl>
      <w:tblPr>
        <w:tblStyle w:val="5"/>
        <w:tblW w:w="1374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0"/>
        <w:gridCol w:w="1777"/>
        <w:gridCol w:w="1339"/>
        <w:gridCol w:w="2058"/>
        <w:gridCol w:w="1616"/>
        <w:gridCol w:w="1286"/>
        <w:gridCol w:w="1914"/>
        <w:gridCol w:w="842"/>
      </w:tblGrid>
      <w:tr>
        <w:trPr>
          <w:trHeight w:val="282" w:hRule="atLeast"/>
        </w:trPr>
        <w:tc>
          <w:tcPr>
            <w:tcW w:w="2910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outcomes</w:t>
            </w:r>
          </w:p>
        </w:tc>
        <w:tc>
          <w:tcPr>
            <w:tcW w:w="51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Weak immunity without ≥2 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  <w:lang w:eastAsia="zh-Hans"/>
              </w:rPr>
              <w:t xml:space="preserve">doses of 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vaccin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  <w:lang w:eastAsia="zh-Hans"/>
              </w:rPr>
              <w:t>ation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8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Without weak immunity or weak immunity with ≥2 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  <w:lang w:eastAsia="zh-Hans"/>
              </w:rPr>
              <w:t xml:space="preserve">doses of 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vaccin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  <w:lang w:eastAsia="zh-Hans"/>
              </w:rPr>
              <w:t>ation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P for trend</w:t>
            </w:r>
          </w:p>
        </w:tc>
      </w:tr>
      <w:tr>
        <w:trPr>
          <w:trHeight w:val="968" w:hRule="atLeast"/>
        </w:trPr>
        <w:tc>
          <w:tcPr>
            <w:tcW w:w="2910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Nirmatrelvir-ritonavir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Control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IPTW-adjusted model HR </w:t>
            </w:r>
            <w:r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95%CI)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Nirmatrelvir-ritonavir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Control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IPTW-adjusted model HR </w:t>
            </w:r>
            <w:r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95%CI)</w:t>
            </w:r>
          </w:p>
        </w:tc>
        <w:tc>
          <w:tcPr>
            <w:tcW w:w="84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2" w:hRule="atLeast"/>
        </w:trPr>
        <w:tc>
          <w:tcPr>
            <w:tcW w:w="29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Events (%)</w:t>
            </w:r>
          </w:p>
        </w:tc>
        <w:tc>
          <w:tcPr>
            <w:tcW w:w="1339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Events (%)</w:t>
            </w:r>
          </w:p>
        </w:tc>
        <w:tc>
          <w:tcPr>
            <w:tcW w:w="2058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n=103</w:t>
            </w:r>
          </w:p>
        </w:tc>
        <w:tc>
          <w:tcPr>
            <w:tcW w:w="1616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Events (%)</w:t>
            </w:r>
          </w:p>
        </w:tc>
        <w:tc>
          <w:tcPr>
            <w:tcW w:w="1286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Events (%)</w:t>
            </w:r>
          </w:p>
        </w:tc>
        <w:tc>
          <w:tcPr>
            <w:tcW w:w="1914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n=175</w:t>
            </w: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2" w:hRule="atLeast"/>
        </w:trPr>
        <w:tc>
          <w:tcPr>
            <w:tcW w:w="2910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All-cause mortality within 28 days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9 (15.5)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23 (43.4)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0.33 (0.19, 0.56)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6 (8.3)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9 (9.3)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1.37 (0.74, 2.55)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0.0003</w:t>
            </w:r>
          </w:p>
        </w:tc>
      </w:tr>
      <w:tr>
        <w:trPr>
          <w:trHeight w:val="282" w:hRule="atLeast"/>
        </w:trPr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  <w:lang w:bidi="ar"/>
              </w:rPr>
              <w:t xml:space="preserve">Disease progression (invasive mechanical ventilation, ICU </w:t>
            </w:r>
            <w:r>
              <w:rPr>
                <w:rFonts w:hint="default" w:ascii="Arial Regular" w:hAnsi="Arial Regular" w:eastAsia="DengXian" w:cs="Arial Regular"/>
                <w:color w:val="000000"/>
                <w:kern w:val="0"/>
                <w:sz w:val="20"/>
                <w:szCs w:val="20"/>
                <w:lang w:bidi="ar"/>
              </w:rPr>
              <w:t>a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  <w:lang w:bidi="ar"/>
              </w:rPr>
              <w:t>dmission, death) within 28 days</w:t>
            </w:r>
            <w:r>
              <w:rPr>
                <w:rFonts w:ascii="Arial Regular" w:hAnsi="Arial Regular" w:eastAsia="宋体" w:cs="Arial Regular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11 (19.0)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23 (43.4)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0.42 (0.26, 0.69)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10 (10.3)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7 (9.7)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1.28 (0.71, 2.31)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0.0032</w:t>
            </w:r>
          </w:p>
        </w:tc>
      </w:tr>
      <w:tr>
        <w:trPr>
          <w:trHeight w:val="282" w:hRule="atLeast"/>
        </w:trPr>
        <w:tc>
          <w:tcPr>
            <w:tcW w:w="13742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Arial Regular" w:hAnsi="Arial Regular" w:cs="Arial Regular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IPTW, </w:t>
            </w:r>
            <w:r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  <w:lang w:eastAsia="zh-Hans"/>
              </w:rPr>
              <w:t>i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nverse </w:t>
            </w:r>
            <w:r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  <w:lang w:eastAsia="zh-Hans"/>
              </w:rPr>
              <w:t>p</w:t>
            </w: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robability of treatment weighting; HR, hazard ratio; CI, confidence interval; BMI, body mass index; ICU, intensive center unit</w:t>
            </w:r>
          </w:p>
          <w:p>
            <w:pPr>
              <w:rPr>
                <w:rFonts w:hint="eastAsia" w:ascii="Arial Regular" w:hAnsi="Arial Regular" w:eastAsia="DengXian" w:cs="Arial Regular"/>
                <w:color w:val="000000"/>
                <w:kern w:val="0"/>
                <w:sz w:val="20"/>
                <w:szCs w:val="20"/>
              </w:rPr>
            </w:pPr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Patients </w:t>
            </w:r>
            <w:bookmarkStart w:id="2" w:name="OLE_LINK56"/>
            <w:bookmarkStart w:id="3" w:name="OLE_LINK55"/>
            <w:bookmarkStart w:id="4" w:name="OLE_LINK54"/>
            <w:bookmarkStart w:id="5" w:name="OLE_LINK18"/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aged</w:t>
            </w:r>
            <w:bookmarkStart w:id="6" w:name="OLE_LINK17"/>
            <w:bookmarkStart w:id="7" w:name="OLE_LINK16"/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 </w:t>
            </w:r>
            <w:bookmarkStart w:id="8" w:name="OLE_LINK65"/>
            <w:bookmarkStart w:id="9" w:name="OLE_LINK63"/>
            <w:bookmarkStart w:id="10" w:name="OLE_LINK64"/>
            <w:bookmarkStart w:id="11" w:name="OLE_LINK62"/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≥</w:t>
            </w:r>
            <w:bookmarkEnd w:id="6"/>
            <w:bookmarkEnd w:id="7"/>
            <w:bookmarkEnd w:id="8"/>
            <w:bookmarkEnd w:id="9"/>
            <w:bookmarkEnd w:id="10"/>
            <w:bookmarkEnd w:id="11"/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65 years</w:t>
            </w:r>
            <w:bookmarkEnd w:id="2"/>
            <w:bookmarkEnd w:id="3"/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, </w:t>
            </w:r>
            <w:bookmarkEnd w:id="4"/>
            <w:bookmarkEnd w:id="5"/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or with a diagnosis of oncology or </w:t>
            </w:r>
            <w:bookmarkStart w:id="12" w:name="OLE_LINK15"/>
            <w:bookmarkStart w:id="13" w:name="OLE_LINK14"/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rheumatic disease</w:t>
            </w:r>
            <w:bookmarkEnd w:id="12"/>
            <w:bookmarkEnd w:id="13"/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, or </w:t>
            </w:r>
            <w:bookmarkStart w:id="14" w:name="OLE_LINK11"/>
            <w:bookmarkStart w:id="15" w:name="OLE_LINK12"/>
            <w:bookmarkStart w:id="16" w:name="OLE_LINK13"/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>post-organ transplantation</w:t>
            </w:r>
            <w:bookmarkEnd w:id="14"/>
            <w:bookmarkEnd w:id="15"/>
            <w:bookmarkEnd w:id="16"/>
            <w:r>
              <w:rPr>
                <w:rFonts w:ascii="Arial Regular" w:hAnsi="Arial Regular" w:eastAsia="DengXian" w:cs="Arial Regular"/>
                <w:color w:val="000000"/>
                <w:kern w:val="0"/>
                <w:sz w:val="20"/>
                <w:szCs w:val="20"/>
              </w:rPr>
              <w:t xml:space="preserve"> were defined as weak immunity patients.</w:t>
            </w:r>
          </w:p>
        </w:tc>
      </w:tr>
    </w:tbl>
    <w:p>
      <w:pPr>
        <w:rPr>
          <w:rFonts w:hint="eastAsia" w:ascii="Arial Regular" w:hAnsi="Arial Regular" w:cs="Arial Regul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doNotCompress"/>
  <w:compat>
    <w:balanceSingleByteDoubleByteWidth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8A"/>
    <w:rsid w:val="00001F9B"/>
    <w:rsid w:val="00064885"/>
    <w:rsid w:val="000857E3"/>
    <w:rsid w:val="000A1296"/>
    <w:rsid w:val="000B21C0"/>
    <w:rsid w:val="000B4636"/>
    <w:rsid w:val="000D27ED"/>
    <w:rsid w:val="000E3E45"/>
    <w:rsid w:val="00136DFC"/>
    <w:rsid w:val="00164A3F"/>
    <w:rsid w:val="00166077"/>
    <w:rsid w:val="00197D2B"/>
    <w:rsid w:val="0020596E"/>
    <w:rsid w:val="00213D27"/>
    <w:rsid w:val="0022061D"/>
    <w:rsid w:val="0024655C"/>
    <w:rsid w:val="00246F92"/>
    <w:rsid w:val="00285295"/>
    <w:rsid w:val="002E4199"/>
    <w:rsid w:val="00306910"/>
    <w:rsid w:val="00330AF1"/>
    <w:rsid w:val="0036524C"/>
    <w:rsid w:val="003C09C2"/>
    <w:rsid w:val="004C3FBA"/>
    <w:rsid w:val="00531C74"/>
    <w:rsid w:val="00534BA0"/>
    <w:rsid w:val="00550E9B"/>
    <w:rsid w:val="0056118A"/>
    <w:rsid w:val="00574A41"/>
    <w:rsid w:val="005863DC"/>
    <w:rsid w:val="005915CC"/>
    <w:rsid w:val="005C6BC9"/>
    <w:rsid w:val="005F1F04"/>
    <w:rsid w:val="005F5A42"/>
    <w:rsid w:val="006163C8"/>
    <w:rsid w:val="00621E35"/>
    <w:rsid w:val="00662D5B"/>
    <w:rsid w:val="006B51BA"/>
    <w:rsid w:val="007450D6"/>
    <w:rsid w:val="007B2051"/>
    <w:rsid w:val="0084083A"/>
    <w:rsid w:val="00841865"/>
    <w:rsid w:val="00847AE5"/>
    <w:rsid w:val="0087752A"/>
    <w:rsid w:val="00933211"/>
    <w:rsid w:val="00947333"/>
    <w:rsid w:val="00965395"/>
    <w:rsid w:val="0098410F"/>
    <w:rsid w:val="00987E99"/>
    <w:rsid w:val="009B154B"/>
    <w:rsid w:val="009C377E"/>
    <w:rsid w:val="009C5C93"/>
    <w:rsid w:val="00A21B41"/>
    <w:rsid w:val="00A63031"/>
    <w:rsid w:val="00B319E1"/>
    <w:rsid w:val="00B84BEA"/>
    <w:rsid w:val="00C17B5C"/>
    <w:rsid w:val="00C22AA4"/>
    <w:rsid w:val="00CC6679"/>
    <w:rsid w:val="00CE23B7"/>
    <w:rsid w:val="00CE7710"/>
    <w:rsid w:val="00D3760D"/>
    <w:rsid w:val="00D44058"/>
    <w:rsid w:val="00D6350D"/>
    <w:rsid w:val="00DA0E8B"/>
    <w:rsid w:val="00DF37AE"/>
    <w:rsid w:val="00E02EDF"/>
    <w:rsid w:val="00EE200B"/>
    <w:rsid w:val="00F12A5A"/>
    <w:rsid w:val="00F2354F"/>
    <w:rsid w:val="00F37A4D"/>
    <w:rsid w:val="00F4684F"/>
    <w:rsid w:val="00F65524"/>
    <w:rsid w:val="00FE27DF"/>
    <w:rsid w:val="0F7BCB12"/>
    <w:rsid w:val="1F7E1C55"/>
    <w:rsid w:val="1FDFFB09"/>
    <w:rsid w:val="2F6B9E3A"/>
    <w:rsid w:val="2F9995E6"/>
    <w:rsid w:val="37FD2BB4"/>
    <w:rsid w:val="3B7FC1C8"/>
    <w:rsid w:val="3DCB5F3B"/>
    <w:rsid w:val="4F7EA189"/>
    <w:rsid w:val="5FE79F11"/>
    <w:rsid w:val="5FEE6840"/>
    <w:rsid w:val="666E771E"/>
    <w:rsid w:val="69EF4518"/>
    <w:rsid w:val="6BFEBB5A"/>
    <w:rsid w:val="6BFF4145"/>
    <w:rsid w:val="6DBBE2D9"/>
    <w:rsid w:val="6FEF83DA"/>
    <w:rsid w:val="6FFF2B7A"/>
    <w:rsid w:val="7AEFE808"/>
    <w:rsid w:val="7DE7C9C6"/>
    <w:rsid w:val="7E76FC67"/>
    <w:rsid w:val="7FDDBEE3"/>
    <w:rsid w:val="7FEBE5F5"/>
    <w:rsid w:val="7FED8E11"/>
    <w:rsid w:val="975F343D"/>
    <w:rsid w:val="B54F8C53"/>
    <w:rsid w:val="BED43363"/>
    <w:rsid w:val="BFF7AFD4"/>
    <w:rsid w:val="C8B7C474"/>
    <w:rsid w:val="CF7B4DF0"/>
    <w:rsid w:val="CFD7EFB9"/>
    <w:rsid w:val="D6BF008B"/>
    <w:rsid w:val="D7F5E579"/>
    <w:rsid w:val="DB77E596"/>
    <w:rsid w:val="DEF985B7"/>
    <w:rsid w:val="E2ED36A9"/>
    <w:rsid w:val="E4DE11D9"/>
    <w:rsid w:val="E7BDB013"/>
    <w:rsid w:val="F57F4EBE"/>
    <w:rsid w:val="F7EF44AD"/>
    <w:rsid w:val="F9FBEA23"/>
    <w:rsid w:val="F9FF3943"/>
    <w:rsid w:val="FB170EFC"/>
    <w:rsid w:val="FCD75963"/>
    <w:rsid w:val="FDEFB839"/>
    <w:rsid w:val="FF6BB071"/>
    <w:rsid w:val="FFBCA197"/>
    <w:rsid w:val="FFDF3912"/>
    <w:rsid w:val="FFDF6868"/>
    <w:rsid w:val="FFEECC12"/>
    <w:rsid w:val="FFFD1B2E"/>
    <w:rsid w:val="FFFD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engXian" w:hAnsi="DengXian" w:eastAsia="DengXian" w:cs="DengXi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  <w14:ligatures w14:val="none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  <w14:ligatures w14:val="non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标题 字符"/>
    <w:basedOn w:val="6"/>
    <w:link w:val="4"/>
    <w:qFormat/>
    <w:uiPriority w:val="10"/>
    <w:rPr>
      <w:rFonts w:asciiTheme="majorHAnsi" w:hAnsiTheme="majorHAnsi" w:eastAsiaTheme="majorEastAsia" w:cstheme="majorBidi"/>
      <w:b/>
      <w:bCs/>
      <w:sz w:val="32"/>
      <w:szCs w:val="3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2089</Words>
  <Characters>11912</Characters>
  <Lines>99</Lines>
  <Paragraphs>27</Paragraphs>
  <TotalTime>30</TotalTime>
  <ScaleCrop>false</ScaleCrop>
  <LinksUpToDate>false</LinksUpToDate>
  <CharactersWithSpaces>13974</CharactersWithSpaces>
  <Application>WPS Office_6.5.0.8619_F1E327BC-269C-435d-A152-05C5408002CA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2023-05-13T05:20:00Z</dcterms:created>
  <dc:creator>zhangyi</dc:creator>
  <cp:lastModifiedBy>WPS_1544676858</cp:lastModifiedBy>
  <dcterms:modified xsi:type="dcterms:W3CDTF">2024-01-30T10:48:23Z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2052-6.5.0.8619</vt:lpwstr>
  </property>
  <property fmtid="{D5CDD505-2E9C-101B-9397-08002B2CF9AE}" pid="3" name="ICV">
    <vt:lpwstr>CBA7D3907957C99C68305B642E9927C4_42</vt:lpwstr>
  </property>
</Properties>
</file>