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38FC" w14:textId="77777777" w:rsidR="00652E12" w:rsidRPr="00DA6824" w:rsidRDefault="00652E12" w:rsidP="00652E12">
      <w:pPr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DA6824">
        <w:rPr>
          <w:rStyle w:val="normaltextrun"/>
          <w:rFonts w:ascii="Arial" w:hAnsi="Arial" w:cs="Arial"/>
          <w:b/>
          <w:bCs/>
          <w:sz w:val="20"/>
          <w:szCs w:val="20"/>
        </w:rPr>
        <w:t>Supplementary Materials </w:t>
      </w:r>
    </w:p>
    <w:p w14:paraId="669F1764" w14:textId="77777777" w:rsidR="00E11BD7" w:rsidRPr="00DA6824" w:rsidRDefault="00E11BD7"/>
    <w:p w14:paraId="534247F5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Style w:val="normaltextrun"/>
          <w:rFonts w:ascii="Arial" w:hAnsi="Arial" w:cs="Arial"/>
          <w:b/>
          <w:bCs/>
          <w:sz w:val="20"/>
          <w:szCs w:val="20"/>
        </w:rPr>
        <w:t>Table S1 Medications affecting surgery and approximate duration of discontinuation before surgery, examinations, and biopsies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2520"/>
        <w:gridCol w:w="2970"/>
        <w:gridCol w:w="4050"/>
      </w:tblGrid>
      <w:tr w:rsidR="00B83C2F" w:rsidRPr="00DA6824" w14:paraId="0B198D54" w14:textId="77777777" w:rsidTr="00F91881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0CF642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Effect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14:paraId="1F4250CA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Medications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E220B5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Approximate duration of discontinuation before surgery, examinations, and biopsies (days)</w:t>
            </w:r>
          </w:p>
        </w:tc>
      </w:tr>
      <w:tr w:rsidR="00B83C2F" w:rsidRPr="00DA6824" w14:paraId="68193888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6E4F93F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Antiplatelet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DED9E9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Prasugrel Hydrochloride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FE9D19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≥14</w:t>
            </w:r>
          </w:p>
        </w:tc>
      </w:tr>
      <w:tr w:rsidR="00B83C2F" w:rsidRPr="00DA6824" w14:paraId="7ACFBE0F" w14:textId="77777777" w:rsidTr="00F91881">
        <w:tc>
          <w:tcPr>
            <w:tcW w:w="2520" w:type="dxa"/>
            <w:vMerge/>
          </w:tcPr>
          <w:p w14:paraId="2A9AB49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0ED00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Clopidogrel Sulfate</w:t>
            </w:r>
          </w:p>
        </w:tc>
        <w:tc>
          <w:tcPr>
            <w:tcW w:w="4050" w:type="dxa"/>
            <w:vMerge w:val="restart"/>
          </w:tcPr>
          <w:p w14:paraId="2F4EBDA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10–14</w:t>
            </w:r>
          </w:p>
        </w:tc>
      </w:tr>
      <w:tr w:rsidR="00B83C2F" w:rsidRPr="00DA6824" w14:paraId="3CCE495B" w14:textId="77777777" w:rsidTr="00F91881">
        <w:tc>
          <w:tcPr>
            <w:tcW w:w="2520" w:type="dxa"/>
            <w:vMerge/>
          </w:tcPr>
          <w:p w14:paraId="0EBB3D5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02CD7B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Ticlopidine Hydrochloride</w:t>
            </w:r>
          </w:p>
        </w:tc>
        <w:tc>
          <w:tcPr>
            <w:tcW w:w="4050" w:type="dxa"/>
            <w:vMerge/>
          </w:tcPr>
          <w:p w14:paraId="135B9E2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607F72A4" w14:textId="77777777" w:rsidTr="00F91881">
        <w:tc>
          <w:tcPr>
            <w:tcW w:w="2520" w:type="dxa"/>
            <w:vMerge/>
          </w:tcPr>
          <w:p w14:paraId="50E0FB14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20D11F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Ethyl Icosapentate</w:t>
            </w:r>
          </w:p>
        </w:tc>
        <w:tc>
          <w:tcPr>
            <w:tcW w:w="4050" w:type="dxa"/>
            <w:vMerge w:val="restart"/>
          </w:tcPr>
          <w:p w14:paraId="2A78346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7–10</w:t>
            </w:r>
          </w:p>
        </w:tc>
      </w:tr>
      <w:tr w:rsidR="00B83C2F" w:rsidRPr="00DA6824" w14:paraId="0668D76D" w14:textId="77777777" w:rsidTr="00F91881">
        <w:tc>
          <w:tcPr>
            <w:tcW w:w="2520" w:type="dxa"/>
            <w:vMerge/>
          </w:tcPr>
          <w:p w14:paraId="145DD6E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F09D67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Aspirin</w:t>
            </w:r>
          </w:p>
        </w:tc>
        <w:tc>
          <w:tcPr>
            <w:tcW w:w="4050" w:type="dxa"/>
            <w:vMerge/>
          </w:tcPr>
          <w:p w14:paraId="6774C9A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5373B254" w14:textId="77777777" w:rsidTr="00F91881">
        <w:tc>
          <w:tcPr>
            <w:tcW w:w="2520" w:type="dxa"/>
            <w:vMerge/>
          </w:tcPr>
          <w:p w14:paraId="7F1D163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9E9F68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Ticagrelor</w:t>
            </w:r>
          </w:p>
        </w:tc>
        <w:tc>
          <w:tcPr>
            <w:tcW w:w="4050" w:type="dxa"/>
          </w:tcPr>
          <w:p w14:paraId="3FA2611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≥5</w:t>
            </w:r>
          </w:p>
        </w:tc>
      </w:tr>
      <w:tr w:rsidR="00B83C2F" w:rsidRPr="00DA6824" w14:paraId="64084C2B" w14:textId="77777777" w:rsidTr="00F91881">
        <w:tc>
          <w:tcPr>
            <w:tcW w:w="2520" w:type="dxa"/>
            <w:vMerge/>
          </w:tcPr>
          <w:p w14:paraId="188D2DD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B24451A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Beraprost</w:t>
            </w:r>
          </w:p>
        </w:tc>
        <w:tc>
          <w:tcPr>
            <w:tcW w:w="4050" w:type="dxa"/>
          </w:tcPr>
          <w:p w14:paraId="397BF8E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1–4</w:t>
            </w:r>
          </w:p>
        </w:tc>
      </w:tr>
      <w:tr w:rsidR="00B83C2F" w:rsidRPr="00DA6824" w14:paraId="6BB1E33F" w14:textId="77777777" w:rsidTr="00F91881">
        <w:tc>
          <w:tcPr>
            <w:tcW w:w="2520" w:type="dxa"/>
            <w:vMerge/>
          </w:tcPr>
          <w:p w14:paraId="2D5F0BCD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2548CD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Cilostazol</w:t>
            </w:r>
          </w:p>
        </w:tc>
        <w:tc>
          <w:tcPr>
            <w:tcW w:w="4050" w:type="dxa"/>
          </w:tcPr>
          <w:p w14:paraId="70AB037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3C2F" w:rsidRPr="00DA6824" w14:paraId="236BE9E3" w14:textId="77777777" w:rsidTr="00F91881">
        <w:tc>
          <w:tcPr>
            <w:tcW w:w="2520" w:type="dxa"/>
            <w:vMerge/>
          </w:tcPr>
          <w:p w14:paraId="2267C61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22686D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Sarpogrelate Hydrochloride</w:t>
            </w:r>
          </w:p>
        </w:tc>
        <w:tc>
          <w:tcPr>
            <w:tcW w:w="4050" w:type="dxa"/>
            <w:vMerge w:val="restart"/>
          </w:tcPr>
          <w:p w14:paraId="1B0ED77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83C2F" w:rsidRPr="00DA6824" w14:paraId="4961939B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7DF8802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41595E7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Limaprost Alfadex</w:t>
            </w: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1C88DBB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3445A609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3F688DE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Anticoagulant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917D22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Warfarin Potassium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11E5B46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5–7</w:t>
            </w:r>
          </w:p>
        </w:tc>
      </w:tr>
      <w:tr w:rsidR="00B83C2F" w:rsidRPr="00DA6824" w14:paraId="41D1E04D" w14:textId="77777777" w:rsidTr="00F91881">
        <w:tc>
          <w:tcPr>
            <w:tcW w:w="2520" w:type="dxa"/>
            <w:vMerge/>
          </w:tcPr>
          <w:p w14:paraId="6EFF74F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93735C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Heparin Sodium (injection)</w:t>
            </w:r>
          </w:p>
        </w:tc>
        <w:tc>
          <w:tcPr>
            <w:tcW w:w="4050" w:type="dxa"/>
            <w:vMerge w:val="restart"/>
          </w:tcPr>
          <w:p w14:paraId="3617959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Neutralize with Protamine Sulfate</w:t>
            </w:r>
          </w:p>
        </w:tc>
      </w:tr>
      <w:tr w:rsidR="00B83C2F" w:rsidRPr="00DA6824" w14:paraId="57D1FB29" w14:textId="77777777" w:rsidTr="00F91881">
        <w:tc>
          <w:tcPr>
            <w:tcW w:w="2520" w:type="dxa"/>
            <w:vMerge/>
          </w:tcPr>
          <w:p w14:paraId="2B96B0C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F08B51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Heparin Calcium (injection)</w:t>
            </w:r>
          </w:p>
        </w:tc>
        <w:tc>
          <w:tcPr>
            <w:tcW w:w="4050" w:type="dxa"/>
            <w:vMerge/>
          </w:tcPr>
          <w:p w14:paraId="1C17CAF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322DDB01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2D9D2BC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1A59A5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Dalteparin Sodium (injection)</w:t>
            </w: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491E805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6BF650D9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2437750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Inhibition of coagulation factor x activity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7E925CB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Apixaban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4FFB04DC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1–2</w:t>
            </w:r>
          </w:p>
        </w:tc>
      </w:tr>
      <w:tr w:rsidR="00B83C2F" w:rsidRPr="00DA6824" w14:paraId="6DDE0E4A" w14:textId="77777777" w:rsidTr="00F91881">
        <w:tc>
          <w:tcPr>
            <w:tcW w:w="2520" w:type="dxa"/>
            <w:vMerge/>
          </w:tcPr>
          <w:p w14:paraId="6388885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7E481F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4050" w:type="dxa"/>
            <w:vMerge w:val="restart"/>
          </w:tcPr>
          <w:p w14:paraId="645A0E2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≥1</w:t>
            </w:r>
          </w:p>
        </w:tc>
      </w:tr>
      <w:tr w:rsidR="00B83C2F" w:rsidRPr="00DA6824" w14:paraId="08756653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7AD70D1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71E0DE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Edoxaban</w:t>
            </w: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470791E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7AC17EF3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1AE326F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Inhibition of thrombin formation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75B918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Dabigatran Etexilate Methanesulfonate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EEAA4D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1–2</w:t>
            </w:r>
          </w:p>
        </w:tc>
      </w:tr>
      <w:tr w:rsidR="00B83C2F" w:rsidRPr="00DA6824" w14:paraId="0FFB4D4C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C3023BD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DD8066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Argatroban Hydrate (injection)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337AFAF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0.25 (6 h)</w:t>
            </w:r>
          </w:p>
        </w:tc>
      </w:tr>
      <w:tr w:rsidR="00B83C2F" w:rsidRPr="00DA6824" w14:paraId="746C4AA0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36D1157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Improvement of cerebral blood circulation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0E31E45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Ibudilast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B12344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83C2F" w:rsidRPr="00DA6824" w14:paraId="78BF356F" w14:textId="77777777" w:rsidTr="00F91881">
        <w:tc>
          <w:tcPr>
            <w:tcW w:w="2520" w:type="dxa"/>
            <w:vMerge/>
          </w:tcPr>
          <w:p w14:paraId="7977DD3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66ED2B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Nicergoline</w:t>
            </w:r>
          </w:p>
        </w:tc>
        <w:tc>
          <w:tcPr>
            <w:tcW w:w="4050" w:type="dxa"/>
            <w:vMerge w:val="restart"/>
            <w:tcBorders>
              <w:bottom w:val="single" w:sz="4" w:space="0" w:color="auto"/>
            </w:tcBorders>
          </w:tcPr>
          <w:p w14:paraId="6496657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3C2F" w:rsidRPr="00DA6824" w14:paraId="2240B454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5A71CDCC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AF0E94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Ifenprodil Tartrate</w:t>
            </w: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6732C87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40515CEF" w14:textId="77777777" w:rsidTr="00F91881"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2752B81C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Improvement of coronary blood flow</w:t>
            </w: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2B6DC97D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Dipyridamole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14:paraId="2DD7868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1–2</w:t>
            </w:r>
          </w:p>
        </w:tc>
      </w:tr>
      <w:tr w:rsidR="00B83C2F" w:rsidRPr="00DA6824" w14:paraId="59AE05DC" w14:textId="77777777" w:rsidTr="00F91881">
        <w:tc>
          <w:tcPr>
            <w:tcW w:w="2520" w:type="dxa"/>
            <w:vMerge/>
          </w:tcPr>
          <w:p w14:paraId="0C671FE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3ED98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Dilazep Hydrochloride Hydrate</w:t>
            </w:r>
          </w:p>
        </w:tc>
        <w:tc>
          <w:tcPr>
            <w:tcW w:w="4050" w:type="dxa"/>
            <w:vMerge w:val="restart"/>
          </w:tcPr>
          <w:p w14:paraId="652BBAE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83C2F" w:rsidRPr="00DA6824" w14:paraId="4DEB94E4" w14:textId="77777777" w:rsidTr="00F91881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423AFE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81EEDE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Trapidil</w:t>
            </w:r>
          </w:p>
        </w:tc>
        <w:tc>
          <w:tcPr>
            <w:tcW w:w="4050" w:type="dxa"/>
            <w:vMerge/>
            <w:tcBorders>
              <w:bottom w:val="single" w:sz="4" w:space="0" w:color="auto"/>
            </w:tcBorders>
          </w:tcPr>
          <w:p w14:paraId="0598B1D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BDE78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DA6824">
        <w:rPr>
          <w:rFonts w:ascii="Arial" w:hAnsi="Arial" w:cs="Arial"/>
          <w:sz w:val="20"/>
          <w:szCs w:val="20"/>
        </w:rPr>
        <w:t xml:space="preserve">The duration of medication discontinuation was determined by Kitasato University Hospital. The duration of medication discontinuation was decided by the doctor, considering the </w:t>
      </w:r>
      <w:r w:rsidRPr="00DA6824">
        <w:rPr>
          <w:rFonts w:ascii="Arial" w:hAnsi="Arial" w:cs="Arial"/>
          <w:sz w:val="20"/>
          <w:szCs w:val="20"/>
        </w:rPr>
        <w:lastRenderedPageBreak/>
        <w:t>patient’s general condition and degree of infiltration and bleeding due to surgery, examination, or biopsy.</w:t>
      </w:r>
    </w:p>
    <w:p w14:paraId="40424774" w14:textId="5B0A5D16" w:rsidR="00B83C2F" w:rsidRPr="00DA6824" w:rsidRDefault="00B83C2F">
      <w:r w:rsidRPr="00DA6824">
        <w:br w:type="page"/>
      </w:r>
    </w:p>
    <w:p w14:paraId="706C1BE7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Style w:val="normaltextrun"/>
          <w:rFonts w:ascii="Arial" w:hAnsi="Arial" w:cs="Arial"/>
          <w:b/>
          <w:bCs/>
          <w:sz w:val="20"/>
          <w:szCs w:val="20"/>
        </w:rPr>
        <w:lastRenderedPageBreak/>
        <w:t xml:space="preserve">Table S2 </w:t>
      </w:r>
      <w:r w:rsidRPr="00DA6824">
        <w:rPr>
          <w:rFonts w:ascii="Arial" w:hAnsi="Arial" w:cs="Arial"/>
          <w:b/>
          <w:bCs/>
          <w:sz w:val="20"/>
          <w:szCs w:val="20"/>
        </w:rPr>
        <w:t>Multivariate binary logistic regression analysis of risk factors for medication non-adherence affecting surgery adjusted for age with the interquartile range of this study (n = 1,132)</w:t>
      </w:r>
    </w:p>
    <w:tbl>
      <w:tblPr>
        <w:tblW w:w="4846" w:type="pct"/>
        <w:tblLook w:val="04A0" w:firstRow="1" w:lastRow="0" w:firstColumn="1" w:lastColumn="0" w:noHBand="0" w:noVBand="1"/>
      </w:tblPr>
      <w:tblGrid>
        <w:gridCol w:w="3260"/>
        <w:gridCol w:w="2664"/>
        <w:gridCol w:w="2318"/>
      </w:tblGrid>
      <w:tr w:rsidR="00B83C2F" w:rsidRPr="00DA6824" w14:paraId="20DD0295" w14:textId="77777777" w:rsidTr="00F860A0">
        <w:tc>
          <w:tcPr>
            <w:tcW w:w="19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762A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Risk factor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FA21D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Odds ratio (95% CI)</w:t>
            </w: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B147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83C2F" w:rsidRPr="00DA6824" w14:paraId="51D123C6" w14:textId="77777777" w:rsidTr="00F860A0"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8D070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14F60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E4EC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C2F" w:rsidRPr="00DA6824" w14:paraId="6F0F434C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4E7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&lt;68 years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C84B9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52BF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C2F" w:rsidRPr="00DA6824" w14:paraId="58FDC84F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B99D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≥68 to &lt;80 </w:t>
            </w:r>
            <w:r w:rsidRPr="00DA6824">
              <w:rPr>
                <w:rFonts w:ascii="Arial" w:hAnsi="Arial" w:cs="Arial"/>
                <w:bCs/>
                <w:sz w:val="20"/>
                <w:szCs w:val="20"/>
              </w:rPr>
              <w:t>years</w:t>
            </w:r>
            <w:r w:rsidRPr="00DA68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916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1.50 (0.94–2.41)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0BCF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0.092</w:t>
            </w:r>
          </w:p>
        </w:tc>
      </w:tr>
      <w:tr w:rsidR="00B83C2F" w:rsidRPr="00DA6824" w14:paraId="1FF8A1DB" w14:textId="77777777" w:rsidTr="00F860A0"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A5CD0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≥80 years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7507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1.38 (0.78–2.47)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6586F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0.271</w:t>
            </w:r>
          </w:p>
        </w:tc>
      </w:tr>
      <w:tr w:rsidR="00B83C2F" w:rsidRPr="00DA6824" w14:paraId="67498757" w14:textId="77777777" w:rsidTr="00F860A0"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6116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B62A6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69687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0DFC9862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0DB1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072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6AC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7C5F941F" w14:textId="77777777" w:rsidTr="00F860A0">
        <w:trPr>
          <w:trHeight w:val="273"/>
        </w:trPr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EA8A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87F8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0.77 (0.51–1.15)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6A1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</w:tr>
      <w:tr w:rsidR="00B83C2F" w:rsidRPr="00DA6824" w14:paraId="231F0E4F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26A0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Explainer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CAF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5656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428557C3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4BF0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Pharmacist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FAB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CF45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7776063A" w14:textId="77777777" w:rsidTr="00F860A0"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49E3F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Non-pharmacist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7988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1.34 (0.91–1.97)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32B0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0.139</w:t>
            </w:r>
          </w:p>
        </w:tc>
      </w:tr>
      <w:tr w:rsidR="00B83C2F" w:rsidRPr="00DA6824" w14:paraId="0FB6BED4" w14:textId="77777777" w:rsidTr="00F91881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D9CDBF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Medications</w:t>
            </w:r>
          </w:p>
        </w:tc>
      </w:tr>
      <w:tr w:rsidR="00B83C2F" w:rsidRPr="00DA6824" w14:paraId="216726CB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857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CD6C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C5BB6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681A847F" w14:textId="77777777" w:rsidTr="00F860A0"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7ECC7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Two or more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33628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1.65 (1.11–2.44)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16848" w14:textId="77777777" w:rsidR="00B83C2F" w:rsidRPr="00DA6824" w:rsidRDefault="00B83C2F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 xml:space="preserve">0.012 </w:t>
            </w:r>
            <w:r w:rsidRPr="00DA68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83C2F" w:rsidRPr="00DA6824" w14:paraId="1E2D2C9F" w14:textId="77777777" w:rsidTr="00F860A0"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9DD0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Days until surgery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0DD55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801E3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43B9370E" w14:textId="77777777" w:rsidTr="00F860A0">
        <w:tc>
          <w:tcPr>
            <w:tcW w:w="19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8A5B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&lt;15 </w:t>
            </w:r>
          </w:p>
        </w:tc>
        <w:tc>
          <w:tcPr>
            <w:tcW w:w="1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A08C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0EC62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7B84F01A" w14:textId="77777777" w:rsidTr="00F860A0">
        <w:tc>
          <w:tcPr>
            <w:tcW w:w="19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1EA8E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≥15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101498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1.40 (0.90–2.19)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2B7E0" w14:textId="77777777" w:rsidR="00B83C2F" w:rsidRPr="00DA6824" w:rsidRDefault="00B83C2F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0.135</w:t>
            </w:r>
          </w:p>
        </w:tc>
      </w:tr>
    </w:tbl>
    <w:p w14:paraId="35FC0CA8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DA6824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DA6824">
        <w:rPr>
          <w:rFonts w:ascii="Arial" w:hAnsi="Arial" w:cs="Arial"/>
          <w:sz w:val="20"/>
          <w:szCs w:val="20"/>
        </w:rPr>
        <w:t xml:space="preserve">Significant (p &lt; 0.05) </w:t>
      </w:r>
    </w:p>
    <w:p w14:paraId="217E6293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sz w:val="20"/>
          <w:szCs w:val="20"/>
        </w:rPr>
        <w:t>Abbreviations: CI, confidence interval; ref, reference</w:t>
      </w:r>
    </w:p>
    <w:p w14:paraId="37A1FDF8" w14:textId="1F7F2126" w:rsidR="00B83C2F" w:rsidRPr="00DA6824" w:rsidRDefault="00B83C2F">
      <w:pPr>
        <w:rPr>
          <w:rFonts w:ascii="Arial" w:hAnsi="Arial" w:cs="Arial"/>
        </w:rPr>
      </w:pPr>
      <w:r w:rsidRPr="00DA6824">
        <w:rPr>
          <w:rFonts w:ascii="Arial" w:hAnsi="Arial" w:cs="Arial"/>
        </w:rPr>
        <w:br w:type="page"/>
      </w:r>
    </w:p>
    <w:p w14:paraId="29D8BD88" w14:textId="77777777" w:rsidR="00B83C2F" w:rsidRPr="00DA6824" w:rsidRDefault="00B83C2F" w:rsidP="00B83C2F">
      <w:pPr>
        <w:rPr>
          <w:rFonts w:ascii="Arial" w:hAnsi="Arial" w:cs="Arial"/>
          <w:b/>
          <w:bCs/>
          <w:sz w:val="20"/>
          <w:szCs w:val="20"/>
        </w:rPr>
      </w:pPr>
      <w:r w:rsidRPr="00DA6824">
        <w:rPr>
          <w:rStyle w:val="normaltextrun"/>
          <w:rFonts w:ascii="Arial" w:hAnsi="Arial" w:cs="Arial"/>
          <w:b/>
          <w:bCs/>
          <w:sz w:val="20"/>
          <w:szCs w:val="20"/>
        </w:rPr>
        <w:lastRenderedPageBreak/>
        <w:t xml:space="preserve">Table S3 </w:t>
      </w:r>
      <w:r w:rsidRPr="00DA6824">
        <w:rPr>
          <w:rFonts w:ascii="Arial" w:hAnsi="Arial" w:cs="Arial"/>
          <w:b/>
          <w:bCs/>
          <w:sz w:val="20"/>
          <w:szCs w:val="20"/>
        </w:rPr>
        <w:t>Multivariate binary logistic regression analysis of risk factors for medication non-adherence affecting surgery across three groups of days from explanation to surgery (n = 1,132)</w:t>
      </w:r>
    </w:p>
    <w:tbl>
      <w:tblPr>
        <w:tblW w:w="4751" w:type="pct"/>
        <w:tblLook w:val="04A0" w:firstRow="1" w:lastRow="0" w:firstColumn="1" w:lastColumn="0" w:noHBand="0" w:noVBand="1"/>
      </w:tblPr>
      <w:tblGrid>
        <w:gridCol w:w="3261"/>
        <w:gridCol w:w="2835"/>
        <w:gridCol w:w="1985"/>
      </w:tblGrid>
      <w:tr w:rsidR="00F860A0" w:rsidRPr="00DA6824" w14:paraId="1146902D" w14:textId="77777777" w:rsidTr="00F860A0"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7AEBC7D8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Risk factor</w:t>
            </w:r>
          </w:p>
        </w:tc>
        <w:tc>
          <w:tcPr>
            <w:tcW w:w="1754" w:type="pct"/>
            <w:tcBorders>
              <w:top w:val="single" w:sz="4" w:space="0" w:color="auto"/>
              <w:bottom w:val="single" w:sz="4" w:space="0" w:color="auto"/>
            </w:tcBorders>
          </w:tcPr>
          <w:p w14:paraId="444F80DA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Odds ratio (95% CI)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</w:tcPr>
          <w:p w14:paraId="390F0BDB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F860A0" w:rsidRPr="00DA6824" w14:paraId="7C74E3EB" w14:textId="77777777" w:rsidTr="00F860A0">
        <w:tc>
          <w:tcPr>
            <w:tcW w:w="2018" w:type="pct"/>
            <w:tcBorders>
              <w:top w:val="single" w:sz="4" w:space="0" w:color="auto"/>
            </w:tcBorders>
          </w:tcPr>
          <w:p w14:paraId="5B15C9FD" w14:textId="77777777" w:rsidR="00F860A0" w:rsidRPr="00DA6824" w:rsidRDefault="00F860A0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1754" w:type="pct"/>
            <w:tcBorders>
              <w:top w:val="single" w:sz="4" w:space="0" w:color="auto"/>
            </w:tcBorders>
          </w:tcPr>
          <w:p w14:paraId="196A98A0" w14:textId="77777777" w:rsidR="00F860A0" w:rsidRPr="00DA6824" w:rsidRDefault="00F860A0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single" w:sz="4" w:space="0" w:color="auto"/>
            </w:tcBorders>
          </w:tcPr>
          <w:p w14:paraId="296E02F9" w14:textId="77777777" w:rsidR="00F860A0" w:rsidRPr="00DA6824" w:rsidRDefault="00F860A0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0A0" w:rsidRPr="00DA6824" w14:paraId="7E302108" w14:textId="77777777" w:rsidTr="00F860A0">
        <w:tc>
          <w:tcPr>
            <w:tcW w:w="2018" w:type="pct"/>
          </w:tcPr>
          <w:p w14:paraId="2B58A9EE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&lt;65 years</w:t>
            </w:r>
          </w:p>
        </w:tc>
        <w:tc>
          <w:tcPr>
            <w:tcW w:w="1754" w:type="pct"/>
          </w:tcPr>
          <w:p w14:paraId="40FA5FF1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28" w:type="pct"/>
          </w:tcPr>
          <w:p w14:paraId="603F79CA" w14:textId="77777777" w:rsidR="00F860A0" w:rsidRPr="00DA6824" w:rsidRDefault="00F860A0" w:rsidP="00F9188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860A0" w:rsidRPr="00DA6824" w14:paraId="16118AFB" w14:textId="77777777" w:rsidTr="00F860A0">
        <w:tc>
          <w:tcPr>
            <w:tcW w:w="2018" w:type="pct"/>
          </w:tcPr>
          <w:p w14:paraId="17702A44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≥65 years</w:t>
            </w:r>
          </w:p>
        </w:tc>
        <w:tc>
          <w:tcPr>
            <w:tcW w:w="1754" w:type="pct"/>
          </w:tcPr>
          <w:p w14:paraId="67E19B41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1.52 (0.91–2.54)</w:t>
            </w:r>
          </w:p>
        </w:tc>
        <w:tc>
          <w:tcPr>
            <w:tcW w:w="1228" w:type="pct"/>
          </w:tcPr>
          <w:p w14:paraId="550E0639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0.110</w:t>
            </w:r>
          </w:p>
        </w:tc>
      </w:tr>
      <w:tr w:rsidR="00F860A0" w:rsidRPr="00DA6824" w14:paraId="4A0F0B10" w14:textId="77777777" w:rsidTr="00F860A0">
        <w:tc>
          <w:tcPr>
            <w:tcW w:w="2018" w:type="pct"/>
          </w:tcPr>
          <w:p w14:paraId="3A0D8398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754" w:type="pct"/>
          </w:tcPr>
          <w:p w14:paraId="0B4AD3DC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50AE4EBA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37D12CB7" w14:textId="77777777" w:rsidTr="00F860A0">
        <w:tc>
          <w:tcPr>
            <w:tcW w:w="2018" w:type="pct"/>
          </w:tcPr>
          <w:p w14:paraId="3E284851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754" w:type="pct"/>
          </w:tcPr>
          <w:p w14:paraId="6CC364E3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28" w:type="pct"/>
          </w:tcPr>
          <w:p w14:paraId="1F025705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12D3CA59" w14:textId="77777777" w:rsidTr="00F860A0">
        <w:tc>
          <w:tcPr>
            <w:tcW w:w="2018" w:type="pct"/>
          </w:tcPr>
          <w:p w14:paraId="6EAD3069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754" w:type="pct"/>
          </w:tcPr>
          <w:p w14:paraId="47454D77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0.76 (0.51–1.14)</w:t>
            </w:r>
          </w:p>
        </w:tc>
        <w:tc>
          <w:tcPr>
            <w:tcW w:w="1228" w:type="pct"/>
          </w:tcPr>
          <w:p w14:paraId="48B9969C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0.187</w:t>
            </w:r>
          </w:p>
        </w:tc>
      </w:tr>
      <w:tr w:rsidR="00F860A0" w:rsidRPr="00DA6824" w14:paraId="41FA2E04" w14:textId="77777777" w:rsidTr="00F860A0">
        <w:tc>
          <w:tcPr>
            <w:tcW w:w="2018" w:type="pct"/>
          </w:tcPr>
          <w:p w14:paraId="62066C7B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Explainer</w:t>
            </w:r>
          </w:p>
        </w:tc>
        <w:tc>
          <w:tcPr>
            <w:tcW w:w="1754" w:type="pct"/>
          </w:tcPr>
          <w:p w14:paraId="6561BE6A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71D2E077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32231108" w14:textId="77777777" w:rsidTr="00F860A0">
        <w:tc>
          <w:tcPr>
            <w:tcW w:w="2018" w:type="pct"/>
          </w:tcPr>
          <w:p w14:paraId="35C421CD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Pharmacist</w:t>
            </w:r>
          </w:p>
        </w:tc>
        <w:tc>
          <w:tcPr>
            <w:tcW w:w="1754" w:type="pct"/>
          </w:tcPr>
          <w:p w14:paraId="11C8FAB3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28" w:type="pct"/>
          </w:tcPr>
          <w:p w14:paraId="66464DC9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570826C1" w14:textId="77777777" w:rsidTr="00F860A0">
        <w:tc>
          <w:tcPr>
            <w:tcW w:w="2018" w:type="pct"/>
          </w:tcPr>
          <w:p w14:paraId="065120CC" w14:textId="77777777" w:rsidR="00F860A0" w:rsidRPr="00DA6824" w:rsidRDefault="00F860A0" w:rsidP="00F91881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Non-pharmacist</w:t>
            </w:r>
          </w:p>
        </w:tc>
        <w:tc>
          <w:tcPr>
            <w:tcW w:w="1754" w:type="pct"/>
          </w:tcPr>
          <w:p w14:paraId="22262940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1.25 (0.82–1.92)</w:t>
            </w:r>
          </w:p>
        </w:tc>
        <w:tc>
          <w:tcPr>
            <w:tcW w:w="1228" w:type="pct"/>
          </w:tcPr>
          <w:p w14:paraId="2D0940D0" w14:textId="77777777" w:rsidR="00F860A0" w:rsidRPr="00DA6824" w:rsidRDefault="00F860A0" w:rsidP="00F91881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0.305</w:t>
            </w:r>
          </w:p>
        </w:tc>
      </w:tr>
      <w:tr w:rsidR="00F860A0" w:rsidRPr="00DA6824" w14:paraId="79CA6D70" w14:textId="77777777" w:rsidTr="00F860A0">
        <w:tc>
          <w:tcPr>
            <w:tcW w:w="2018" w:type="pct"/>
          </w:tcPr>
          <w:p w14:paraId="5614DB02" w14:textId="4698B79A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Medications</w:t>
            </w:r>
          </w:p>
        </w:tc>
        <w:tc>
          <w:tcPr>
            <w:tcW w:w="1754" w:type="pct"/>
          </w:tcPr>
          <w:p w14:paraId="7922B93C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44292703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5180422D" w14:textId="77777777" w:rsidTr="00F860A0">
        <w:tc>
          <w:tcPr>
            <w:tcW w:w="2018" w:type="pct"/>
          </w:tcPr>
          <w:p w14:paraId="4287EBAE" w14:textId="77777777" w:rsidR="00F860A0" w:rsidRPr="00DA6824" w:rsidRDefault="00F860A0" w:rsidP="00F860A0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754" w:type="pct"/>
          </w:tcPr>
          <w:p w14:paraId="2A9CF4A1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28" w:type="pct"/>
          </w:tcPr>
          <w:p w14:paraId="62618034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030E005C" w14:textId="77777777" w:rsidTr="00F860A0">
        <w:tc>
          <w:tcPr>
            <w:tcW w:w="2018" w:type="pct"/>
          </w:tcPr>
          <w:p w14:paraId="407798C8" w14:textId="77777777" w:rsidR="00F860A0" w:rsidRPr="00DA6824" w:rsidRDefault="00F860A0" w:rsidP="00F860A0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Two or more</w:t>
            </w:r>
          </w:p>
        </w:tc>
        <w:tc>
          <w:tcPr>
            <w:tcW w:w="1754" w:type="pct"/>
          </w:tcPr>
          <w:p w14:paraId="24A82AF1" w14:textId="77777777" w:rsidR="00F860A0" w:rsidRPr="00DA6824" w:rsidRDefault="00F860A0" w:rsidP="00F860A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1.67 (1.13–2.47)</w:t>
            </w:r>
          </w:p>
        </w:tc>
        <w:tc>
          <w:tcPr>
            <w:tcW w:w="1228" w:type="pct"/>
          </w:tcPr>
          <w:p w14:paraId="62842861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0.010 </w:t>
            </w:r>
            <w:r w:rsidRPr="00DA6824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</w:tr>
      <w:tr w:rsidR="00F860A0" w:rsidRPr="00DA6824" w14:paraId="555C7C62" w14:textId="77777777" w:rsidTr="00F860A0">
        <w:tc>
          <w:tcPr>
            <w:tcW w:w="2018" w:type="pct"/>
          </w:tcPr>
          <w:p w14:paraId="4B308B35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Days until surgery</w:t>
            </w:r>
          </w:p>
        </w:tc>
        <w:tc>
          <w:tcPr>
            <w:tcW w:w="1754" w:type="pct"/>
          </w:tcPr>
          <w:p w14:paraId="1F3F8395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pct"/>
          </w:tcPr>
          <w:p w14:paraId="62A7AB1E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341FCF2D" w14:textId="77777777" w:rsidTr="00F860A0">
        <w:tc>
          <w:tcPr>
            <w:tcW w:w="2018" w:type="pct"/>
          </w:tcPr>
          <w:p w14:paraId="581C9750" w14:textId="77777777" w:rsidR="00F860A0" w:rsidRPr="00DA6824" w:rsidRDefault="00F860A0" w:rsidP="00F860A0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&lt;15 </w:t>
            </w:r>
          </w:p>
        </w:tc>
        <w:tc>
          <w:tcPr>
            <w:tcW w:w="1754" w:type="pct"/>
          </w:tcPr>
          <w:p w14:paraId="17C9A6DE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28" w:type="pct"/>
          </w:tcPr>
          <w:p w14:paraId="2E1343E1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0A0" w:rsidRPr="00DA6824" w14:paraId="56E05CBC" w14:textId="77777777" w:rsidTr="00F860A0">
        <w:tc>
          <w:tcPr>
            <w:tcW w:w="2018" w:type="pct"/>
          </w:tcPr>
          <w:p w14:paraId="435BD347" w14:textId="77777777" w:rsidR="00F860A0" w:rsidRPr="00DA6824" w:rsidRDefault="00F860A0" w:rsidP="00F860A0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≥15 to &lt;30</w:t>
            </w:r>
          </w:p>
        </w:tc>
        <w:tc>
          <w:tcPr>
            <w:tcW w:w="1754" w:type="pct"/>
          </w:tcPr>
          <w:p w14:paraId="0C6E31C2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1.34 (0.83–2.14)</w:t>
            </w:r>
          </w:p>
        </w:tc>
        <w:tc>
          <w:tcPr>
            <w:tcW w:w="1228" w:type="pct"/>
          </w:tcPr>
          <w:p w14:paraId="7A77896F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0.229</w:t>
            </w:r>
          </w:p>
        </w:tc>
      </w:tr>
      <w:tr w:rsidR="00F860A0" w:rsidRPr="00DA6824" w14:paraId="658CF99B" w14:textId="77777777" w:rsidTr="00F860A0">
        <w:tc>
          <w:tcPr>
            <w:tcW w:w="2018" w:type="pct"/>
            <w:tcBorders>
              <w:bottom w:val="single" w:sz="4" w:space="0" w:color="auto"/>
            </w:tcBorders>
          </w:tcPr>
          <w:p w14:paraId="78528A69" w14:textId="77777777" w:rsidR="00F860A0" w:rsidRPr="00DA6824" w:rsidRDefault="00F860A0" w:rsidP="00F860A0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≥30</w:t>
            </w:r>
          </w:p>
        </w:tc>
        <w:tc>
          <w:tcPr>
            <w:tcW w:w="1754" w:type="pct"/>
            <w:tcBorders>
              <w:bottom w:val="single" w:sz="4" w:space="0" w:color="auto"/>
            </w:tcBorders>
          </w:tcPr>
          <w:p w14:paraId="150F0615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1.57 (0.92–2.68)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7C690FB8" w14:textId="77777777" w:rsidR="00F860A0" w:rsidRPr="00DA6824" w:rsidRDefault="00F860A0" w:rsidP="00F860A0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0.099</w:t>
            </w:r>
          </w:p>
        </w:tc>
      </w:tr>
    </w:tbl>
    <w:p w14:paraId="6C50A192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DA6824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DA6824">
        <w:rPr>
          <w:rFonts w:ascii="Arial" w:hAnsi="Arial" w:cs="Arial"/>
          <w:sz w:val="20"/>
          <w:szCs w:val="20"/>
        </w:rPr>
        <w:t xml:space="preserve">Significant (p &lt; 0.05) </w:t>
      </w:r>
    </w:p>
    <w:p w14:paraId="6C535E50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sz w:val="20"/>
          <w:szCs w:val="20"/>
        </w:rPr>
        <w:t>Abbreviations: CI, confidence interval; ref, reference</w:t>
      </w:r>
    </w:p>
    <w:p w14:paraId="6B276247" w14:textId="77964F82" w:rsidR="00B83C2F" w:rsidRPr="00DA6824" w:rsidRDefault="00B83C2F">
      <w:pPr>
        <w:rPr>
          <w:rFonts w:ascii="Arial" w:hAnsi="Arial" w:cs="Arial"/>
        </w:rPr>
      </w:pPr>
      <w:r w:rsidRPr="00DA6824">
        <w:rPr>
          <w:rFonts w:ascii="Arial" w:hAnsi="Arial" w:cs="Arial"/>
        </w:rPr>
        <w:br w:type="page"/>
      </w:r>
    </w:p>
    <w:p w14:paraId="47031749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lastRenderedPageBreak/>
        <w:t>Table S4 Multivariate binary logistic regression analysis of risk factors for medication non-adherence affecting surgery adjusted for days from explanation to surgery (n = 1,132)</w:t>
      </w:r>
    </w:p>
    <w:tbl>
      <w:tblPr>
        <w:tblW w:w="4846" w:type="pct"/>
        <w:tblLook w:val="04A0" w:firstRow="1" w:lastRow="0" w:firstColumn="1" w:lastColumn="0" w:noHBand="0" w:noVBand="1"/>
      </w:tblPr>
      <w:tblGrid>
        <w:gridCol w:w="3261"/>
        <w:gridCol w:w="2878"/>
        <w:gridCol w:w="2103"/>
      </w:tblGrid>
      <w:tr w:rsidR="00B83C2F" w:rsidRPr="00DA6824" w14:paraId="56A450C6" w14:textId="77777777" w:rsidTr="00F860A0"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</w:tcPr>
          <w:p w14:paraId="5CA13504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Risk factor</w:t>
            </w:r>
          </w:p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14:paraId="2F7BD111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Odds ratio (95% CI)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3C104142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p</w:t>
            </w:r>
          </w:p>
        </w:tc>
      </w:tr>
      <w:tr w:rsidR="00B83C2F" w:rsidRPr="00DA6824" w14:paraId="5F7EAEC0" w14:textId="77777777" w:rsidTr="00F860A0">
        <w:tc>
          <w:tcPr>
            <w:tcW w:w="1978" w:type="pct"/>
            <w:tcBorders>
              <w:top w:val="single" w:sz="4" w:space="0" w:color="auto"/>
            </w:tcBorders>
          </w:tcPr>
          <w:p w14:paraId="78BBA6ED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14:paraId="51FFBA9F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5AA74E96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C2F" w:rsidRPr="00DA6824" w14:paraId="017733F1" w14:textId="77777777" w:rsidTr="00F860A0">
        <w:tc>
          <w:tcPr>
            <w:tcW w:w="1978" w:type="pct"/>
          </w:tcPr>
          <w:p w14:paraId="1A02E8EC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&lt;65 years</w:t>
            </w:r>
          </w:p>
        </w:tc>
        <w:tc>
          <w:tcPr>
            <w:tcW w:w="1746" w:type="pct"/>
          </w:tcPr>
          <w:p w14:paraId="7CAE7228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76" w:type="pct"/>
          </w:tcPr>
          <w:p w14:paraId="4B5E7339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3C2F" w:rsidRPr="00DA6824" w14:paraId="04BA359D" w14:textId="77777777" w:rsidTr="00F860A0">
        <w:tc>
          <w:tcPr>
            <w:tcW w:w="1978" w:type="pct"/>
          </w:tcPr>
          <w:p w14:paraId="55105D0C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≥65 years</w:t>
            </w:r>
          </w:p>
        </w:tc>
        <w:tc>
          <w:tcPr>
            <w:tcW w:w="1746" w:type="pct"/>
          </w:tcPr>
          <w:p w14:paraId="6FCE6D8C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1.52 (0.91–2.55)</w:t>
            </w:r>
          </w:p>
        </w:tc>
        <w:tc>
          <w:tcPr>
            <w:tcW w:w="1276" w:type="pct"/>
          </w:tcPr>
          <w:p w14:paraId="5D4D9782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</w:t>
            </w:r>
            <w:r w:rsidRPr="00DA6824">
              <w:rPr>
                <w:rFonts w:ascii="Arial" w:hAnsi="Arial" w:cs="Arial" w:hint="eastAsia"/>
                <w:sz w:val="20"/>
                <w:szCs w:val="20"/>
              </w:rPr>
              <w:t>08</w:t>
            </w:r>
          </w:p>
        </w:tc>
      </w:tr>
      <w:tr w:rsidR="00B83C2F" w:rsidRPr="00DA6824" w14:paraId="72CD84C0" w14:textId="77777777" w:rsidTr="00F860A0">
        <w:tc>
          <w:tcPr>
            <w:tcW w:w="1978" w:type="pct"/>
          </w:tcPr>
          <w:p w14:paraId="76A78446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Sex</w:t>
            </w:r>
          </w:p>
        </w:tc>
        <w:tc>
          <w:tcPr>
            <w:tcW w:w="1746" w:type="pct"/>
          </w:tcPr>
          <w:p w14:paraId="138A7322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416FA303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062170F5" w14:textId="77777777" w:rsidTr="00F860A0">
        <w:tc>
          <w:tcPr>
            <w:tcW w:w="1978" w:type="pct"/>
          </w:tcPr>
          <w:p w14:paraId="516AB1B6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Male</w:t>
            </w:r>
          </w:p>
        </w:tc>
        <w:tc>
          <w:tcPr>
            <w:tcW w:w="1746" w:type="pct"/>
          </w:tcPr>
          <w:p w14:paraId="0530659E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76" w:type="pct"/>
          </w:tcPr>
          <w:p w14:paraId="2CB7115A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3F6C2D09" w14:textId="77777777" w:rsidTr="00F860A0">
        <w:tc>
          <w:tcPr>
            <w:tcW w:w="1978" w:type="pct"/>
          </w:tcPr>
          <w:p w14:paraId="4BF71084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746" w:type="pct"/>
          </w:tcPr>
          <w:p w14:paraId="6041638E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0.75 (0.50–1.12)</w:t>
            </w:r>
          </w:p>
        </w:tc>
        <w:tc>
          <w:tcPr>
            <w:tcW w:w="1276" w:type="pct"/>
          </w:tcPr>
          <w:p w14:paraId="479522FD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0.16</w:t>
            </w:r>
            <w:r w:rsidRPr="00DA6824">
              <w:rPr>
                <w:rFonts w:ascii="Arial" w:hAnsi="Arial" w:cs="Arial" w:hint="eastAsia"/>
                <w:sz w:val="20"/>
                <w:szCs w:val="20"/>
              </w:rPr>
              <w:t>1</w:t>
            </w:r>
          </w:p>
        </w:tc>
      </w:tr>
      <w:tr w:rsidR="00B83C2F" w:rsidRPr="00DA6824" w14:paraId="47BC77B9" w14:textId="77777777" w:rsidTr="00F860A0">
        <w:tc>
          <w:tcPr>
            <w:tcW w:w="1978" w:type="pct"/>
          </w:tcPr>
          <w:p w14:paraId="3408860A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Explainer</w:t>
            </w:r>
          </w:p>
        </w:tc>
        <w:tc>
          <w:tcPr>
            <w:tcW w:w="1746" w:type="pct"/>
          </w:tcPr>
          <w:p w14:paraId="460B0A52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3097B9B7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0BEA98EF" w14:textId="77777777" w:rsidTr="00F860A0">
        <w:tc>
          <w:tcPr>
            <w:tcW w:w="1978" w:type="pct"/>
          </w:tcPr>
          <w:p w14:paraId="2449D0AC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Pharmacist</w:t>
            </w:r>
          </w:p>
        </w:tc>
        <w:tc>
          <w:tcPr>
            <w:tcW w:w="1746" w:type="pct"/>
          </w:tcPr>
          <w:p w14:paraId="3ED70F81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76" w:type="pct"/>
          </w:tcPr>
          <w:p w14:paraId="5B7AAA78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4FB86CB3" w14:textId="77777777" w:rsidTr="00F860A0">
        <w:tc>
          <w:tcPr>
            <w:tcW w:w="1978" w:type="pct"/>
          </w:tcPr>
          <w:p w14:paraId="41F9CC69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 Non-pharmacist</w:t>
            </w:r>
          </w:p>
        </w:tc>
        <w:tc>
          <w:tcPr>
            <w:tcW w:w="1746" w:type="pct"/>
          </w:tcPr>
          <w:p w14:paraId="2723ABD7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1.29 (0.84–1.97)</w:t>
            </w:r>
          </w:p>
        </w:tc>
        <w:tc>
          <w:tcPr>
            <w:tcW w:w="1276" w:type="pct"/>
          </w:tcPr>
          <w:p w14:paraId="1E842CD3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</w:t>
            </w:r>
            <w:r w:rsidRPr="00DA6824">
              <w:rPr>
                <w:rFonts w:ascii="Arial" w:hAnsi="Arial" w:cs="Arial" w:hint="eastAsia"/>
                <w:sz w:val="20"/>
                <w:szCs w:val="20"/>
              </w:rPr>
              <w:t>47</w:t>
            </w:r>
          </w:p>
        </w:tc>
      </w:tr>
      <w:tr w:rsidR="00B83C2F" w:rsidRPr="00DA6824" w14:paraId="2F10052D" w14:textId="77777777" w:rsidTr="00F91881">
        <w:tc>
          <w:tcPr>
            <w:tcW w:w="5000" w:type="pct"/>
            <w:gridSpan w:val="3"/>
          </w:tcPr>
          <w:p w14:paraId="712EE4E4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Medications</w:t>
            </w:r>
          </w:p>
        </w:tc>
      </w:tr>
      <w:tr w:rsidR="00B83C2F" w:rsidRPr="00DA6824" w14:paraId="43D108B1" w14:textId="77777777" w:rsidTr="00F860A0">
        <w:tc>
          <w:tcPr>
            <w:tcW w:w="1978" w:type="pct"/>
          </w:tcPr>
          <w:p w14:paraId="14A35D0D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746" w:type="pct"/>
          </w:tcPr>
          <w:p w14:paraId="5A357D0F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76" w:type="pct"/>
          </w:tcPr>
          <w:p w14:paraId="510B9146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</w:tr>
      <w:tr w:rsidR="00B83C2F" w:rsidRPr="00DA6824" w14:paraId="40E230CD" w14:textId="77777777" w:rsidTr="00F860A0">
        <w:tc>
          <w:tcPr>
            <w:tcW w:w="1978" w:type="pct"/>
          </w:tcPr>
          <w:p w14:paraId="4547351C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Two or more</w:t>
            </w:r>
          </w:p>
        </w:tc>
        <w:tc>
          <w:tcPr>
            <w:tcW w:w="1746" w:type="pct"/>
          </w:tcPr>
          <w:p w14:paraId="57CD3F99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>1.65 (1.12–2.44)</w:t>
            </w:r>
          </w:p>
        </w:tc>
        <w:tc>
          <w:tcPr>
            <w:tcW w:w="1276" w:type="pct"/>
          </w:tcPr>
          <w:p w14:paraId="780DB4E8" w14:textId="77777777" w:rsidR="00B83C2F" w:rsidRPr="00DA6824" w:rsidRDefault="00B83C2F" w:rsidP="00B83C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6824">
              <w:rPr>
                <w:rFonts w:ascii="Arial" w:hAnsi="Arial" w:cs="Arial"/>
                <w:bCs/>
                <w:sz w:val="20"/>
                <w:szCs w:val="20"/>
              </w:rPr>
              <w:t xml:space="preserve">0.012 </w:t>
            </w:r>
            <w:r w:rsidRPr="00DA682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83C2F" w:rsidRPr="00DA6824" w14:paraId="6B17424B" w14:textId="77777777" w:rsidTr="00F860A0">
        <w:tc>
          <w:tcPr>
            <w:tcW w:w="1978" w:type="pct"/>
          </w:tcPr>
          <w:p w14:paraId="40770084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Days until surgery</w:t>
            </w:r>
          </w:p>
        </w:tc>
        <w:tc>
          <w:tcPr>
            <w:tcW w:w="1746" w:type="pct"/>
          </w:tcPr>
          <w:p w14:paraId="305B8BD7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43108050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3A3B2193" w14:textId="77777777" w:rsidTr="00F860A0">
        <w:tc>
          <w:tcPr>
            <w:tcW w:w="1978" w:type="pct"/>
          </w:tcPr>
          <w:p w14:paraId="76573127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 xml:space="preserve">&lt;30 </w:t>
            </w:r>
          </w:p>
        </w:tc>
        <w:tc>
          <w:tcPr>
            <w:tcW w:w="1746" w:type="pct"/>
          </w:tcPr>
          <w:p w14:paraId="0A059364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 (ref)</w:t>
            </w:r>
          </w:p>
        </w:tc>
        <w:tc>
          <w:tcPr>
            <w:tcW w:w="1276" w:type="pct"/>
          </w:tcPr>
          <w:p w14:paraId="12F41E4D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C2F" w:rsidRPr="00DA6824" w14:paraId="400A7C5C" w14:textId="77777777" w:rsidTr="00F860A0">
        <w:tc>
          <w:tcPr>
            <w:tcW w:w="1978" w:type="pct"/>
            <w:tcBorders>
              <w:bottom w:val="single" w:sz="4" w:space="0" w:color="auto"/>
            </w:tcBorders>
          </w:tcPr>
          <w:p w14:paraId="0983E7B0" w14:textId="77777777" w:rsidR="00B83C2F" w:rsidRPr="00DA6824" w:rsidRDefault="00B83C2F" w:rsidP="00B83C2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≥30</w:t>
            </w: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14:paraId="245BF1E7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1.29 (0.84–1.98)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765BEFC6" w14:textId="77777777" w:rsidR="00B83C2F" w:rsidRPr="00DA6824" w:rsidRDefault="00B83C2F" w:rsidP="00B83C2F">
            <w:pPr>
              <w:rPr>
                <w:rFonts w:ascii="Arial" w:hAnsi="Arial" w:cs="Arial"/>
                <w:sz w:val="20"/>
                <w:szCs w:val="20"/>
              </w:rPr>
            </w:pPr>
            <w:r w:rsidRPr="00DA6824">
              <w:rPr>
                <w:rFonts w:ascii="Arial" w:hAnsi="Arial" w:cs="Arial"/>
                <w:sz w:val="20"/>
                <w:szCs w:val="20"/>
              </w:rPr>
              <w:t>0.2</w:t>
            </w:r>
            <w:r w:rsidRPr="00DA6824">
              <w:rPr>
                <w:rFonts w:ascii="Arial" w:hAnsi="Arial" w:cs="Arial" w:hint="eastAsia"/>
                <w:sz w:val="20"/>
                <w:szCs w:val="20"/>
              </w:rPr>
              <w:t>37</w:t>
            </w:r>
          </w:p>
        </w:tc>
      </w:tr>
    </w:tbl>
    <w:p w14:paraId="6D51B1F5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t xml:space="preserve">Notes: </w:t>
      </w:r>
      <w:r w:rsidRPr="00DA6824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DA6824">
        <w:rPr>
          <w:rFonts w:ascii="Arial" w:hAnsi="Arial" w:cs="Arial"/>
          <w:sz w:val="20"/>
          <w:szCs w:val="20"/>
        </w:rPr>
        <w:t xml:space="preserve">Significant (p &lt; 0.05) </w:t>
      </w:r>
    </w:p>
    <w:p w14:paraId="7224EA5A" w14:textId="77777777" w:rsidR="00B83C2F" w:rsidRPr="00DA6824" w:rsidRDefault="00B83C2F" w:rsidP="00B83C2F">
      <w:pPr>
        <w:rPr>
          <w:rFonts w:ascii="Arial" w:hAnsi="Arial" w:cs="Arial"/>
          <w:sz w:val="20"/>
          <w:szCs w:val="20"/>
        </w:rPr>
      </w:pPr>
      <w:r w:rsidRPr="00DA6824">
        <w:rPr>
          <w:rFonts w:ascii="Arial" w:hAnsi="Arial" w:cs="Arial"/>
          <w:sz w:val="20"/>
          <w:szCs w:val="20"/>
        </w:rPr>
        <w:t>Abbreviations: CI, confidence interval; ref, reference</w:t>
      </w:r>
    </w:p>
    <w:p w14:paraId="5C7533D3" w14:textId="53ABAE7C" w:rsidR="002F7A49" w:rsidRPr="00DA6824" w:rsidRDefault="002F7A49">
      <w:pPr>
        <w:rPr>
          <w:rFonts w:ascii="Arial" w:hAnsi="Arial" w:cs="Arial"/>
        </w:rPr>
      </w:pPr>
      <w:r w:rsidRPr="00DA6824">
        <w:rPr>
          <w:rFonts w:ascii="Arial" w:hAnsi="Arial" w:cs="Arial"/>
        </w:rPr>
        <w:br w:type="page"/>
      </w:r>
    </w:p>
    <w:p w14:paraId="6D66F6C1" w14:textId="77777777" w:rsidR="002F7A49" w:rsidRPr="00DA6824" w:rsidRDefault="002F7A49">
      <w:pPr>
        <w:rPr>
          <w:rFonts w:ascii="Arial" w:hAnsi="Arial" w:cs="Arial"/>
        </w:rPr>
      </w:pPr>
    </w:p>
    <w:p w14:paraId="62D92E04" w14:textId="77777777" w:rsidR="002F7A49" w:rsidRPr="00DA6824" w:rsidRDefault="002F7A49" w:rsidP="002F7A49">
      <w:pPr>
        <w:rPr>
          <w:rFonts w:ascii="Arial" w:hAnsi="Arial" w:cs="Arial"/>
          <w:b/>
          <w:bCs/>
          <w:sz w:val="20"/>
          <w:szCs w:val="20"/>
        </w:rPr>
      </w:pPr>
      <w:r w:rsidRPr="00DA6824">
        <w:rPr>
          <w:rFonts w:ascii="Arial" w:hAnsi="Arial" w:cs="Arial"/>
          <w:b/>
          <w:bCs/>
          <w:noProof/>
          <w:sz w:val="20"/>
          <w:szCs w:val="20"/>
          <w:lang w:eastAsia="en-IN"/>
        </w:rPr>
        <w:drawing>
          <wp:inline distT="0" distB="0" distL="0" distR="0" wp14:anchorId="34BE65F4" wp14:editId="075A03F5">
            <wp:extent cx="5716988" cy="3842062"/>
            <wp:effectExtent l="0" t="0" r="0" b="0"/>
            <wp:docPr id="14385297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2976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045" cy="3844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3162" w14:textId="77D18A70" w:rsidR="002F7A49" w:rsidRPr="00D20552" w:rsidRDefault="00607802" w:rsidP="00607802">
      <w:pPr>
        <w:rPr>
          <w:rFonts w:ascii="Arial" w:hAnsi="Arial" w:cs="Arial"/>
          <w:b/>
          <w:bCs/>
          <w:sz w:val="20"/>
          <w:szCs w:val="20"/>
        </w:rPr>
      </w:pPr>
      <w:r w:rsidRPr="00DA6824">
        <w:rPr>
          <w:rFonts w:ascii="Arial" w:hAnsi="Arial" w:cs="Arial"/>
          <w:b/>
          <w:bCs/>
          <w:sz w:val="20"/>
          <w:szCs w:val="20"/>
        </w:rPr>
        <w:t xml:space="preserve">Figure S1 </w:t>
      </w:r>
      <w:r w:rsidR="002F7A49" w:rsidRPr="00DA6824">
        <w:rPr>
          <w:rFonts w:ascii="Arial" w:hAnsi="Arial" w:cs="Arial"/>
          <w:sz w:val="20"/>
          <w:szCs w:val="20"/>
        </w:rPr>
        <w:t>Non-adherence rate according to medications potentially affecting surgery (n = 1,132). Data are presented as the non-adherence rate (%) and the corresponding 95% CI. As the number of medications increased, the non-adherence rate also increased linearly. The Cochran–Armitage trend has a p-value of 0.003. Abbreviations: CI, confidence interval</w:t>
      </w:r>
    </w:p>
    <w:p w14:paraId="7C51A2A2" w14:textId="77777777" w:rsidR="00652E12" w:rsidRPr="00607802" w:rsidRDefault="00652E12">
      <w:pPr>
        <w:rPr>
          <w:rFonts w:ascii="Arial" w:hAnsi="Arial" w:cs="Arial"/>
        </w:rPr>
      </w:pPr>
    </w:p>
    <w:sectPr w:rsidR="00652E12" w:rsidRPr="00607802" w:rsidSect="00914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0112" w14:textId="77777777" w:rsidR="009142C2" w:rsidRDefault="009142C2" w:rsidP="00607802">
      <w:r>
        <w:separator/>
      </w:r>
    </w:p>
  </w:endnote>
  <w:endnote w:type="continuationSeparator" w:id="0">
    <w:p w14:paraId="27E3C7D2" w14:textId="77777777" w:rsidR="009142C2" w:rsidRDefault="009142C2" w:rsidP="0060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Gentium Plus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EEBF" w14:textId="1A482BDA" w:rsidR="00607802" w:rsidRDefault="00DA68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C703F7" wp14:editId="2507AE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242654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CE0FE" w14:textId="1820471E" w:rsidR="00DA6824" w:rsidRPr="00DA6824" w:rsidRDefault="00DA6824" w:rsidP="00DA68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703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B0CE0FE" w14:textId="1820471E" w:rsidR="00DA6824" w:rsidRPr="00DA6824" w:rsidRDefault="00DA6824" w:rsidP="00DA68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DA3B" w14:textId="54BF40F4" w:rsidR="00607802" w:rsidRPr="00607802" w:rsidRDefault="00DA68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2BA130" wp14:editId="1FC98A44">
              <wp:simplePos x="1079500" y="98679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1591842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1CEDD" w14:textId="7C89A85B" w:rsidR="00DA6824" w:rsidRPr="00DA6824" w:rsidRDefault="00DA6824" w:rsidP="00DA68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BA1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AA1CEDD" w14:textId="7C89A85B" w:rsidR="00DA6824" w:rsidRPr="00DA6824" w:rsidRDefault="00DA6824" w:rsidP="00DA68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7A75" w14:textId="4A4596A4" w:rsidR="00607802" w:rsidRPr="00607802" w:rsidRDefault="00DA68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B0FED2" wp14:editId="6A6EC1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312449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39136" w14:textId="4916729F" w:rsidR="00DA6824" w:rsidRPr="00DA6824" w:rsidRDefault="00DA6824" w:rsidP="00DA682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682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0FE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6F39136" w14:textId="4916729F" w:rsidR="00DA6824" w:rsidRPr="00DA6824" w:rsidRDefault="00DA6824" w:rsidP="00DA682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682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4BDA" w14:textId="77777777" w:rsidR="009142C2" w:rsidRDefault="009142C2" w:rsidP="00607802">
      <w:r>
        <w:separator/>
      </w:r>
    </w:p>
  </w:footnote>
  <w:footnote w:type="continuationSeparator" w:id="0">
    <w:p w14:paraId="68B66D6C" w14:textId="77777777" w:rsidR="009142C2" w:rsidRDefault="009142C2" w:rsidP="0060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A77B" w14:textId="77777777" w:rsidR="00607802" w:rsidRDefault="00607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2120" w14:textId="77777777" w:rsidR="00607802" w:rsidRPr="00607802" w:rsidRDefault="00607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0656" w14:textId="77777777" w:rsidR="00607802" w:rsidRPr="00607802" w:rsidRDefault="00607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12"/>
    <w:rsid w:val="0000283E"/>
    <w:rsid w:val="000033DA"/>
    <w:rsid w:val="00007123"/>
    <w:rsid w:val="00007B59"/>
    <w:rsid w:val="00011195"/>
    <w:rsid w:val="00012A90"/>
    <w:rsid w:val="00013741"/>
    <w:rsid w:val="0002479B"/>
    <w:rsid w:val="00043263"/>
    <w:rsid w:val="00043A6E"/>
    <w:rsid w:val="000440FD"/>
    <w:rsid w:val="00044DB8"/>
    <w:rsid w:val="00050561"/>
    <w:rsid w:val="000552B3"/>
    <w:rsid w:val="00063016"/>
    <w:rsid w:val="000645CB"/>
    <w:rsid w:val="00064DCD"/>
    <w:rsid w:val="00071477"/>
    <w:rsid w:val="00073813"/>
    <w:rsid w:val="0008003F"/>
    <w:rsid w:val="00082E04"/>
    <w:rsid w:val="00086644"/>
    <w:rsid w:val="0009799E"/>
    <w:rsid w:val="000A1ADD"/>
    <w:rsid w:val="000A5B66"/>
    <w:rsid w:val="000B26C2"/>
    <w:rsid w:val="000B6B63"/>
    <w:rsid w:val="000C6EC7"/>
    <w:rsid w:val="000C7432"/>
    <w:rsid w:val="000C7D52"/>
    <w:rsid w:val="000D2C8F"/>
    <w:rsid w:val="000E0860"/>
    <w:rsid w:val="000E19FD"/>
    <w:rsid w:val="000E2E2B"/>
    <w:rsid w:val="000E41BC"/>
    <w:rsid w:val="000E6F7E"/>
    <w:rsid w:val="00111B82"/>
    <w:rsid w:val="00112077"/>
    <w:rsid w:val="001159A4"/>
    <w:rsid w:val="00125974"/>
    <w:rsid w:val="00130951"/>
    <w:rsid w:val="00132C44"/>
    <w:rsid w:val="001370E1"/>
    <w:rsid w:val="00137F55"/>
    <w:rsid w:val="00141CC5"/>
    <w:rsid w:val="00145BD5"/>
    <w:rsid w:val="00145F5D"/>
    <w:rsid w:val="00146899"/>
    <w:rsid w:val="00146A26"/>
    <w:rsid w:val="00152B3D"/>
    <w:rsid w:val="00165876"/>
    <w:rsid w:val="001826D9"/>
    <w:rsid w:val="001877C9"/>
    <w:rsid w:val="00192372"/>
    <w:rsid w:val="001A5DCD"/>
    <w:rsid w:val="001B52B0"/>
    <w:rsid w:val="001B6B0D"/>
    <w:rsid w:val="001B7CE2"/>
    <w:rsid w:val="001C09A5"/>
    <w:rsid w:val="001C12C8"/>
    <w:rsid w:val="001C2D84"/>
    <w:rsid w:val="001C3264"/>
    <w:rsid w:val="001C401A"/>
    <w:rsid w:val="001C59D8"/>
    <w:rsid w:val="001C68E0"/>
    <w:rsid w:val="001C7BC0"/>
    <w:rsid w:val="001D1EA2"/>
    <w:rsid w:val="001D2450"/>
    <w:rsid w:val="001D3A73"/>
    <w:rsid w:val="001D66B8"/>
    <w:rsid w:val="001D67A0"/>
    <w:rsid w:val="001E6688"/>
    <w:rsid w:val="001E74F3"/>
    <w:rsid w:val="001F2CD8"/>
    <w:rsid w:val="001F30B2"/>
    <w:rsid w:val="001F3C00"/>
    <w:rsid w:val="00210776"/>
    <w:rsid w:val="00212A91"/>
    <w:rsid w:val="00214679"/>
    <w:rsid w:val="00216125"/>
    <w:rsid w:val="00220C8A"/>
    <w:rsid w:val="00221D6C"/>
    <w:rsid w:val="002245F0"/>
    <w:rsid w:val="0022600F"/>
    <w:rsid w:val="0023173D"/>
    <w:rsid w:val="002336E4"/>
    <w:rsid w:val="002353A1"/>
    <w:rsid w:val="002358C5"/>
    <w:rsid w:val="00236764"/>
    <w:rsid w:val="002402AD"/>
    <w:rsid w:val="002563F9"/>
    <w:rsid w:val="00263491"/>
    <w:rsid w:val="0027033D"/>
    <w:rsid w:val="00276A55"/>
    <w:rsid w:val="002802B0"/>
    <w:rsid w:val="002813FD"/>
    <w:rsid w:val="00285D8E"/>
    <w:rsid w:val="002969EB"/>
    <w:rsid w:val="00296D44"/>
    <w:rsid w:val="00296FD2"/>
    <w:rsid w:val="002A194E"/>
    <w:rsid w:val="002A7607"/>
    <w:rsid w:val="002B047A"/>
    <w:rsid w:val="002B0872"/>
    <w:rsid w:val="002B1273"/>
    <w:rsid w:val="002C591D"/>
    <w:rsid w:val="002D4ECF"/>
    <w:rsid w:val="002D68D4"/>
    <w:rsid w:val="002E0FCD"/>
    <w:rsid w:val="002E6F05"/>
    <w:rsid w:val="002F7A49"/>
    <w:rsid w:val="00305AF5"/>
    <w:rsid w:val="003065E8"/>
    <w:rsid w:val="00310467"/>
    <w:rsid w:val="003131DA"/>
    <w:rsid w:val="003175C0"/>
    <w:rsid w:val="0032062E"/>
    <w:rsid w:val="00320F71"/>
    <w:rsid w:val="00324CF3"/>
    <w:rsid w:val="00327A56"/>
    <w:rsid w:val="00327BCC"/>
    <w:rsid w:val="00332581"/>
    <w:rsid w:val="003333D6"/>
    <w:rsid w:val="003743F8"/>
    <w:rsid w:val="003769D0"/>
    <w:rsid w:val="00377D16"/>
    <w:rsid w:val="003804D2"/>
    <w:rsid w:val="00392BC0"/>
    <w:rsid w:val="00393CC8"/>
    <w:rsid w:val="003A11C0"/>
    <w:rsid w:val="003A5B94"/>
    <w:rsid w:val="003A7CFA"/>
    <w:rsid w:val="003B5306"/>
    <w:rsid w:val="003B7323"/>
    <w:rsid w:val="003C10B4"/>
    <w:rsid w:val="003C51E4"/>
    <w:rsid w:val="003D1E31"/>
    <w:rsid w:val="003E052B"/>
    <w:rsid w:val="003F397C"/>
    <w:rsid w:val="00400D27"/>
    <w:rsid w:val="004027D0"/>
    <w:rsid w:val="004068AC"/>
    <w:rsid w:val="004103E4"/>
    <w:rsid w:val="004305C0"/>
    <w:rsid w:val="004308E5"/>
    <w:rsid w:val="004309F1"/>
    <w:rsid w:val="004321CE"/>
    <w:rsid w:val="00442192"/>
    <w:rsid w:val="00443F2E"/>
    <w:rsid w:val="004440D0"/>
    <w:rsid w:val="004516BF"/>
    <w:rsid w:val="00455EF6"/>
    <w:rsid w:val="00470DB0"/>
    <w:rsid w:val="00471691"/>
    <w:rsid w:val="00473931"/>
    <w:rsid w:val="00475580"/>
    <w:rsid w:val="0048360A"/>
    <w:rsid w:val="004847F6"/>
    <w:rsid w:val="00484B89"/>
    <w:rsid w:val="00486733"/>
    <w:rsid w:val="00492433"/>
    <w:rsid w:val="004936F5"/>
    <w:rsid w:val="00493B2F"/>
    <w:rsid w:val="004A3F42"/>
    <w:rsid w:val="004B097B"/>
    <w:rsid w:val="004C2028"/>
    <w:rsid w:val="004C65BA"/>
    <w:rsid w:val="004C78AD"/>
    <w:rsid w:val="004D240C"/>
    <w:rsid w:val="004D4847"/>
    <w:rsid w:val="004E07DE"/>
    <w:rsid w:val="004E7F5A"/>
    <w:rsid w:val="004F32A1"/>
    <w:rsid w:val="004F5C36"/>
    <w:rsid w:val="00502B78"/>
    <w:rsid w:val="00504FC7"/>
    <w:rsid w:val="00511E65"/>
    <w:rsid w:val="00521400"/>
    <w:rsid w:val="005226DC"/>
    <w:rsid w:val="00534A3C"/>
    <w:rsid w:val="00540AD0"/>
    <w:rsid w:val="00542F06"/>
    <w:rsid w:val="00545A01"/>
    <w:rsid w:val="00550BC0"/>
    <w:rsid w:val="005518D9"/>
    <w:rsid w:val="00556072"/>
    <w:rsid w:val="0056198E"/>
    <w:rsid w:val="005665FE"/>
    <w:rsid w:val="00570510"/>
    <w:rsid w:val="005756E3"/>
    <w:rsid w:val="005831B1"/>
    <w:rsid w:val="00584D35"/>
    <w:rsid w:val="005942AD"/>
    <w:rsid w:val="0059634C"/>
    <w:rsid w:val="005A38E9"/>
    <w:rsid w:val="005B0F71"/>
    <w:rsid w:val="005D0BDE"/>
    <w:rsid w:val="005D0CA0"/>
    <w:rsid w:val="005D33C8"/>
    <w:rsid w:val="005D43B8"/>
    <w:rsid w:val="005D5ED7"/>
    <w:rsid w:val="005D6E6E"/>
    <w:rsid w:val="005F02CE"/>
    <w:rsid w:val="005F2D23"/>
    <w:rsid w:val="005F3CA9"/>
    <w:rsid w:val="005F5979"/>
    <w:rsid w:val="005F5FDC"/>
    <w:rsid w:val="00605F4F"/>
    <w:rsid w:val="00607802"/>
    <w:rsid w:val="00611B02"/>
    <w:rsid w:val="00615155"/>
    <w:rsid w:val="00625165"/>
    <w:rsid w:val="00626695"/>
    <w:rsid w:val="00627CF3"/>
    <w:rsid w:val="006320D6"/>
    <w:rsid w:val="00632E06"/>
    <w:rsid w:val="0063691A"/>
    <w:rsid w:val="00644B4C"/>
    <w:rsid w:val="00647EB2"/>
    <w:rsid w:val="00651C77"/>
    <w:rsid w:val="00652E12"/>
    <w:rsid w:val="00666ED6"/>
    <w:rsid w:val="00671CEF"/>
    <w:rsid w:val="006858E8"/>
    <w:rsid w:val="00686C85"/>
    <w:rsid w:val="00692D25"/>
    <w:rsid w:val="006A0DB0"/>
    <w:rsid w:val="006B08F4"/>
    <w:rsid w:val="006B48B4"/>
    <w:rsid w:val="006B7515"/>
    <w:rsid w:val="006C3B35"/>
    <w:rsid w:val="006D1C24"/>
    <w:rsid w:val="006D2068"/>
    <w:rsid w:val="006D4A89"/>
    <w:rsid w:val="006E1141"/>
    <w:rsid w:val="006E16F3"/>
    <w:rsid w:val="006E50F9"/>
    <w:rsid w:val="006E70ED"/>
    <w:rsid w:val="006F1A05"/>
    <w:rsid w:val="006F69E5"/>
    <w:rsid w:val="006F6C1A"/>
    <w:rsid w:val="007036D0"/>
    <w:rsid w:val="007037F2"/>
    <w:rsid w:val="00706303"/>
    <w:rsid w:val="007111D5"/>
    <w:rsid w:val="00713872"/>
    <w:rsid w:val="0072278D"/>
    <w:rsid w:val="00725428"/>
    <w:rsid w:val="00726971"/>
    <w:rsid w:val="007341A4"/>
    <w:rsid w:val="0073589E"/>
    <w:rsid w:val="0074369A"/>
    <w:rsid w:val="007479E2"/>
    <w:rsid w:val="007504CC"/>
    <w:rsid w:val="00753D5D"/>
    <w:rsid w:val="00753FAD"/>
    <w:rsid w:val="00756935"/>
    <w:rsid w:val="00760F85"/>
    <w:rsid w:val="00763901"/>
    <w:rsid w:val="00765B6B"/>
    <w:rsid w:val="00771921"/>
    <w:rsid w:val="007827A4"/>
    <w:rsid w:val="007847B3"/>
    <w:rsid w:val="0079031C"/>
    <w:rsid w:val="00791F0A"/>
    <w:rsid w:val="00794A24"/>
    <w:rsid w:val="007A09A7"/>
    <w:rsid w:val="007C0244"/>
    <w:rsid w:val="007C153D"/>
    <w:rsid w:val="007C309D"/>
    <w:rsid w:val="007D35D8"/>
    <w:rsid w:val="007D4165"/>
    <w:rsid w:val="007D510D"/>
    <w:rsid w:val="007E2610"/>
    <w:rsid w:val="007E5AC6"/>
    <w:rsid w:val="007E6DB6"/>
    <w:rsid w:val="00800709"/>
    <w:rsid w:val="00801FC9"/>
    <w:rsid w:val="008047C2"/>
    <w:rsid w:val="0081100B"/>
    <w:rsid w:val="00811E35"/>
    <w:rsid w:val="008131B5"/>
    <w:rsid w:val="008273FA"/>
    <w:rsid w:val="00830847"/>
    <w:rsid w:val="00833481"/>
    <w:rsid w:val="00836292"/>
    <w:rsid w:val="00836D6E"/>
    <w:rsid w:val="0084282D"/>
    <w:rsid w:val="008433EE"/>
    <w:rsid w:val="00850634"/>
    <w:rsid w:val="00852A73"/>
    <w:rsid w:val="00856430"/>
    <w:rsid w:val="00860AA0"/>
    <w:rsid w:val="0086381C"/>
    <w:rsid w:val="00863897"/>
    <w:rsid w:val="008649A6"/>
    <w:rsid w:val="00865D20"/>
    <w:rsid w:val="00867E19"/>
    <w:rsid w:val="00870C2C"/>
    <w:rsid w:val="0088075D"/>
    <w:rsid w:val="008851A4"/>
    <w:rsid w:val="008A2F2E"/>
    <w:rsid w:val="008A338F"/>
    <w:rsid w:val="008A5F7A"/>
    <w:rsid w:val="008A6D82"/>
    <w:rsid w:val="008B3BAD"/>
    <w:rsid w:val="008B3EE9"/>
    <w:rsid w:val="008B4265"/>
    <w:rsid w:val="008C36CB"/>
    <w:rsid w:val="008D0CEC"/>
    <w:rsid w:val="008D0E81"/>
    <w:rsid w:val="008D36B9"/>
    <w:rsid w:val="008D640E"/>
    <w:rsid w:val="008E23B6"/>
    <w:rsid w:val="008E2F60"/>
    <w:rsid w:val="008E6658"/>
    <w:rsid w:val="008F348F"/>
    <w:rsid w:val="008F584B"/>
    <w:rsid w:val="00911C52"/>
    <w:rsid w:val="009133BF"/>
    <w:rsid w:val="009142C2"/>
    <w:rsid w:val="00914F9D"/>
    <w:rsid w:val="00917A70"/>
    <w:rsid w:val="00923758"/>
    <w:rsid w:val="009341B2"/>
    <w:rsid w:val="009374DE"/>
    <w:rsid w:val="00940D51"/>
    <w:rsid w:val="0094225C"/>
    <w:rsid w:val="009506D0"/>
    <w:rsid w:val="00955A0D"/>
    <w:rsid w:val="009662C5"/>
    <w:rsid w:val="00966D00"/>
    <w:rsid w:val="00974229"/>
    <w:rsid w:val="0097539A"/>
    <w:rsid w:val="00975D70"/>
    <w:rsid w:val="00976602"/>
    <w:rsid w:val="00990AC6"/>
    <w:rsid w:val="00993869"/>
    <w:rsid w:val="009A460C"/>
    <w:rsid w:val="009A5903"/>
    <w:rsid w:val="009A5F2A"/>
    <w:rsid w:val="009B3934"/>
    <w:rsid w:val="009B4D4B"/>
    <w:rsid w:val="009B6DFE"/>
    <w:rsid w:val="009C1967"/>
    <w:rsid w:val="009D2E1D"/>
    <w:rsid w:val="009D58C5"/>
    <w:rsid w:val="009E517C"/>
    <w:rsid w:val="009F20F2"/>
    <w:rsid w:val="009F7FCE"/>
    <w:rsid w:val="00A03733"/>
    <w:rsid w:val="00A03762"/>
    <w:rsid w:val="00A039FD"/>
    <w:rsid w:val="00A1654B"/>
    <w:rsid w:val="00A342A7"/>
    <w:rsid w:val="00A363A6"/>
    <w:rsid w:val="00A44242"/>
    <w:rsid w:val="00A450A5"/>
    <w:rsid w:val="00A46AD2"/>
    <w:rsid w:val="00A54F81"/>
    <w:rsid w:val="00A63025"/>
    <w:rsid w:val="00A63B96"/>
    <w:rsid w:val="00A64D77"/>
    <w:rsid w:val="00A673B5"/>
    <w:rsid w:val="00A778F7"/>
    <w:rsid w:val="00A807D2"/>
    <w:rsid w:val="00A87465"/>
    <w:rsid w:val="00A93AF5"/>
    <w:rsid w:val="00A95F56"/>
    <w:rsid w:val="00A97B72"/>
    <w:rsid w:val="00AA790F"/>
    <w:rsid w:val="00AB1E53"/>
    <w:rsid w:val="00AB1F91"/>
    <w:rsid w:val="00AB3913"/>
    <w:rsid w:val="00AC3D56"/>
    <w:rsid w:val="00AC7613"/>
    <w:rsid w:val="00AD414A"/>
    <w:rsid w:val="00AE66FD"/>
    <w:rsid w:val="00AF2B8A"/>
    <w:rsid w:val="00B00D92"/>
    <w:rsid w:val="00B05ADD"/>
    <w:rsid w:val="00B07B69"/>
    <w:rsid w:val="00B14A10"/>
    <w:rsid w:val="00B453E2"/>
    <w:rsid w:val="00B457E2"/>
    <w:rsid w:val="00B47C19"/>
    <w:rsid w:val="00B61286"/>
    <w:rsid w:val="00B72ABF"/>
    <w:rsid w:val="00B82524"/>
    <w:rsid w:val="00B8272E"/>
    <w:rsid w:val="00B83C2F"/>
    <w:rsid w:val="00BA0E63"/>
    <w:rsid w:val="00BA53F3"/>
    <w:rsid w:val="00BB55A9"/>
    <w:rsid w:val="00BB7673"/>
    <w:rsid w:val="00BC060E"/>
    <w:rsid w:val="00BC3FE1"/>
    <w:rsid w:val="00BD01DA"/>
    <w:rsid w:val="00BE1101"/>
    <w:rsid w:val="00BE6873"/>
    <w:rsid w:val="00BE723E"/>
    <w:rsid w:val="00BF7D27"/>
    <w:rsid w:val="00BF7D5E"/>
    <w:rsid w:val="00C050CA"/>
    <w:rsid w:val="00C05993"/>
    <w:rsid w:val="00C10453"/>
    <w:rsid w:val="00C15FFB"/>
    <w:rsid w:val="00C2327C"/>
    <w:rsid w:val="00C252A5"/>
    <w:rsid w:val="00C350E0"/>
    <w:rsid w:val="00C41ED2"/>
    <w:rsid w:val="00C50E06"/>
    <w:rsid w:val="00C543B4"/>
    <w:rsid w:val="00C64E46"/>
    <w:rsid w:val="00C66D03"/>
    <w:rsid w:val="00C8150F"/>
    <w:rsid w:val="00C93989"/>
    <w:rsid w:val="00C96146"/>
    <w:rsid w:val="00C96660"/>
    <w:rsid w:val="00CA0A18"/>
    <w:rsid w:val="00CA5286"/>
    <w:rsid w:val="00CC2D40"/>
    <w:rsid w:val="00CC5143"/>
    <w:rsid w:val="00CC5C36"/>
    <w:rsid w:val="00CD4174"/>
    <w:rsid w:val="00CE671E"/>
    <w:rsid w:val="00CF4D84"/>
    <w:rsid w:val="00D02C14"/>
    <w:rsid w:val="00D110FF"/>
    <w:rsid w:val="00D20552"/>
    <w:rsid w:val="00D247FD"/>
    <w:rsid w:val="00D25F51"/>
    <w:rsid w:val="00D32A77"/>
    <w:rsid w:val="00D32C3B"/>
    <w:rsid w:val="00D363C3"/>
    <w:rsid w:val="00D410AC"/>
    <w:rsid w:val="00D4630C"/>
    <w:rsid w:val="00D511BC"/>
    <w:rsid w:val="00D513F6"/>
    <w:rsid w:val="00D52C02"/>
    <w:rsid w:val="00D545A3"/>
    <w:rsid w:val="00D550D1"/>
    <w:rsid w:val="00D57DAF"/>
    <w:rsid w:val="00D61305"/>
    <w:rsid w:val="00D72474"/>
    <w:rsid w:val="00D746C9"/>
    <w:rsid w:val="00D74F70"/>
    <w:rsid w:val="00D8267F"/>
    <w:rsid w:val="00D8492C"/>
    <w:rsid w:val="00D84F59"/>
    <w:rsid w:val="00DA513A"/>
    <w:rsid w:val="00DA5756"/>
    <w:rsid w:val="00DA6824"/>
    <w:rsid w:val="00DA725E"/>
    <w:rsid w:val="00DB1113"/>
    <w:rsid w:val="00DB52F0"/>
    <w:rsid w:val="00DC0508"/>
    <w:rsid w:val="00DC24DF"/>
    <w:rsid w:val="00DC4A41"/>
    <w:rsid w:val="00DD77BC"/>
    <w:rsid w:val="00DE20AE"/>
    <w:rsid w:val="00DE7F8E"/>
    <w:rsid w:val="00DF01D4"/>
    <w:rsid w:val="00E11BD7"/>
    <w:rsid w:val="00E17864"/>
    <w:rsid w:val="00E22B7E"/>
    <w:rsid w:val="00E22DE1"/>
    <w:rsid w:val="00E2425E"/>
    <w:rsid w:val="00E31001"/>
    <w:rsid w:val="00E37EC1"/>
    <w:rsid w:val="00E401D3"/>
    <w:rsid w:val="00E408DB"/>
    <w:rsid w:val="00E541E8"/>
    <w:rsid w:val="00E6486E"/>
    <w:rsid w:val="00E70DF9"/>
    <w:rsid w:val="00E72EED"/>
    <w:rsid w:val="00E76D4F"/>
    <w:rsid w:val="00E77F10"/>
    <w:rsid w:val="00E8004C"/>
    <w:rsid w:val="00E8219F"/>
    <w:rsid w:val="00E86DF9"/>
    <w:rsid w:val="00E86FF9"/>
    <w:rsid w:val="00E92897"/>
    <w:rsid w:val="00E941AA"/>
    <w:rsid w:val="00E9511A"/>
    <w:rsid w:val="00E95C68"/>
    <w:rsid w:val="00E96085"/>
    <w:rsid w:val="00EA2BA5"/>
    <w:rsid w:val="00EC6297"/>
    <w:rsid w:val="00EC6489"/>
    <w:rsid w:val="00EC6C2F"/>
    <w:rsid w:val="00ED3584"/>
    <w:rsid w:val="00EE294C"/>
    <w:rsid w:val="00EE31E2"/>
    <w:rsid w:val="00EE52CA"/>
    <w:rsid w:val="00EF0F8D"/>
    <w:rsid w:val="00EF5AAE"/>
    <w:rsid w:val="00EF615B"/>
    <w:rsid w:val="00F0197F"/>
    <w:rsid w:val="00F02DBE"/>
    <w:rsid w:val="00F23249"/>
    <w:rsid w:val="00F23779"/>
    <w:rsid w:val="00F37A2F"/>
    <w:rsid w:val="00F40EF0"/>
    <w:rsid w:val="00F41438"/>
    <w:rsid w:val="00F438D6"/>
    <w:rsid w:val="00F500C5"/>
    <w:rsid w:val="00F50769"/>
    <w:rsid w:val="00F517D7"/>
    <w:rsid w:val="00F525A7"/>
    <w:rsid w:val="00F52B9A"/>
    <w:rsid w:val="00F53862"/>
    <w:rsid w:val="00F623F3"/>
    <w:rsid w:val="00F639AA"/>
    <w:rsid w:val="00F64E6F"/>
    <w:rsid w:val="00F8045D"/>
    <w:rsid w:val="00F8390F"/>
    <w:rsid w:val="00F841CD"/>
    <w:rsid w:val="00F860A0"/>
    <w:rsid w:val="00F87D10"/>
    <w:rsid w:val="00F90CAE"/>
    <w:rsid w:val="00F94D14"/>
    <w:rsid w:val="00F94E86"/>
    <w:rsid w:val="00FA00E9"/>
    <w:rsid w:val="00FA2BFD"/>
    <w:rsid w:val="00FA2F3C"/>
    <w:rsid w:val="00FA374B"/>
    <w:rsid w:val="00FA4258"/>
    <w:rsid w:val="00FB555C"/>
    <w:rsid w:val="00FC34C5"/>
    <w:rsid w:val="00FC47E5"/>
    <w:rsid w:val="00FC613B"/>
    <w:rsid w:val="00FD6FEE"/>
    <w:rsid w:val="00FF4575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31068"/>
  <w15:chartTrackingRefBased/>
  <w15:docId w15:val="{93DC665D-63A9-604B-9921-ECFEB294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12"/>
    <w:rPr>
      <w:rFonts w:ascii="MS PGothic" w:eastAsia="MS PGothic" w:hAnsi="MS PGothic" w:cs="MS PGothic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305C0"/>
  </w:style>
  <w:style w:type="character" w:customStyle="1" w:styleId="normaltextrun">
    <w:name w:val="normaltextrun"/>
    <w:basedOn w:val="DefaultParagraphFont"/>
    <w:rsid w:val="00652E12"/>
  </w:style>
  <w:style w:type="paragraph" w:styleId="Revision">
    <w:name w:val="Revision"/>
    <w:hidden/>
    <w:uiPriority w:val="99"/>
    <w:semiHidden/>
    <w:rsid w:val="00A342A7"/>
    <w:rPr>
      <w:rFonts w:ascii="MS PGothic" w:eastAsia="MS PGothic" w:hAnsi="MS PGothic" w:cs="MS PGothic"/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3D"/>
    <w:rPr>
      <w:rFonts w:ascii="MS PGothic" w:eastAsia="MS PGothic" w:hAnsi="MS PGothic" w:cs="MS PGothic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3D"/>
    <w:rPr>
      <w:rFonts w:ascii="MS PGothic" w:eastAsia="MS PGothic" w:hAnsi="MS PGothic" w:cs="MS PGothic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3D"/>
    <w:rPr>
      <w:rFonts w:ascii="Segoe UI" w:eastAsia="MS PGothic" w:hAnsi="Segoe UI" w:cs="Segoe U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802"/>
    <w:rPr>
      <w:rFonts w:ascii="MS PGothic" w:eastAsia="MS PGothic" w:hAnsi="MS PGothic" w:cs="MS PGothic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07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802"/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Akihiko Akamine</dc:creator>
  <cp:keywords/>
  <dc:description/>
  <cp:lastModifiedBy>Smith, Jessica</cp:lastModifiedBy>
  <cp:revision>12</cp:revision>
  <dcterms:created xsi:type="dcterms:W3CDTF">2023-12-20T02:29:00Z</dcterms:created>
  <dcterms:modified xsi:type="dcterms:W3CDTF">2024-01-18T20:51:00Z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79125693,66c63416,12d48856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2024-01-18T20:51:05Z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331834fa-2350-437c-ae24-96a6120d3781</vt:lpwstr>
  </property>
  <property fmtid="{D5CDD505-2E9C-101B-9397-08002B2CF9AE}" pid="11" name="MSIP_Label_2bbab825-a111-45e4-86a1-18cee0005896_ContentBits">
    <vt:lpwstr>2</vt:lpwstr>
  </property>
</Properties>
</file>