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3ACC" w14:textId="77777777" w:rsidR="006836DC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Supplementary Material</w:t>
      </w:r>
    </w:p>
    <w:p w14:paraId="43984055" w14:textId="77777777" w:rsidR="006836DC" w:rsidRDefault="006836DC">
      <w:pPr>
        <w:spacing w:line="360" w:lineRule="auto"/>
        <w:rPr>
          <w:rFonts w:ascii="Arial" w:hAnsi="Arial" w:cs="Arial"/>
          <w:sz w:val="24"/>
        </w:rPr>
      </w:pPr>
    </w:p>
    <w:p w14:paraId="42E8DC0A" w14:textId="77777777" w:rsidR="006836DC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noProof/>
          <w:sz w:val="24"/>
        </w:rPr>
        <w:drawing>
          <wp:inline distT="0" distB="0" distL="114300" distR="114300">
            <wp:extent cx="5216525" cy="6334125"/>
            <wp:effectExtent l="0" t="0" r="3175" b="9525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652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E3955" w14:textId="77777777" w:rsidR="006836DC" w:rsidRDefault="006836DC">
      <w:pPr>
        <w:spacing w:line="360" w:lineRule="auto"/>
        <w:rPr>
          <w:rFonts w:ascii="Arial" w:hAnsi="Arial" w:cs="Arial"/>
          <w:sz w:val="24"/>
        </w:rPr>
      </w:pPr>
    </w:p>
    <w:p w14:paraId="25FA5995" w14:textId="77777777" w:rsidR="006836DC" w:rsidRDefault="006836DC">
      <w:pPr>
        <w:spacing w:line="360" w:lineRule="auto"/>
        <w:rPr>
          <w:rFonts w:ascii="Arial" w:hAnsi="Arial" w:cs="Arial"/>
          <w:sz w:val="24"/>
        </w:rPr>
      </w:pPr>
    </w:p>
    <w:p w14:paraId="104B6B98" w14:textId="77777777" w:rsidR="006836DC" w:rsidRDefault="006836DC">
      <w:pPr>
        <w:spacing w:line="360" w:lineRule="auto"/>
        <w:rPr>
          <w:rFonts w:ascii="Arial" w:hAnsi="Arial" w:cs="Arial"/>
          <w:sz w:val="24"/>
        </w:rPr>
      </w:pPr>
      <w:bookmarkStart w:id="0" w:name="OLE_LINK1"/>
    </w:p>
    <w:p w14:paraId="386B5E1E" w14:textId="77777777" w:rsidR="006836DC" w:rsidRDefault="006836DC">
      <w:pPr>
        <w:spacing w:line="360" w:lineRule="auto"/>
        <w:rPr>
          <w:rFonts w:ascii="Arial" w:hAnsi="Arial" w:cs="Arial"/>
          <w:sz w:val="24"/>
        </w:rPr>
      </w:pPr>
    </w:p>
    <w:p w14:paraId="0A066BB6" w14:textId="77777777" w:rsidR="006836DC" w:rsidRDefault="006836DC">
      <w:pPr>
        <w:spacing w:line="360" w:lineRule="auto"/>
        <w:rPr>
          <w:rFonts w:ascii="Arial" w:hAnsi="Arial" w:cs="Arial"/>
          <w:sz w:val="24"/>
        </w:rPr>
      </w:pPr>
    </w:p>
    <w:p w14:paraId="335ECB2F" w14:textId="77777777" w:rsidR="006836DC" w:rsidRDefault="006836DC">
      <w:pPr>
        <w:spacing w:line="360" w:lineRule="auto"/>
        <w:rPr>
          <w:rFonts w:ascii="Arial" w:hAnsi="Arial" w:cs="Arial"/>
          <w:sz w:val="24"/>
        </w:rPr>
      </w:pPr>
    </w:p>
    <w:p w14:paraId="56A5880A" w14:textId="77777777" w:rsidR="006836DC" w:rsidRDefault="006836DC">
      <w:pPr>
        <w:spacing w:line="360" w:lineRule="auto"/>
        <w:rPr>
          <w:rFonts w:ascii="Arial" w:hAnsi="Arial" w:cs="Arial"/>
          <w:sz w:val="24"/>
        </w:rPr>
      </w:pPr>
    </w:p>
    <w:p w14:paraId="2760C9CA" w14:textId="77777777" w:rsidR="006836DC" w:rsidRDefault="006836DC">
      <w:pPr>
        <w:spacing w:line="360" w:lineRule="auto"/>
        <w:rPr>
          <w:rFonts w:ascii="Arial" w:hAnsi="Arial" w:cs="Arial"/>
          <w:sz w:val="24"/>
        </w:rPr>
      </w:pPr>
    </w:p>
    <w:p w14:paraId="472A2246" w14:textId="77777777" w:rsidR="006836DC" w:rsidRDefault="006836DC">
      <w:pPr>
        <w:spacing w:line="360" w:lineRule="auto"/>
        <w:rPr>
          <w:rFonts w:ascii="Arial" w:hAnsi="Arial" w:cs="Arial"/>
          <w:sz w:val="24"/>
        </w:rPr>
      </w:pPr>
    </w:p>
    <w:p w14:paraId="3671B3BE" w14:textId="77777777" w:rsidR="006836DC" w:rsidRDefault="00000000" w:rsidP="007C70A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Supplementary Figure</w:t>
      </w:r>
      <w:bookmarkEnd w:id="0"/>
      <w:r>
        <w:rPr>
          <w:rFonts w:ascii="Arial" w:hAnsi="Arial" w:cs="Arial"/>
          <w:sz w:val="24"/>
        </w:rPr>
        <w:t xml:space="preserve"> S1</w:t>
      </w:r>
      <w:r>
        <w:rPr>
          <w:rFonts w:ascii="Arial" w:hAnsi="Arial" w:cs="Arial" w:hint="eastAsia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Umap</w:t>
      </w:r>
      <w:proofErr w:type="spellEnd"/>
      <w:r>
        <w:rPr>
          <w:rFonts w:ascii="Arial" w:hAnsi="Arial" w:cs="Arial"/>
          <w:sz w:val="24"/>
        </w:rPr>
        <w:t xml:space="preserve"> and violin plots showing expression of canonical marker genes for 12 cell clusters from GSE131882. (A-D) Violin plots showing (A) markers for </w:t>
      </w:r>
      <w:bookmarkStart w:id="1" w:name="OLE_LINK3"/>
      <w:proofErr w:type="spellStart"/>
      <w:r>
        <w:rPr>
          <w:rFonts w:ascii="Arial" w:hAnsi="Arial" w:cs="Arial"/>
          <w:sz w:val="24"/>
        </w:rPr>
        <w:t>Fibroblasis</w:t>
      </w:r>
      <w:bookmarkEnd w:id="1"/>
      <w:proofErr w:type="spellEnd"/>
      <w:r>
        <w:rPr>
          <w:rFonts w:ascii="Arial" w:hAnsi="Arial" w:cs="Arial"/>
          <w:sz w:val="24"/>
        </w:rPr>
        <w:t xml:space="preserve"> (CCN2, CRISPLD2, TSHZ2, NID2, PDGFRB, CALD1 and CCN1); (B) podocytes (NPHS1, NPHS2), Intercalated cells (SLC12A3, TRPM6, KLHL3), Collecting duct cells (SLC12A3, TRPM6, KLHL3) and Epithelial cells (ADM, GDF15, SGK1); (C) </w:t>
      </w:r>
      <w:bookmarkStart w:id="2" w:name="OLE_LINK4"/>
      <w:r>
        <w:rPr>
          <w:rFonts w:ascii="Arial" w:hAnsi="Arial" w:cs="Arial"/>
          <w:sz w:val="24"/>
        </w:rPr>
        <w:t>markers for Proximal tubular cells (SLC5A12, PRODH2, SLC22A6) and Distal tubular cells (SLC12A1, UMOD, CLDN16, DMRT2, AQP6);</w:t>
      </w:r>
      <w:bookmarkEnd w:id="2"/>
      <w:r>
        <w:rPr>
          <w:rFonts w:ascii="Arial" w:hAnsi="Arial" w:cs="Arial"/>
          <w:sz w:val="24"/>
        </w:rPr>
        <w:t xml:space="preserve"> (D) markers for B cells (SLC26A4, PLCG2), neutrophil (CREB5, SOD2) and kidney endothelial cells(PDGFRB, MGP, IFI44, EMCN, PLAT); (E-</w:t>
      </w:r>
      <w:r>
        <w:rPr>
          <w:rFonts w:ascii="Arial" w:hAnsi="Arial" w:cs="Arial" w:hint="eastAsia"/>
          <w:sz w:val="24"/>
        </w:rPr>
        <w:t>H</w:t>
      </w:r>
      <w:r>
        <w:rPr>
          <w:rFonts w:ascii="Arial" w:hAnsi="Arial" w:cs="Arial"/>
          <w:sz w:val="24"/>
        </w:rPr>
        <w:t xml:space="preserve">) </w:t>
      </w:r>
      <w:bookmarkStart w:id="3" w:name="OLE_LINK2"/>
      <w:r>
        <w:rPr>
          <w:rFonts w:ascii="Arial" w:hAnsi="Arial" w:cs="Arial"/>
          <w:sz w:val="24"/>
        </w:rPr>
        <w:t>UMAP plots showing</w:t>
      </w:r>
      <w:bookmarkEnd w:id="3"/>
      <w:r>
        <w:rPr>
          <w:rFonts w:ascii="Arial" w:hAnsi="Arial" w:cs="Arial" w:hint="eastAsia"/>
          <w:sz w:val="24"/>
        </w:rPr>
        <w:t xml:space="preserve"> (E) </w:t>
      </w:r>
      <w:proofErr w:type="spellStart"/>
      <w:r>
        <w:rPr>
          <w:rFonts w:ascii="Arial" w:hAnsi="Arial" w:cs="Arial"/>
          <w:sz w:val="24"/>
        </w:rPr>
        <w:t>Fibroblasis</w:t>
      </w:r>
      <w:proofErr w:type="spellEnd"/>
      <w:r>
        <w:rPr>
          <w:rFonts w:ascii="Arial" w:hAnsi="Arial" w:cs="Arial"/>
          <w:sz w:val="24"/>
        </w:rPr>
        <w:t xml:space="preserve"> markers shown in (A); (</w:t>
      </w:r>
      <w:r>
        <w:rPr>
          <w:rFonts w:ascii="Arial" w:hAnsi="Arial" w:cs="Arial" w:hint="eastAsia"/>
          <w:sz w:val="24"/>
        </w:rPr>
        <w:t>F</w:t>
      </w:r>
      <w:r>
        <w:rPr>
          <w:rFonts w:ascii="Arial" w:hAnsi="Arial" w:cs="Arial"/>
          <w:sz w:val="24"/>
        </w:rPr>
        <w:t>-</w:t>
      </w:r>
      <w:r>
        <w:rPr>
          <w:rFonts w:ascii="Arial" w:hAnsi="Arial" w:cs="Arial" w:hint="eastAsia"/>
          <w:sz w:val="24"/>
        </w:rPr>
        <w:t>G</w:t>
      </w:r>
      <w:r>
        <w:rPr>
          <w:rFonts w:ascii="Arial" w:hAnsi="Arial" w:cs="Arial"/>
          <w:sz w:val="24"/>
        </w:rPr>
        <w:t>) Podocytes, Intercalated cells, tubular and Epithelial cell markers shown in (B) and (C); (</w:t>
      </w:r>
      <w:r>
        <w:rPr>
          <w:rFonts w:ascii="Arial" w:hAnsi="Arial" w:cs="Arial" w:hint="eastAsia"/>
          <w:sz w:val="24"/>
        </w:rPr>
        <w:t>H</w:t>
      </w:r>
      <w:r>
        <w:rPr>
          <w:rFonts w:ascii="Arial" w:hAnsi="Arial" w:cs="Arial"/>
          <w:sz w:val="24"/>
        </w:rPr>
        <w:t xml:space="preserve">) immune cell markers shown in (D). </w:t>
      </w:r>
      <w:r>
        <w:rPr>
          <w:rFonts w:ascii="Arial" w:hAnsi="Arial" w:cs="Arial"/>
          <w:noProof/>
          <w:sz w:val="24"/>
        </w:rPr>
        <w:lastRenderedPageBreak/>
        <w:drawing>
          <wp:inline distT="0" distB="0" distL="114300" distR="114300">
            <wp:extent cx="5337175" cy="5737225"/>
            <wp:effectExtent l="0" t="0" r="15875" b="15875"/>
            <wp:docPr id="3" name="图片 3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573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8F0A3" w14:textId="77777777" w:rsidR="006836DC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Supplementary Figure S2</w:t>
      </w:r>
      <w:r>
        <w:rPr>
          <w:rFonts w:ascii="Arial" w:hAnsi="Arial" w:cs="Arial" w:hint="eastAsia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Umap</w:t>
      </w:r>
      <w:proofErr w:type="spellEnd"/>
      <w:r>
        <w:rPr>
          <w:rFonts w:ascii="Arial" w:hAnsi="Arial" w:cs="Arial"/>
          <w:sz w:val="24"/>
        </w:rPr>
        <w:t xml:space="preserve"> and violin plots showing expression of canonical marker genes for 14 cell clusters from GSE157640. (A-C) </w:t>
      </w:r>
      <w:proofErr w:type="spellStart"/>
      <w:r>
        <w:rPr>
          <w:rFonts w:ascii="Arial" w:hAnsi="Arial" w:cs="Arial"/>
          <w:sz w:val="24"/>
        </w:rPr>
        <w:t>Violinplots</w:t>
      </w:r>
      <w:proofErr w:type="spellEnd"/>
      <w:r>
        <w:rPr>
          <w:rFonts w:ascii="Arial" w:hAnsi="Arial" w:cs="Arial"/>
          <w:sz w:val="24"/>
        </w:rPr>
        <w:t xml:space="preserve"> showing (A) markers for proximal tubular tubules (MT1G, MT1H, GATM, C12orf75), collecting duct cells (AQP2, EPCAM, MMP7) and kidney endothelial cells (IFI44, IFIT1, IFIT3'</w:t>
      </w:r>
      <w:r>
        <w:rPr>
          <w:rFonts w:ascii="Arial" w:hAnsi="Arial" w:cs="Arial"/>
          <w:sz w:val="24"/>
        </w:rPr>
        <w:t>，</w:t>
      </w:r>
      <w:r>
        <w:rPr>
          <w:rFonts w:ascii="Arial" w:hAnsi="Arial" w:cs="Arial"/>
          <w:sz w:val="24"/>
        </w:rPr>
        <w:t xml:space="preserve">OCIAD2, CRYAB ) (B) markers for Macrophages (TYROBP, HLA-DRA, C1QB, FCER1G), B cells (CD52, CD74, HLA-DPB1), and Fibroblasts (MGP, PTGDS, IGFBP7); (C) markers for umbrella cells (PLAT, FXYD3, TSPAN1), urothelial cells (KRT4, KRT13, KRT17) and Epithelial cells (CSTB, CRCT1, SPRR3). (D-F) Violin plots showing (D) Tubular and endothelial cell markers shown in (A), (E) immune </w:t>
      </w:r>
      <w:r>
        <w:rPr>
          <w:rFonts w:ascii="Arial" w:hAnsi="Arial" w:cs="Arial"/>
          <w:sz w:val="24"/>
        </w:rPr>
        <w:lastRenderedPageBreak/>
        <w:t>cell markers shown in (B). (F) Epithelial cell markers shown in (D).</w:t>
      </w:r>
    </w:p>
    <w:sectPr w:rsidR="006836DC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0955" w14:textId="77777777" w:rsidR="006D2E7C" w:rsidRDefault="006D2E7C">
      <w:r>
        <w:separator/>
      </w:r>
    </w:p>
  </w:endnote>
  <w:endnote w:type="continuationSeparator" w:id="0">
    <w:p w14:paraId="435EBCC2" w14:textId="77777777" w:rsidR="006D2E7C" w:rsidRDefault="006D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782C" w14:textId="77777777" w:rsidR="006836DC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37684727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3C4D6" w14:textId="77777777" w:rsidR="006836DC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4733C4D6" w14:textId="77777777" w:rsidR="006836DC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30FE" w14:textId="77777777" w:rsidR="006836DC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93850968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22F97" w14:textId="77777777" w:rsidR="006836DC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49522F97" w14:textId="77777777" w:rsidR="006836DC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CD39" w14:textId="77777777" w:rsidR="006836DC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0618443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FB504" w14:textId="77777777" w:rsidR="006836DC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Di+Bjj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259FB504" w14:textId="77777777" w:rsidR="006836DC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6D01" w14:textId="77777777" w:rsidR="006D2E7C" w:rsidRDefault="006D2E7C">
      <w:r>
        <w:separator/>
      </w:r>
    </w:p>
  </w:footnote>
  <w:footnote w:type="continuationSeparator" w:id="0">
    <w:p w14:paraId="1B7BBA40" w14:textId="77777777" w:rsidR="006D2E7C" w:rsidRDefault="006D2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cwMmRkZTZjNWFhYjhiOGRkMjE0YjUxZWY0YWZhY2UifQ=="/>
  </w:docVars>
  <w:rsids>
    <w:rsidRoot w:val="5FB349E5"/>
    <w:rsid w:val="001E7B8A"/>
    <w:rsid w:val="00362B19"/>
    <w:rsid w:val="00643B70"/>
    <w:rsid w:val="006836DC"/>
    <w:rsid w:val="006D2E7C"/>
    <w:rsid w:val="007C70A0"/>
    <w:rsid w:val="007E7A85"/>
    <w:rsid w:val="008A53C9"/>
    <w:rsid w:val="008D61B1"/>
    <w:rsid w:val="0091298C"/>
    <w:rsid w:val="00CE1192"/>
    <w:rsid w:val="00DF27B9"/>
    <w:rsid w:val="0504265B"/>
    <w:rsid w:val="09B11909"/>
    <w:rsid w:val="11E92264"/>
    <w:rsid w:val="1B4B7A22"/>
    <w:rsid w:val="2AF06322"/>
    <w:rsid w:val="2BAF3DB8"/>
    <w:rsid w:val="2C9C2B8C"/>
    <w:rsid w:val="2CB52F90"/>
    <w:rsid w:val="2EB40517"/>
    <w:rsid w:val="3036093A"/>
    <w:rsid w:val="30F1651D"/>
    <w:rsid w:val="39F937B0"/>
    <w:rsid w:val="3ADC71AC"/>
    <w:rsid w:val="3BD93715"/>
    <w:rsid w:val="418A0721"/>
    <w:rsid w:val="578D22DF"/>
    <w:rsid w:val="5A3161D5"/>
    <w:rsid w:val="5FB349E5"/>
    <w:rsid w:val="64A1021D"/>
    <w:rsid w:val="712776D6"/>
    <w:rsid w:val="71394666"/>
    <w:rsid w:val="77326F46"/>
    <w:rsid w:val="796D4202"/>
    <w:rsid w:val="7A542E9E"/>
    <w:rsid w:val="7D91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2D7722-CADF-4737-AB81-388509AA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Pr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kern w:val="2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Qinglin Ye</dc:creator>
  <cp:lastModifiedBy>Lawrence, Shani</cp:lastModifiedBy>
  <cp:revision>7</cp:revision>
  <dcterms:created xsi:type="dcterms:W3CDTF">2023-11-28T07:49:00Z</dcterms:created>
  <dcterms:modified xsi:type="dcterms:W3CDTF">2023-12-07T00:38:00Z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CE103DA384F24D20A4CF9437E5BCC6D8_13</vt:lpwstr>
  </property>
  <property fmtid="{D5CDD505-2E9C-101B-9397-08002B2CF9AE}" pid="4" name="ClassificationContentMarkingFooterShapeIds">
    <vt:lpwstr>39cf6cb,5ba734f7,295b5358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2023-11-28T07:49:09Z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c1d27c98-ed6f-42ab-9d52-ffa1d6cad4af</vt:lpwstr>
  </property>
  <property fmtid="{D5CDD505-2E9C-101B-9397-08002B2CF9AE}" pid="13" name="MSIP_Label_2bbab825-a111-45e4-86a1-18cee0005896_ContentBits">
    <vt:lpwstr>2</vt:lpwstr>
  </property>
</Properties>
</file>