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B8039" w14:textId="18B60455" w:rsidR="00FF11FE" w:rsidRPr="00463D42" w:rsidRDefault="001E5622" w:rsidP="004127ED">
      <w:pPr>
        <w:spacing w:after="0" w:line="240" w:lineRule="auto"/>
        <w:jc w:val="both"/>
        <w:rPr>
          <w:rFonts w:cstheme="minorHAnsi"/>
          <w:b/>
        </w:rPr>
      </w:pPr>
      <w:r w:rsidRPr="00463D42">
        <w:rPr>
          <w:rFonts w:cstheme="minorHAnsi"/>
          <w:b/>
        </w:rPr>
        <w:t xml:space="preserve">Supplemental Appendix:  </w:t>
      </w:r>
      <w:r w:rsidR="00C105FF" w:rsidRPr="00463D42">
        <w:rPr>
          <w:rFonts w:cstheme="minorHAnsi"/>
          <w:b/>
        </w:rPr>
        <w:t xml:space="preserve"> </w:t>
      </w:r>
      <w:r w:rsidRPr="00463D42">
        <w:rPr>
          <w:rFonts w:cstheme="minorHAnsi"/>
          <w:b/>
        </w:rPr>
        <w:t>DELTA System</w:t>
      </w:r>
      <w:r w:rsidR="008E78A0" w:rsidRPr="00463D42">
        <w:rPr>
          <w:rFonts w:cstheme="minorHAnsi"/>
          <w:b/>
        </w:rPr>
        <w:t xml:space="preserve"> Methods and Validation Results</w:t>
      </w:r>
      <w:r w:rsidRPr="00463D42">
        <w:rPr>
          <w:rFonts w:cstheme="minorHAnsi"/>
          <w:b/>
        </w:rPr>
        <w:t xml:space="preserve">   </w:t>
      </w:r>
    </w:p>
    <w:p w14:paraId="7E67E222" w14:textId="19EDD12B" w:rsidR="008E78A0" w:rsidRPr="00463D42" w:rsidRDefault="008E78A0" w:rsidP="004127ED">
      <w:pPr>
        <w:spacing w:after="0" w:line="240" w:lineRule="auto"/>
        <w:jc w:val="both"/>
        <w:rPr>
          <w:rFonts w:cstheme="minorHAnsi"/>
          <w:b/>
        </w:rPr>
      </w:pPr>
    </w:p>
    <w:p w14:paraId="4AD1DB59" w14:textId="77777777" w:rsidR="00F951AC" w:rsidRPr="00463D42" w:rsidRDefault="00F951AC" w:rsidP="004127ED">
      <w:pPr>
        <w:spacing w:after="0" w:line="240" w:lineRule="auto"/>
        <w:jc w:val="both"/>
        <w:rPr>
          <w:rFonts w:cstheme="minorHAnsi"/>
          <w:b/>
        </w:rPr>
      </w:pPr>
    </w:p>
    <w:p w14:paraId="43454FBF" w14:textId="357E2F02" w:rsidR="00B03C4F" w:rsidRDefault="00B03C4F" w:rsidP="004127ED">
      <w:pPr>
        <w:spacing w:after="0" w:line="240" w:lineRule="auto"/>
        <w:ind w:left="720"/>
        <w:jc w:val="both"/>
        <w:rPr>
          <w:rFonts w:cstheme="minorHAnsi"/>
        </w:rPr>
      </w:pPr>
    </w:p>
    <w:sdt>
      <w:sdtPr>
        <w:rPr>
          <w:rFonts w:asciiTheme="minorHAnsi" w:eastAsiaTheme="minorHAnsi" w:hAnsiTheme="minorHAnsi" w:cstheme="minorBidi"/>
          <w:color w:val="auto"/>
          <w:sz w:val="22"/>
          <w:szCs w:val="22"/>
        </w:rPr>
        <w:id w:val="306367093"/>
        <w:docPartObj>
          <w:docPartGallery w:val="Table of Contents"/>
          <w:docPartUnique/>
        </w:docPartObj>
      </w:sdtPr>
      <w:sdtEndPr>
        <w:rPr>
          <w:b/>
          <w:bCs/>
          <w:noProof/>
        </w:rPr>
      </w:sdtEndPr>
      <w:sdtContent>
        <w:p w14:paraId="3380D2FC" w14:textId="36F97054" w:rsidR="00B03C4F" w:rsidRDefault="00B03C4F" w:rsidP="004127ED">
          <w:pPr>
            <w:pStyle w:val="TOCHeading"/>
            <w:jc w:val="both"/>
            <w:rPr>
              <w:color w:val="000000" w:themeColor="text1"/>
            </w:rPr>
          </w:pPr>
          <w:r w:rsidRPr="00605A83">
            <w:rPr>
              <w:color w:val="000000" w:themeColor="text1"/>
            </w:rPr>
            <w:t>Table of Contents</w:t>
          </w:r>
        </w:p>
        <w:p w14:paraId="1A570C6D" w14:textId="77777777" w:rsidR="00605A83" w:rsidRPr="00605A83" w:rsidRDefault="00605A83" w:rsidP="004127ED">
          <w:pPr>
            <w:jc w:val="both"/>
          </w:pPr>
        </w:p>
        <w:p w14:paraId="4E133F07" w14:textId="6FA92B73" w:rsidR="005D74D4" w:rsidRDefault="00B03C4F" w:rsidP="004127ED">
          <w:pPr>
            <w:pStyle w:val="TOC1"/>
            <w:tabs>
              <w:tab w:val="right" w:leader="dot" w:pos="9350"/>
            </w:tabs>
            <w:jc w:val="both"/>
            <w:rPr>
              <w:rFonts w:eastAsiaTheme="minorEastAsia"/>
              <w:noProof/>
            </w:rPr>
          </w:pPr>
          <w:r>
            <w:fldChar w:fldCharType="begin"/>
          </w:r>
          <w:r>
            <w:instrText xml:space="preserve"> TOC \o "1-3" \h \z \u </w:instrText>
          </w:r>
          <w:r>
            <w:fldChar w:fldCharType="separate"/>
          </w:r>
          <w:hyperlink w:anchor="_Toc107395618" w:history="1">
            <w:r w:rsidR="005D74D4" w:rsidRPr="00D000E0">
              <w:rPr>
                <w:rStyle w:val="Hyperlink"/>
                <w:noProof/>
              </w:rPr>
              <w:t>1.  What is the DELTA System?</w:t>
            </w:r>
            <w:r w:rsidR="005D74D4">
              <w:rPr>
                <w:noProof/>
                <w:webHidden/>
              </w:rPr>
              <w:tab/>
            </w:r>
            <w:r w:rsidR="005D74D4">
              <w:rPr>
                <w:noProof/>
                <w:webHidden/>
              </w:rPr>
              <w:fldChar w:fldCharType="begin"/>
            </w:r>
            <w:r w:rsidR="005D74D4">
              <w:rPr>
                <w:noProof/>
                <w:webHidden/>
              </w:rPr>
              <w:instrText xml:space="preserve"> PAGEREF _Toc107395618 \h </w:instrText>
            </w:r>
            <w:r w:rsidR="005D74D4">
              <w:rPr>
                <w:noProof/>
                <w:webHidden/>
              </w:rPr>
            </w:r>
            <w:r w:rsidR="005D74D4">
              <w:rPr>
                <w:noProof/>
                <w:webHidden/>
              </w:rPr>
              <w:fldChar w:fldCharType="separate"/>
            </w:r>
            <w:r w:rsidR="005D74D4">
              <w:rPr>
                <w:noProof/>
                <w:webHidden/>
              </w:rPr>
              <w:t>1</w:t>
            </w:r>
            <w:r w:rsidR="005D74D4">
              <w:rPr>
                <w:noProof/>
                <w:webHidden/>
              </w:rPr>
              <w:fldChar w:fldCharType="end"/>
            </w:r>
          </w:hyperlink>
        </w:p>
        <w:p w14:paraId="5365DF7C" w14:textId="0776CB86" w:rsidR="005D74D4" w:rsidRDefault="0020029C" w:rsidP="004127ED">
          <w:pPr>
            <w:pStyle w:val="TOC1"/>
            <w:tabs>
              <w:tab w:val="right" w:leader="dot" w:pos="9350"/>
            </w:tabs>
            <w:jc w:val="both"/>
            <w:rPr>
              <w:rFonts w:eastAsiaTheme="minorEastAsia"/>
              <w:noProof/>
            </w:rPr>
          </w:pPr>
          <w:hyperlink w:anchor="_Toc107395619" w:history="1">
            <w:r w:rsidR="005D74D4" w:rsidRPr="00D000E0">
              <w:rPr>
                <w:rStyle w:val="Hyperlink"/>
                <w:noProof/>
              </w:rPr>
              <w:t>2.  Statistical Methods available in DELTA:</w:t>
            </w:r>
            <w:r w:rsidR="005D74D4">
              <w:rPr>
                <w:noProof/>
                <w:webHidden/>
              </w:rPr>
              <w:tab/>
            </w:r>
            <w:r w:rsidR="005D74D4">
              <w:rPr>
                <w:noProof/>
                <w:webHidden/>
              </w:rPr>
              <w:fldChar w:fldCharType="begin"/>
            </w:r>
            <w:r w:rsidR="005D74D4">
              <w:rPr>
                <w:noProof/>
                <w:webHidden/>
              </w:rPr>
              <w:instrText xml:space="preserve"> PAGEREF _Toc107395619 \h </w:instrText>
            </w:r>
            <w:r w:rsidR="005D74D4">
              <w:rPr>
                <w:noProof/>
                <w:webHidden/>
              </w:rPr>
            </w:r>
            <w:r w:rsidR="005D74D4">
              <w:rPr>
                <w:noProof/>
                <w:webHidden/>
              </w:rPr>
              <w:fldChar w:fldCharType="separate"/>
            </w:r>
            <w:r w:rsidR="005D74D4">
              <w:rPr>
                <w:noProof/>
                <w:webHidden/>
              </w:rPr>
              <w:t>1</w:t>
            </w:r>
            <w:r w:rsidR="005D74D4">
              <w:rPr>
                <w:noProof/>
                <w:webHidden/>
              </w:rPr>
              <w:fldChar w:fldCharType="end"/>
            </w:r>
          </w:hyperlink>
        </w:p>
        <w:p w14:paraId="063B8020" w14:textId="6D50E3FB" w:rsidR="005D74D4" w:rsidRDefault="0020029C" w:rsidP="004127ED">
          <w:pPr>
            <w:pStyle w:val="TOC1"/>
            <w:tabs>
              <w:tab w:val="right" w:leader="dot" w:pos="9350"/>
            </w:tabs>
            <w:jc w:val="both"/>
            <w:rPr>
              <w:rFonts w:eastAsiaTheme="minorEastAsia"/>
              <w:noProof/>
            </w:rPr>
          </w:pPr>
          <w:hyperlink w:anchor="_Toc107395620" w:history="1">
            <w:r w:rsidR="005D74D4" w:rsidRPr="00D000E0">
              <w:rPr>
                <w:rStyle w:val="Hyperlink"/>
                <w:noProof/>
              </w:rPr>
              <w:t>3.  Approach to validation of DELTA statistical methods:</w:t>
            </w:r>
            <w:r w:rsidR="005D74D4">
              <w:rPr>
                <w:noProof/>
                <w:webHidden/>
              </w:rPr>
              <w:tab/>
            </w:r>
            <w:r w:rsidR="005D74D4">
              <w:rPr>
                <w:noProof/>
                <w:webHidden/>
              </w:rPr>
              <w:fldChar w:fldCharType="begin"/>
            </w:r>
            <w:r w:rsidR="005D74D4">
              <w:rPr>
                <w:noProof/>
                <w:webHidden/>
              </w:rPr>
              <w:instrText xml:space="preserve"> PAGEREF _Toc107395620 \h </w:instrText>
            </w:r>
            <w:r w:rsidR="005D74D4">
              <w:rPr>
                <w:noProof/>
                <w:webHidden/>
              </w:rPr>
            </w:r>
            <w:r w:rsidR="005D74D4">
              <w:rPr>
                <w:noProof/>
                <w:webHidden/>
              </w:rPr>
              <w:fldChar w:fldCharType="separate"/>
            </w:r>
            <w:r w:rsidR="005D74D4">
              <w:rPr>
                <w:noProof/>
                <w:webHidden/>
              </w:rPr>
              <w:t>4</w:t>
            </w:r>
            <w:r w:rsidR="005D74D4">
              <w:rPr>
                <w:noProof/>
                <w:webHidden/>
              </w:rPr>
              <w:fldChar w:fldCharType="end"/>
            </w:r>
          </w:hyperlink>
        </w:p>
        <w:p w14:paraId="33AF0A91" w14:textId="2FEBBB92" w:rsidR="005D74D4" w:rsidRDefault="0020029C" w:rsidP="004127ED">
          <w:pPr>
            <w:pStyle w:val="TOC1"/>
            <w:tabs>
              <w:tab w:val="right" w:leader="dot" w:pos="9350"/>
            </w:tabs>
            <w:jc w:val="both"/>
            <w:rPr>
              <w:rFonts w:eastAsiaTheme="minorEastAsia"/>
              <w:noProof/>
            </w:rPr>
          </w:pPr>
          <w:hyperlink w:anchor="_Toc107395621" w:history="1">
            <w:r w:rsidR="005D74D4" w:rsidRPr="00D000E0">
              <w:rPr>
                <w:rStyle w:val="Hyperlink"/>
                <w:noProof/>
              </w:rPr>
              <w:t>4.  Validation Study Results:</w:t>
            </w:r>
            <w:r w:rsidR="005D74D4">
              <w:rPr>
                <w:noProof/>
                <w:webHidden/>
              </w:rPr>
              <w:tab/>
            </w:r>
            <w:r w:rsidR="005D74D4">
              <w:rPr>
                <w:noProof/>
                <w:webHidden/>
              </w:rPr>
              <w:fldChar w:fldCharType="begin"/>
            </w:r>
            <w:r w:rsidR="005D74D4">
              <w:rPr>
                <w:noProof/>
                <w:webHidden/>
              </w:rPr>
              <w:instrText xml:space="preserve"> PAGEREF _Toc107395621 \h </w:instrText>
            </w:r>
            <w:r w:rsidR="005D74D4">
              <w:rPr>
                <w:noProof/>
                <w:webHidden/>
              </w:rPr>
            </w:r>
            <w:r w:rsidR="005D74D4">
              <w:rPr>
                <w:noProof/>
                <w:webHidden/>
              </w:rPr>
              <w:fldChar w:fldCharType="separate"/>
            </w:r>
            <w:r w:rsidR="005D74D4">
              <w:rPr>
                <w:noProof/>
                <w:webHidden/>
              </w:rPr>
              <w:t>6</w:t>
            </w:r>
            <w:r w:rsidR="005D74D4">
              <w:rPr>
                <w:noProof/>
                <w:webHidden/>
              </w:rPr>
              <w:fldChar w:fldCharType="end"/>
            </w:r>
          </w:hyperlink>
        </w:p>
        <w:p w14:paraId="5D352654" w14:textId="72BA1C99" w:rsidR="005D74D4" w:rsidRDefault="0020029C" w:rsidP="004127ED">
          <w:pPr>
            <w:pStyle w:val="TOC2"/>
            <w:tabs>
              <w:tab w:val="right" w:leader="dot" w:pos="9350"/>
            </w:tabs>
            <w:jc w:val="both"/>
            <w:rPr>
              <w:rFonts w:eastAsiaTheme="minorEastAsia"/>
              <w:noProof/>
            </w:rPr>
          </w:pPr>
          <w:hyperlink w:anchor="_Toc107395622" w:history="1">
            <w:r w:rsidR="005D74D4" w:rsidRPr="00D000E0">
              <w:rPr>
                <w:rStyle w:val="Hyperlink"/>
                <w:noProof/>
              </w:rPr>
              <w:t>Test 1 - Synthetic Dataset Analyses:</w:t>
            </w:r>
            <w:r w:rsidR="005D74D4">
              <w:rPr>
                <w:noProof/>
                <w:webHidden/>
              </w:rPr>
              <w:tab/>
            </w:r>
            <w:r w:rsidR="005D74D4">
              <w:rPr>
                <w:noProof/>
                <w:webHidden/>
              </w:rPr>
              <w:fldChar w:fldCharType="begin"/>
            </w:r>
            <w:r w:rsidR="005D74D4">
              <w:rPr>
                <w:noProof/>
                <w:webHidden/>
              </w:rPr>
              <w:instrText xml:space="preserve"> PAGEREF _Toc107395622 \h </w:instrText>
            </w:r>
            <w:r w:rsidR="005D74D4">
              <w:rPr>
                <w:noProof/>
                <w:webHidden/>
              </w:rPr>
            </w:r>
            <w:r w:rsidR="005D74D4">
              <w:rPr>
                <w:noProof/>
                <w:webHidden/>
              </w:rPr>
              <w:fldChar w:fldCharType="separate"/>
            </w:r>
            <w:r w:rsidR="005D74D4">
              <w:rPr>
                <w:noProof/>
                <w:webHidden/>
              </w:rPr>
              <w:t>6</w:t>
            </w:r>
            <w:r w:rsidR="005D74D4">
              <w:rPr>
                <w:noProof/>
                <w:webHidden/>
              </w:rPr>
              <w:fldChar w:fldCharType="end"/>
            </w:r>
          </w:hyperlink>
        </w:p>
        <w:p w14:paraId="5B0C538F" w14:textId="4DB26205" w:rsidR="005D74D4" w:rsidRDefault="0020029C" w:rsidP="004127ED">
          <w:pPr>
            <w:pStyle w:val="TOC2"/>
            <w:tabs>
              <w:tab w:val="right" w:leader="dot" w:pos="9350"/>
            </w:tabs>
            <w:jc w:val="both"/>
            <w:rPr>
              <w:rFonts w:eastAsiaTheme="minorEastAsia"/>
              <w:noProof/>
            </w:rPr>
          </w:pPr>
          <w:hyperlink w:anchor="_Toc107395623" w:history="1">
            <w:r w:rsidR="005D74D4" w:rsidRPr="00D000E0">
              <w:rPr>
                <w:rStyle w:val="Hyperlink"/>
                <w:noProof/>
              </w:rPr>
              <w:t>Test 2 – Replication of Published Data Analyses:</w:t>
            </w:r>
            <w:r w:rsidR="005D74D4">
              <w:rPr>
                <w:noProof/>
                <w:webHidden/>
              </w:rPr>
              <w:tab/>
            </w:r>
            <w:r w:rsidR="005D74D4">
              <w:rPr>
                <w:noProof/>
                <w:webHidden/>
              </w:rPr>
              <w:fldChar w:fldCharType="begin"/>
            </w:r>
            <w:r w:rsidR="005D74D4">
              <w:rPr>
                <w:noProof/>
                <w:webHidden/>
              </w:rPr>
              <w:instrText xml:space="preserve"> PAGEREF _Toc107395623 \h </w:instrText>
            </w:r>
            <w:r w:rsidR="005D74D4">
              <w:rPr>
                <w:noProof/>
                <w:webHidden/>
              </w:rPr>
            </w:r>
            <w:r w:rsidR="005D74D4">
              <w:rPr>
                <w:noProof/>
                <w:webHidden/>
              </w:rPr>
              <w:fldChar w:fldCharType="separate"/>
            </w:r>
            <w:r w:rsidR="005D74D4">
              <w:rPr>
                <w:noProof/>
                <w:webHidden/>
              </w:rPr>
              <w:t>7</w:t>
            </w:r>
            <w:r w:rsidR="005D74D4">
              <w:rPr>
                <w:noProof/>
                <w:webHidden/>
              </w:rPr>
              <w:fldChar w:fldCharType="end"/>
            </w:r>
          </w:hyperlink>
        </w:p>
        <w:p w14:paraId="02EE7623" w14:textId="14BFBD93" w:rsidR="005D74D4" w:rsidRDefault="0020029C" w:rsidP="004127ED">
          <w:pPr>
            <w:pStyle w:val="TOC1"/>
            <w:tabs>
              <w:tab w:val="right" w:leader="dot" w:pos="9350"/>
            </w:tabs>
            <w:jc w:val="both"/>
            <w:rPr>
              <w:rFonts w:eastAsiaTheme="minorEastAsia"/>
              <w:noProof/>
            </w:rPr>
          </w:pPr>
          <w:hyperlink w:anchor="_Toc107395624" w:history="1">
            <w:r w:rsidR="005D74D4" w:rsidRPr="00D000E0">
              <w:rPr>
                <w:rStyle w:val="Hyperlink"/>
                <w:noProof/>
              </w:rPr>
              <w:t>5.  References:</w:t>
            </w:r>
            <w:r w:rsidR="005D74D4">
              <w:rPr>
                <w:noProof/>
                <w:webHidden/>
              </w:rPr>
              <w:tab/>
            </w:r>
            <w:r w:rsidR="005D74D4">
              <w:rPr>
                <w:noProof/>
                <w:webHidden/>
              </w:rPr>
              <w:fldChar w:fldCharType="begin"/>
            </w:r>
            <w:r w:rsidR="005D74D4">
              <w:rPr>
                <w:noProof/>
                <w:webHidden/>
              </w:rPr>
              <w:instrText xml:space="preserve"> PAGEREF _Toc107395624 \h </w:instrText>
            </w:r>
            <w:r w:rsidR="005D74D4">
              <w:rPr>
                <w:noProof/>
                <w:webHidden/>
              </w:rPr>
            </w:r>
            <w:r w:rsidR="005D74D4">
              <w:rPr>
                <w:noProof/>
                <w:webHidden/>
              </w:rPr>
              <w:fldChar w:fldCharType="separate"/>
            </w:r>
            <w:r w:rsidR="005D74D4">
              <w:rPr>
                <w:noProof/>
                <w:webHidden/>
              </w:rPr>
              <w:t>9</w:t>
            </w:r>
            <w:r w:rsidR="005D74D4">
              <w:rPr>
                <w:noProof/>
                <w:webHidden/>
              </w:rPr>
              <w:fldChar w:fldCharType="end"/>
            </w:r>
          </w:hyperlink>
        </w:p>
        <w:p w14:paraId="702AD7A6" w14:textId="7A2AB2E5" w:rsidR="00B03C4F" w:rsidRDefault="00B03C4F" w:rsidP="004127ED">
          <w:pPr>
            <w:jc w:val="both"/>
          </w:pPr>
          <w:r>
            <w:rPr>
              <w:b/>
              <w:bCs/>
              <w:noProof/>
            </w:rPr>
            <w:fldChar w:fldCharType="end"/>
          </w:r>
        </w:p>
      </w:sdtContent>
    </w:sdt>
    <w:p w14:paraId="1F44F1F8" w14:textId="77777777" w:rsidR="00B03C4F" w:rsidRPr="00463D42" w:rsidRDefault="00B03C4F" w:rsidP="004127ED">
      <w:pPr>
        <w:spacing w:after="0" w:line="240" w:lineRule="auto"/>
        <w:ind w:left="720"/>
        <w:jc w:val="both"/>
        <w:rPr>
          <w:rFonts w:cstheme="minorHAnsi"/>
        </w:rPr>
      </w:pPr>
    </w:p>
    <w:p w14:paraId="069826EF" w14:textId="77777777" w:rsidR="008E78A0" w:rsidRPr="00463D42" w:rsidRDefault="008E78A0" w:rsidP="004127ED">
      <w:pPr>
        <w:spacing w:after="0" w:line="240" w:lineRule="auto"/>
        <w:jc w:val="both"/>
        <w:rPr>
          <w:rFonts w:cstheme="minorHAnsi"/>
          <w:b/>
        </w:rPr>
      </w:pPr>
    </w:p>
    <w:p w14:paraId="7A65657F" w14:textId="77777777" w:rsidR="00F951AC" w:rsidRPr="00463D42" w:rsidRDefault="00F951AC" w:rsidP="004127ED">
      <w:pPr>
        <w:spacing w:after="0" w:line="240" w:lineRule="auto"/>
        <w:jc w:val="both"/>
        <w:rPr>
          <w:rFonts w:cstheme="minorHAnsi"/>
          <w:b/>
        </w:rPr>
      </w:pPr>
    </w:p>
    <w:p w14:paraId="4C64A5EB" w14:textId="77777777" w:rsidR="00F951AC" w:rsidRPr="00463D42" w:rsidRDefault="00F951AC" w:rsidP="004127ED">
      <w:pPr>
        <w:spacing w:after="0" w:line="240" w:lineRule="auto"/>
        <w:jc w:val="both"/>
        <w:rPr>
          <w:rFonts w:cstheme="minorHAnsi"/>
          <w:b/>
        </w:rPr>
      </w:pPr>
    </w:p>
    <w:p w14:paraId="6D1C9C55" w14:textId="42EE55F6" w:rsidR="008F5001" w:rsidRPr="007E7F93" w:rsidRDefault="00305AA6" w:rsidP="004127ED">
      <w:pPr>
        <w:pStyle w:val="Heading1"/>
        <w:jc w:val="both"/>
      </w:pPr>
      <w:bookmarkStart w:id="0" w:name="_Toc107395618"/>
      <w:r w:rsidRPr="00B03C4F">
        <w:t xml:space="preserve">1.  </w:t>
      </w:r>
      <w:r w:rsidR="008E78A0" w:rsidRPr="007E7F93">
        <w:t>What is the DELTA System?</w:t>
      </w:r>
      <w:bookmarkEnd w:id="0"/>
      <w:r w:rsidR="008E78A0" w:rsidRPr="007E7F93">
        <w:t xml:space="preserve">  </w:t>
      </w:r>
    </w:p>
    <w:p w14:paraId="24944D0F" w14:textId="2A141573" w:rsidR="00305AA6" w:rsidRPr="00463D42" w:rsidRDefault="008E78A0" w:rsidP="004127ED">
      <w:pPr>
        <w:spacing w:after="0" w:line="240" w:lineRule="auto"/>
        <w:jc w:val="both"/>
        <w:rPr>
          <w:rFonts w:cstheme="minorHAnsi"/>
        </w:rPr>
      </w:pPr>
      <w:r w:rsidRPr="00463D42">
        <w:rPr>
          <w:rFonts w:cstheme="minorHAnsi"/>
        </w:rPr>
        <w:t xml:space="preserve">DELTA (Data Extraction and Longitudinal Trend Analysis system) is a suite of open-source active surveillance software tools designed to support continuous monitoring of high quality clinical data sources.  </w:t>
      </w:r>
      <w:r w:rsidR="001D36EF" w:rsidRPr="00463D42">
        <w:rPr>
          <w:rFonts w:cstheme="minorHAnsi"/>
        </w:rPr>
        <w:t xml:space="preserve"> The tool </w:t>
      </w:r>
      <w:r w:rsidR="00AD5E91" w:rsidRPr="00463D42">
        <w:rPr>
          <w:rFonts w:cstheme="minorHAnsi"/>
        </w:rPr>
        <w:t>utilizes open source technologies to provide</w:t>
      </w:r>
      <w:r w:rsidR="001D36EF" w:rsidRPr="00463D42">
        <w:rPr>
          <w:rFonts w:cstheme="minorHAnsi"/>
        </w:rPr>
        <w:t xml:space="preserve"> </w:t>
      </w:r>
      <w:r w:rsidR="00AD5E91" w:rsidRPr="00463D42">
        <w:rPr>
          <w:rFonts w:cstheme="minorHAnsi"/>
        </w:rPr>
        <w:t xml:space="preserve">a </w:t>
      </w:r>
      <w:r w:rsidR="001D36EF" w:rsidRPr="00463D42">
        <w:rPr>
          <w:rFonts w:cstheme="minorHAnsi"/>
        </w:rPr>
        <w:t xml:space="preserve">web-based graphical user interface developed </w:t>
      </w:r>
      <w:r w:rsidR="002B0795">
        <w:rPr>
          <w:rFonts w:cstheme="minorHAnsi"/>
        </w:rPr>
        <w:t>using JavaScript (</w:t>
      </w:r>
      <w:proofErr w:type="spellStart"/>
      <w:r w:rsidR="00AD5E91" w:rsidRPr="00463D42">
        <w:rPr>
          <w:rFonts w:cstheme="minorHAnsi"/>
        </w:rPr>
        <w:t>ExtJS</w:t>
      </w:r>
      <w:proofErr w:type="spellEnd"/>
      <w:r w:rsidR="00AD5E91" w:rsidRPr="00463D42">
        <w:rPr>
          <w:rFonts w:cstheme="minorHAnsi"/>
        </w:rPr>
        <w:t xml:space="preserve"> framework</w:t>
      </w:r>
      <w:r w:rsidR="002B0795">
        <w:rPr>
          <w:rFonts w:cstheme="minorHAnsi"/>
        </w:rPr>
        <w:t>)</w:t>
      </w:r>
      <w:r w:rsidR="007B1905">
        <w:rPr>
          <w:rFonts w:cstheme="minorHAnsi"/>
        </w:rPr>
        <w:t xml:space="preserve">, </w:t>
      </w:r>
      <w:r w:rsidR="00AD5E91" w:rsidRPr="00463D42">
        <w:rPr>
          <w:rFonts w:cstheme="minorHAnsi"/>
        </w:rPr>
        <w:t>a Java</w:t>
      </w:r>
      <w:r w:rsidR="00DA46FE">
        <w:rPr>
          <w:rFonts w:cstheme="minorHAnsi"/>
        </w:rPr>
        <w:t>-based</w:t>
      </w:r>
      <w:r w:rsidR="002B0795">
        <w:rPr>
          <w:rFonts w:cstheme="minorHAnsi"/>
        </w:rPr>
        <w:t xml:space="preserve"> </w:t>
      </w:r>
      <w:r w:rsidR="007B1905">
        <w:rPr>
          <w:rFonts w:cstheme="minorHAnsi"/>
        </w:rPr>
        <w:t>Application Programming Interface (API)</w:t>
      </w:r>
      <w:r w:rsidR="001D36EF" w:rsidRPr="00463D42">
        <w:rPr>
          <w:rFonts w:cstheme="minorHAnsi"/>
        </w:rPr>
        <w:t xml:space="preserve">, </w:t>
      </w:r>
      <w:r w:rsidR="00DD2B6D" w:rsidRPr="00463D42">
        <w:rPr>
          <w:rFonts w:cstheme="minorHAnsi"/>
        </w:rPr>
        <w:t xml:space="preserve">a MySQL database </w:t>
      </w:r>
      <w:r w:rsidR="007B1905">
        <w:rPr>
          <w:rFonts w:cstheme="minorHAnsi"/>
        </w:rPr>
        <w:t xml:space="preserve">and </w:t>
      </w:r>
      <w:r w:rsidR="00AD5E91" w:rsidRPr="00463D42">
        <w:rPr>
          <w:rFonts w:cstheme="minorHAnsi"/>
        </w:rPr>
        <w:t xml:space="preserve">an analytics engine written in the R </w:t>
      </w:r>
      <w:r w:rsidR="00DA46FE">
        <w:rPr>
          <w:rFonts w:cstheme="minorHAnsi"/>
        </w:rPr>
        <w:t xml:space="preserve">programming </w:t>
      </w:r>
      <w:r w:rsidR="00AD5E91" w:rsidRPr="00463D42">
        <w:rPr>
          <w:rFonts w:cstheme="minorHAnsi"/>
        </w:rPr>
        <w:t>language</w:t>
      </w:r>
      <w:r w:rsidR="00EA2B31" w:rsidRPr="00463D42">
        <w:rPr>
          <w:rFonts w:cstheme="minorHAnsi"/>
        </w:rPr>
        <w:t>.</w:t>
      </w:r>
      <w:r w:rsidR="001D36EF" w:rsidRPr="00463D42">
        <w:rPr>
          <w:rFonts w:cstheme="minorHAnsi"/>
        </w:rPr>
        <w:t xml:space="preserve">  DELTA allows the user to </w:t>
      </w:r>
      <w:r w:rsidR="007B1905">
        <w:rPr>
          <w:rFonts w:cstheme="minorHAnsi"/>
        </w:rPr>
        <w:t>design an</w:t>
      </w:r>
      <w:r w:rsidR="00DA46FE">
        <w:rPr>
          <w:rFonts w:cstheme="minorHAnsi"/>
        </w:rPr>
        <w:t xml:space="preserve"> analysis by specifying a set</w:t>
      </w:r>
      <w:r w:rsidR="007B1905">
        <w:rPr>
          <w:rFonts w:cstheme="minorHAnsi"/>
        </w:rPr>
        <w:t xml:space="preserve"> of parameters and dataset to be used</w:t>
      </w:r>
      <w:r w:rsidR="00DA46FE">
        <w:rPr>
          <w:rFonts w:cstheme="minorHAnsi"/>
        </w:rPr>
        <w:t>,</w:t>
      </w:r>
      <w:r w:rsidR="007B1905">
        <w:rPr>
          <w:rFonts w:cstheme="minorHAnsi"/>
        </w:rPr>
        <w:t xml:space="preserve"> then execute the analysis. Parameters include a </w:t>
      </w:r>
      <w:r w:rsidR="001D36EF" w:rsidRPr="00463D42">
        <w:rPr>
          <w:rFonts w:cstheme="minorHAnsi"/>
        </w:rPr>
        <w:t>desired confidence interval to generate an alerting threshold</w:t>
      </w:r>
      <w:r w:rsidR="006A337C" w:rsidRPr="00463D42">
        <w:rPr>
          <w:rFonts w:cstheme="minorHAnsi"/>
        </w:rPr>
        <w:t xml:space="preserve"> </w:t>
      </w:r>
      <w:r w:rsidR="00066730" w:rsidRPr="00463D42">
        <w:rPr>
          <w:rFonts w:cstheme="minorHAnsi"/>
        </w:rPr>
        <w:t>and</w:t>
      </w:r>
      <w:r w:rsidR="001D36EF" w:rsidRPr="00463D42">
        <w:rPr>
          <w:rFonts w:cstheme="minorHAnsi"/>
        </w:rPr>
        <w:t xml:space="preserve"> </w:t>
      </w:r>
      <w:r w:rsidR="007B1905">
        <w:rPr>
          <w:rFonts w:cstheme="minorHAnsi"/>
        </w:rPr>
        <w:t xml:space="preserve">a </w:t>
      </w:r>
      <w:r w:rsidR="001D36EF" w:rsidRPr="00463D42">
        <w:rPr>
          <w:rFonts w:cstheme="minorHAnsi"/>
        </w:rPr>
        <w:t>time interval</w:t>
      </w:r>
      <w:r w:rsidR="00445555" w:rsidRPr="00463D42">
        <w:rPr>
          <w:rFonts w:cstheme="minorHAnsi"/>
        </w:rPr>
        <w:t>s</w:t>
      </w:r>
      <w:r w:rsidR="001D36EF" w:rsidRPr="00463D42">
        <w:rPr>
          <w:rFonts w:cstheme="minorHAnsi"/>
        </w:rPr>
        <w:t xml:space="preserve"> for </w:t>
      </w:r>
      <w:r w:rsidR="007B1905">
        <w:rPr>
          <w:rFonts w:cstheme="minorHAnsi"/>
        </w:rPr>
        <w:t xml:space="preserve">the </w:t>
      </w:r>
      <w:r w:rsidR="001D36EF" w:rsidRPr="00463D42">
        <w:rPr>
          <w:rFonts w:cstheme="minorHAnsi"/>
        </w:rPr>
        <w:t xml:space="preserve">analysis.  When the application detects an elevated outcome rate for a given exposure, alerts are generated and </w:t>
      </w:r>
      <w:r w:rsidR="00445555" w:rsidRPr="00463D42">
        <w:rPr>
          <w:rFonts w:cstheme="minorHAnsi"/>
        </w:rPr>
        <w:t>made available to</w:t>
      </w:r>
      <w:r w:rsidR="001D36EF" w:rsidRPr="00463D42">
        <w:rPr>
          <w:rFonts w:cstheme="minorHAnsi"/>
        </w:rPr>
        <w:t xml:space="preserve"> designated </w:t>
      </w:r>
      <w:r w:rsidR="00423D64" w:rsidRPr="00463D42">
        <w:rPr>
          <w:rFonts w:cstheme="minorHAnsi"/>
        </w:rPr>
        <w:t>users</w:t>
      </w:r>
      <w:r w:rsidR="001D36EF" w:rsidRPr="00463D42">
        <w:rPr>
          <w:rFonts w:cstheme="minorHAnsi"/>
        </w:rPr>
        <w:t xml:space="preserve">.  DELTA incorporates a variety of frequentist methods, implemented </w:t>
      </w:r>
      <w:r w:rsidR="00DA46FE">
        <w:rPr>
          <w:rFonts w:cstheme="minorHAnsi"/>
        </w:rPr>
        <w:t>using validated R packages</w:t>
      </w:r>
      <w:r w:rsidR="001D36EF" w:rsidRPr="00463D42">
        <w:rPr>
          <w:rFonts w:cstheme="minorHAnsi"/>
        </w:rPr>
        <w:t>, to perform risk-adjusted prospective surveillance analyses, including survival studies, sequential analyses and extensive propensity matching algorithms.  DELTA uses a modular approach to statistical analysis that facilitates further expansion</w:t>
      </w:r>
      <w:r w:rsidR="00C23E5C" w:rsidRPr="00463D42">
        <w:rPr>
          <w:rFonts w:cstheme="minorHAnsi"/>
        </w:rPr>
        <w:t>, and</w:t>
      </w:r>
      <w:r w:rsidR="001D36EF" w:rsidRPr="00463D42">
        <w:rPr>
          <w:rFonts w:cstheme="minorHAnsi"/>
        </w:rPr>
        <w:t xml:space="preserve"> can support a number of prospective safety analyses simultaneously.</w:t>
      </w:r>
      <w:r w:rsidR="00305AA6" w:rsidRPr="00463D42">
        <w:rPr>
          <w:rFonts w:cstheme="minorHAnsi"/>
        </w:rPr>
        <w:t xml:space="preserve"> </w:t>
      </w:r>
      <w:r w:rsidR="00F13C1F" w:rsidRPr="00463D42">
        <w:rPr>
          <w:rFonts w:cstheme="minorHAnsi"/>
        </w:rPr>
        <w:t>D</w:t>
      </w:r>
      <w:r w:rsidR="00305AA6" w:rsidRPr="00463D42">
        <w:rPr>
          <w:rFonts w:cstheme="minorHAnsi"/>
        </w:rPr>
        <w:t xml:space="preserve">ELTA has been previously validated for prospective monitoring of clinical </w:t>
      </w:r>
      <w:r w:rsidR="00305AA6" w:rsidRPr="004127ED">
        <w:rPr>
          <w:rFonts w:cstheme="minorHAnsi"/>
        </w:rPr>
        <w:t>registries</w:t>
      </w:r>
      <w:r w:rsidR="00372D3F" w:rsidRPr="004127ED">
        <w:rPr>
          <w:rFonts w:cstheme="minorHAnsi"/>
          <w:vertAlign w:val="superscript"/>
        </w:rPr>
        <w:t>1-3</w:t>
      </w:r>
      <w:r w:rsidR="00305AA6" w:rsidRPr="004127ED">
        <w:rPr>
          <w:rFonts w:cstheme="minorHAnsi"/>
        </w:rPr>
        <w:t xml:space="preserve"> </w:t>
      </w:r>
      <w:r w:rsidR="00305AA6" w:rsidRPr="00463D42">
        <w:rPr>
          <w:rFonts w:cstheme="minorHAnsi"/>
        </w:rPr>
        <w:t xml:space="preserve">and clinical data </w:t>
      </w:r>
      <w:r w:rsidR="00305AA6" w:rsidRPr="004127ED">
        <w:rPr>
          <w:rFonts w:cstheme="minorHAnsi"/>
        </w:rPr>
        <w:t>sets</w:t>
      </w:r>
      <w:r w:rsidR="00372D3F" w:rsidRPr="004127ED">
        <w:rPr>
          <w:rFonts w:cstheme="minorHAnsi"/>
          <w:vertAlign w:val="superscript"/>
        </w:rPr>
        <w:t>4</w:t>
      </w:r>
      <w:r w:rsidR="004127ED" w:rsidRPr="004127ED">
        <w:rPr>
          <w:rFonts w:cstheme="minorHAnsi"/>
          <w:vertAlign w:val="superscript"/>
        </w:rPr>
        <w:t>, 5</w:t>
      </w:r>
      <w:r w:rsidR="00917976" w:rsidRPr="00463D42">
        <w:rPr>
          <w:rFonts w:cstheme="minorHAnsi"/>
        </w:rPr>
        <w:t>,</w:t>
      </w:r>
      <w:r w:rsidR="00305AA6" w:rsidRPr="00463D42">
        <w:rPr>
          <w:rFonts w:cstheme="minorHAnsi"/>
        </w:rPr>
        <w:t xml:space="preserve"> and is available as an open source software package with associated technical documentation.   </w:t>
      </w:r>
      <w:r w:rsidR="00990A42" w:rsidRPr="00463D42">
        <w:rPr>
          <w:rFonts w:cstheme="minorHAnsi"/>
        </w:rPr>
        <w:t>In all</w:t>
      </w:r>
      <w:r w:rsidR="00917976" w:rsidRPr="00463D42">
        <w:rPr>
          <w:rFonts w:cstheme="minorHAnsi"/>
        </w:rPr>
        <w:t xml:space="preserve"> previous </w:t>
      </w:r>
      <w:r w:rsidR="003C716F">
        <w:rPr>
          <w:rFonts w:cstheme="minorHAnsi"/>
        </w:rPr>
        <w:t xml:space="preserve">DELTA </w:t>
      </w:r>
      <w:r w:rsidR="007E7F93">
        <w:rPr>
          <w:rFonts w:cstheme="minorHAnsi"/>
        </w:rPr>
        <w:t>projects</w:t>
      </w:r>
      <w:r w:rsidR="003C716F">
        <w:rPr>
          <w:rFonts w:cstheme="minorHAnsi"/>
        </w:rPr>
        <w:t>,</w:t>
      </w:r>
      <w:r w:rsidR="00990A42" w:rsidRPr="00463D42">
        <w:rPr>
          <w:rFonts w:cstheme="minorHAnsi"/>
        </w:rPr>
        <w:t xml:space="preserve"> the </w:t>
      </w:r>
      <w:r w:rsidR="00305AA6" w:rsidRPr="00463D42">
        <w:rPr>
          <w:rFonts w:cstheme="minorHAnsi"/>
        </w:rPr>
        <w:t xml:space="preserve">safety surveillance </w:t>
      </w:r>
      <w:r w:rsidR="00990A42" w:rsidRPr="00463D42">
        <w:rPr>
          <w:rFonts w:cstheme="minorHAnsi"/>
        </w:rPr>
        <w:t>analyses</w:t>
      </w:r>
      <w:r w:rsidR="00305AA6" w:rsidRPr="00463D42">
        <w:rPr>
          <w:rFonts w:cstheme="minorHAnsi"/>
        </w:rPr>
        <w:t xml:space="preserve"> were executed in a local server environment.   For the current project, the</w:t>
      </w:r>
      <w:r w:rsidRPr="00463D42">
        <w:rPr>
          <w:rFonts w:cstheme="minorHAnsi"/>
        </w:rPr>
        <w:t xml:space="preserve"> DELTA </w:t>
      </w:r>
      <w:r w:rsidR="00305AA6" w:rsidRPr="00463D42">
        <w:rPr>
          <w:rFonts w:cstheme="minorHAnsi"/>
        </w:rPr>
        <w:t xml:space="preserve">components were modified to support cloud-based deployment and were formally evaluated using both </w:t>
      </w:r>
      <w:r w:rsidR="00990A42" w:rsidRPr="00463D42">
        <w:rPr>
          <w:rFonts w:cstheme="minorHAnsi"/>
        </w:rPr>
        <w:t xml:space="preserve">simulated as well as </w:t>
      </w:r>
      <w:r w:rsidR="00305AA6" w:rsidRPr="00463D42">
        <w:rPr>
          <w:rFonts w:cstheme="minorHAnsi"/>
        </w:rPr>
        <w:t>historical clinical data</w:t>
      </w:r>
      <w:r w:rsidRPr="00463D42">
        <w:rPr>
          <w:rFonts w:cstheme="minorHAnsi"/>
        </w:rPr>
        <w:t>.</w:t>
      </w:r>
      <w:r w:rsidR="00305AA6" w:rsidRPr="00463D42">
        <w:rPr>
          <w:rFonts w:cstheme="minorHAnsi"/>
        </w:rPr>
        <w:t xml:space="preserve">  </w:t>
      </w:r>
      <w:r w:rsidRPr="00463D42">
        <w:rPr>
          <w:rFonts w:cstheme="minorHAnsi"/>
        </w:rPr>
        <w:t xml:space="preserve"> </w:t>
      </w:r>
    </w:p>
    <w:p w14:paraId="27A56D26" w14:textId="10591D3B" w:rsidR="00305AA6" w:rsidRPr="00463D42" w:rsidRDefault="00305AA6" w:rsidP="004127ED">
      <w:pPr>
        <w:spacing w:after="0" w:line="240" w:lineRule="auto"/>
        <w:jc w:val="both"/>
        <w:rPr>
          <w:rFonts w:cstheme="minorHAnsi"/>
        </w:rPr>
      </w:pPr>
    </w:p>
    <w:p w14:paraId="4FC01C25" w14:textId="77777777" w:rsidR="00F951AC" w:rsidRPr="00463D42" w:rsidRDefault="00F951AC" w:rsidP="004127ED">
      <w:pPr>
        <w:spacing w:after="0" w:line="240" w:lineRule="auto"/>
        <w:jc w:val="both"/>
        <w:rPr>
          <w:rFonts w:cstheme="minorHAnsi"/>
          <w:b/>
        </w:rPr>
      </w:pPr>
    </w:p>
    <w:p w14:paraId="45C30C6B" w14:textId="02238D6F" w:rsidR="00305AA6" w:rsidRPr="00463D42" w:rsidRDefault="00305AA6" w:rsidP="004127ED">
      <w:pPr>
        <w:pStyle w:val="Heading1"/>
        <w:jc w:val="both"/>
      </w:pPr>
      <w:bookmarkStart w:id="1" w:name="_Toc107395619"/>
      <w:r w:rsidRPr="00463D42">
        <w:lastRenderedPageBreak/>
        <w:t>2.  Statistical Methods available in DELTA:</w:t>
      </w:r>
      <w:bookmarkEnd w:id="1"/>
      <w:r w:rsidRPr="00463D42">
        <w:t xml:space="preserve"> </w:t>
      </w:r>
    </w:p>
    <w:p w14:paraId="14D9E6C3" w14:textId="7ACD3D50" w:rsidR="00305AA6" w:rsidRPr="00463D42" w:rsidRDefault="00305AA6" w:rsidP="004127ED">
      <w:pPr>
        <w:spacing w:after="0" w:line="240" w:lineRule="auto"/>
        <w:jc w:val="both"/>
        <w:rPr>
          <w:rFonts w:cstheme="minorHAnsi"/>
        </w:rPr>
      </w:pPr>
      <w:r w:rsidRPr="00463D42">
        <w:rPr>
          <w:rFonts w:cstheme="minorHAnsi"/>
        </w:rPr>
        <w:t>DELTA provides s</w:t>
      </w:r>
      <w:r w:rsidR="004B62FF" w:rsidRPr="00463D42">
        <w:rPr>
          <w:rFonts w:cstheme="minorHAnsi"/>
        </w:rPr>
        <w:t>even</w:t>
      </w:r>
      <w:r w:rsidRPr="00463D42">
        <w:rPr>
          <w:rFonts w:cstheme="minorHAnsi"/>
        </w:rPr>
        <w:t xml:space="preserve"> statistical methods</w:t>
      </w:r>
      <w:r w:rsidR="001D36EF" w:rsidRPr="00463D42">
        <w:rPr>
          <w:rFonts w:cstheme="minorHAnsi"/>
        </w:rPr>
        <w:t xml:space="preserve"> to support prospective, active surveillance of accruing clinical datasets.    These include multivariate</w:t>
      </w:r>
      <w:r w:rsidRPr="00463D42">
        <w:rPr>
          <w:rFonts w:cstheme="minorHAnsi"/>
        </w:rPr>
        <w:t xml:space="preserve"> logistic regression usi</w:t>
      </w:r>
      <w:r w:rsidR="001D36EF" w:rsidRPr="00463D42">
        <w:rPr>
          <w:rFonts w:cstheme="minorHAnsi"/>
        </w:rPr>
        <w:t>ng a non-parsimonious model (LR)</w:t>
      </w:r>
      <w:r w:rsidRPr="00463D42">
        <w:rPr>
          <w:rFonts w:cstheme="minorHAnsi"/>
        </w:rPr>
        <w:t xml:space="preserve">, logistic regression with automated variable selection (LR-AVS), propensity </w:t>
      </w:r>
      <w:r w:rsidR="00990A42" w:rsidRPr="00463D42">
        <w:rPr>
          <w:rFonts w:cstheme="minorHAnsi"/>
        </w:rPr>
        <w:t xml:space="preserve">score </w:t>
      </w:r>
      <w:r w:rsidRPr="00463D42">
        <w:rPr>
          <w:rFonts w:cstheme="minorHAnsi"/>
        </w:rPr>
        <w:t>matching</w:t>
      </w:r>
      <w:r w:rsidR="00990A42" w:rsidRPr="00463D42">
        <w:rPr>
          <w:rFonts w:cstheme="minorHAnsi"/>
        </w:rPr>
        <w:t xml:space="preserve"> (PSM)</w:t>
      </w:r>
      <w:r w:rsidRPr="00463D42">
        <w:rPr>
          <w:rFonts w:cstheme="minorHAnsi"/>
        </w:rPr>
        <w:t xml:space="preserve">, </w:t>
      </w:r>
      <w:r w:rsidR="006A337C" w:rsidRPr="00463D42">
        <w:rPr>
          <w:rFonts w:cstheme="minorHAnsi"/>
        </w:rPr>
        <w:t>I</w:t>
      </w:r>
      <w:r w:rsidRPr="00463D42">
        <w:rPr>
          <w:rFonts w:cstheme="minorHAnsi"/>
        </w:rPr>
        <w:t xml:space="preserve">nverse </w:t>
      </w:r>
      <w:r w:rsidR="006A337C" w:rsidRPr="00463D42">
        <w:rPr>
          <w:rFonts w:cstheme="minorHAnsi"/>
        </w:rPr>
        <w:t>P</w:t>
      </w:r>
      <w:r w:rsidRPr="00463D42">
        <w:rPr>
          <w:rFonts w:cstheme="minorHAnsi"/>
        </w:rPr>
        <w:t xml:space="preserve">robability </w:t>
      </w:r>
      <w:r w:rsidR="006A337C" w:rsidRPr="00463D42">
        <w:rPr>
          <w:rFonts w:cstheme="minorHAnsi"/>
        </w:rPr>
        <w:t>T</w:t>
      </w:r>
      <w:r w:rsidRPr="00463D42">
        <w:rPr>
          <w:rFonts w:cstheme="minorHAnsi"/>
        </w:rPr>
        <w:t xml:space="preserve">reatment </w:t>
      </w:r>
      <w:r w:rsidR="006A337C" w:rsidRPr="00463D42">
        <w:rPr>
          <w:rFonts w:cstheme="minorHAnsi"/>
        </w:rPr>
        <w:t>W</w:t>
      </w:r>
      <w:r w:rsidRPr="00463D42">
        <w:rPr>
          <w:rFonts w:cstheme="minorHAnsi"/>
        </w:rPr>
        <w:t xml:space="preserve">eighting (IPTW), </w:t>
      </w:r>
      <w:r w:rsidR="006A337C" w:rsidRPr="00463D42">
        <w:rPr>
          <w:rFonts w:cstheme="minorHAnsi"/>
        </w:rPr>
        <w:t>W</w:t>
      </w:r>
      <w:r w:rsidRPr="00463D42">
        <w:rPr>
          <w:rFonts w:cstheme="minorHAnsi"/>
        </w:rPr>
        <w:t xml:space="preserve">eighting by the </w:t>
      </w:r>
      <w:r w:rsidR="006A337C" w:rsidRPr="00463D42">
        <w:rPr>
          <w:rFonts w:cstheme="minorHAnsi"/>
        </w:rPr>
        <w:t>O</w:t>
      </w:r>
      <w:r w:rsidRPr="00463D42">
        <w:rPr>
          <w:rFonts w:cstheme="minorHAnsi"/>
        </w:rPr>
        <w:t xml:space="preserve">dds (WBO), </w:t>
      </w:r>
      <w:r w:rsidR="006A337C" w:rsidRPr="00463D42">
        <w:rPr>
          <w:rFonts w:cstheme="minorHAnsi"/>
        </w:rPr>
        <w:t>S</w:t>
      </w:r>
      <w:r w:rsidRPr="00463D42">
        <w:rPr>
          <w:rFonts w:cstheme="minorHAnsi"/>
        </w:rPr>
        <w:t xml:space="preserve">equential </w:t>
      </w:r>
      <w:r w:rsidR="006A337C" w:rsidRPr="00463D42">
        <w:rPr>
          <w:rFonts w:cstheme="minorHAnsi"/>
        </w:rPr>
        <w:t>P</w:t>
      </w:r>
      <w:r w:rsidR="001D36EF" w:rsidRPr="00463D42">
        <w:rPr>
          <w:rFonts w:cstheme="minorHAnsi"/>
        </w:rPr>
        <w:t xml:space="preserve">robability </w:t>
      </w:r>
      <w:r w:rsidR="006A337C" w:rsidRPr="00463D42">
        <w:rPr>
          <w:rFonts w:cstheme="minorHAnsi"/>
        </w:rPr>
        <w:t>R</w:t>
      </w:r>
      <w:r w:rsidR="001D36EF" w:rsidRPr="00463D42">
        <w:rPr>
          <w:rFonts w:cstheme="minorHAnsi"/>
        </w:rPr>
        <w:t xml:space="preserve">atio </w:t>
      </w:r>
      <w:r w:rsidR="006A337C" w:rsidRPr="00463D42">
        <w:rPr>
          <w:rFonts w:cstheme="minorHAnsi"/>
        </w:rPr>
        <w:t>T</w:t>
      </w:r>
      <w:r w:rsidR="001D36EF" w:rsidRPr="00463D42">
        <w:rPr>
          <w:rFonts w:cstheme="minorHAnsi"/>
        </w:rPr>
        <w:t>esting (SPRT)</w:t>
      </w:r>
      <w:r w:rsidR="004B62FF" w:rsidRPr="00463D42">
        <w:rPr>
          <w:rFonts w:cstheme="minorHAnsi"/>
        </w:rPr>
        <w:t xml:space="preserve"> and propensity </w:t>
      </w:r>
      <w:r w:rsidR="00C13AC3" w:rsidRPr="00463D42">
        <w:rPr>
          <w:rFonts w:cstheme="minorHAnsi"/>
        </w:rPr>
        <w:t xml:space="preserve">score </w:t>
      </w:r>
      <w:r w:rsidR="004B62FF" w:rsidRPr="00463D42">
        <w:rPr>
          <w:rFonts w:cstheme="minorHAnsi"/>
        </w:rPr>
        <w:t>matched survival (PSM-Survival)</w:t>
      </w:r>
      <w:r w:rsidR="001D36EF" w:rsidRPr="00463D42">
        <w:rPr>
          <w:rFonts w:cstheme="minorHAnsi"/>
        </w:rPr>
        <w:t xml:space="preserve">.   </w:t>
      </w:r>
      <w:r w:rsidR="007E7F93">
        <w:rPr>
          <w:rFonts w:cstheme="minorHAnsi"/>
        </w:rPr>
        <w:t>See</w:t>
      </w:r>
      <w:r w:rsidR="007E7F93" w:rsidRPr="00463D42">
        <w:rPr>
          <w:rFonts w:cstheme="minorHAnsi"/>
        </w:rPr>
        <w:t xml:space="preserve"> </w:t>
      </w:r>
      <w:r w:rsidR="001D36EF" w:rsidRPr="00463D42">
        <w:rPr>
          <w:rFonts w:cstheme="minorHAnsi"/>
        </w:rPr>
        <w:t xml:space="preserve">details of the DELTA implementation </w:t>
      </w:r>
      <w:r w:rsidR="007E7F93">
        <w:rPr>
          <w:rFonts w:cstheme="minorHAnsi"/>
        </w:rPr>
        <w:t>for</w:t>
      </w:r>
      <w:r w:rsidR="007E7F93" w:rsidRPr="00463D42">
        <w:rPr>
          <w:rFonts w:cstheme="minorHAnsi"/>
        </w:rPr>
        <w:t xml:space="preserve"> </w:t>
      </w:r>
      <w:r w:rsidR="001D36EF" w:rsidRPr="00463D42">
        <w:rPr>
          <w:rFonts w:cstheme="minorHAnsi"/>
        </w:rPr>
        <w:t>each of these methods described below</w:t>
      </w:r>
      <w:r w:rsidRPr="00463D42">
        <w:rPr>
          <w:rFonts w:cstheme="minorHAnsi"/>
        </w:rPr>
        <w:t>.</w:t>
      </w:r>
    </w:p>
    <w:p w14:paraId="483C9821" w14:textId="77777777" w:rsidR="001D36EF" w:rsidRPr="00463D42" w:rsidRDefault="001D36EF" w:rsidP="004127ED">
      <w:pPr>
        <w:spacing w:after="0" w:line="240" w:lineRule="auto"/>
        <w:jc w:val="both"/>
        <w:rPr>
          <w:rFonts w:cstheme="minorHAnsi"/>
        </w:rPr>
      </w:pPr>
    </w:p>
    <w:p w14:paraId="349ABF02" w14:textId="6C7E8CB5" w:rsidR="001D36EF" w:rsidRPr="00463D42" w:rsidRDefault="006A337C" w:rsidP="004127ED">
      <w:pPr>
        <w:spacing w:after="0" w:line="240" w:lineRule="auto"/>
        <w:jc w:val="both"/>
        <w:rPr>
          <w:rFonts w:cstheme="minorHAnsi"/>
        </w:rPr>
      </w:pPr>
      <w:r w:rsidRPr="00463D42">
        <w:rPr>
          <w:rFonts w:cstheme="minorHAnsi"/>
        </w:rPr>
        <w:t xml:space="preserve">a. </w:t>
      </w:r>
      <w:r w:rsidRPr="00463D42">
        <w:rPr>
          <w:rFonts w:cstheme="minorHAnsi"/>
          <w:u w:val="single"/>
        </w:rPr>
        <w:t>Logistic</w:t>
      </w:r>
      <w:r w:rsidR="001D36EF" w:rsidRPr="00463D42">
        <w:rPr>
          <w:rFonts w:cstheme="minorHAnsi"/>
          <w:u w:val="single"/>
        </w:rPr>
        <w:t xml:space="preserve"> Regression (LR):</w:t>
      </w:r>
      <w:r w:rsidR="001D36EF" w:rsidRPr="00463D42">
        <w:rPr>
          <w:rFonts w:cstheme="minorHAnsi"/>
        </w:rPr>
        <w:t xml:space="preserve">  </w:t>
      </w:r>
      <w:r w:rsidR="003E4026" w:rsidRPr="00463D42">
        <w:rPr>
          <w:rFonts w:cstheme="minorHAnsi"/>
        </w:rPr>
        <w:t>Logistic regression is used to estimate the relationship between one or more independent variables and a binary (dichotomous) outcome variable.</w:t>
      </w:r>
      <w:r w:rsidR="00594F2D" w:rsidRPr="004127ED">
        <w:rPr>
          <w:rFonts w:cstheme="minorHAnsi"/>
          <w:vertAlign w:val="superscript"/>
        </w:rPr>
        <w:t>6</w:t>
      </w:r>
      <w:r w:rsidR="003E4026" w:rsidRPr="00594F2D">
        <w:rPr>
          <w:rFonts w:cstheme="minorHAnsi"/>
          <w:color w:val="FF0000"/>
        </w:rPr>
        <w:t xml:space="preserve"> </w:t>
      </w:r>
      <w:r w:rsidR="003E4026" w:rsidRPr="00463D42">
        <w:rPr>
          <w:rFonts w:cstheme="minorHAnsi"/>
        </w:rPr>
        <w:t>The</w:t>
      </w:r>
      <w:r w:rsidR="001D36EF" w:rsidRPr="00463D42">
        <w:rPr>
          <w:rFonts w:cstheme="minorHAnsi"/>
        </w:rPr>
        <w:t xml:space="preserve"> standard LR model permits the user to select the covariates to be included for adjustment</w:t>
      </w:r>
      <w:r w:rsidR="00990A42" w:rsidRPr="00463D42">
        <w:rPr>
          <w:rFonts w:cstheme="minorHAnsi"/>
        </w:rPr>
        <w:t>, from among all available covariates in the dataset</w:t>
      </w:r>
      <w:r w:rsidR="001D36EF" w:rsidRPr="00463D42">
        <w:rPr>
          <w:rFonts w:cstheme="minorHAnsi"/>
        </w:rPr>
        <w:t xml:space="preserve"> (non-parsimonious).  LR seek</w:t>
      </w:r>
      <w:r w:rsidR="003F6D80" w:rsidRPr="00463D42">
        <w:rPr>
          <w:rFonts w:cstheme="minorHAnsi"/>
        </w:rPr>
        <w:t>s</w:t>
      </w:r>
      <w:r w:rsidR="001D36EF" w:rsidRPr="00463D42">
        <w:rPr>
          <w:rFonts w:cstheme="minorHAnsi"/>
        </w:rPr>
        <w:t xml:space="preserve"> to identify a </w:t>
      </w:r>
      <w:r w:rsidR="007E7F93" w:rsidRPr="00463D42">
        <w:rPr>
          <w:rFonts w:cstheme="minorHAnsi"/>
        </w:rPr>
        <w:t>model that best fits</w:t>
      </w:r>
      <w:r w:rsidR="001D36EF" w:rsidRPr="00463D42">
        <w:rPr>
          <w:rFonts w:cstheme="minorHAnsi"/>
        </w:rPr>
        <w:t xml:space="preserve"> the relationship between a single pre-defined dependent, dichotomous variable and one or more independent variables.  This method generate</w:t>
      </w:r>
      <w:r w:rsidR="001E23CF" w:rsidRPr="00463D42">
        <w:rPr>
          <w:rFonts w:cstheme="minorHAnsi"/>
        </w:rPr>
        <w:t>s</w:t>
      </w:r>
      <w:r w:rsidR="001D36EF" w:rsidRPr="00463D42">
        <w:rPr>
          <w:rFonts w:cstheme="minorHAnsi"/>
        </w:rPr>
        <w:t xml:space="preserve"> coefficients, standard errors, and significance levels which can be applied to a logit or probit transformation to </w:t>
      </w:r>
      <w:r w:rsidR="00A05C0F" w:rsidRPr="00463D42">
        <w:rPr>
          <w:rFonts w:cstheme="minorHAnsi"/>
        </w:rPr>
        <w:t xml:space="preserve">estimate the probability of the outcome, given the covariate distribution for a particular exposure. </w:t>
      </w:r>
      <w:r w:rsidR="00C352C9" w:rsidRPr="00463D42">
        <w:rPr>
          <w:rFonts w:cstheme="minorHAnsi"/>
        </w:rPr>
        <w:t xml:space="preserve">The non-parsimonious implementation of LR allows users to exclude </w:t>
      </w:r>
      <w:r w:rsidR="007E7F93" w:rsidRPr="00463D42">
        <w:rPr>
          <w:rFonts w:cstheme="minorHAnsi"/>
        </w:rPr>
        <w:t>covariates that</w:t>
      </w:r>
      <w:r w:rsidR="00C352C9" w:rsidRPr="00463D42">
        <w:rPr>
          <w:rFonts w:cstheme="minorHAnsi"/>
        </w:rPr>
        <w:t xml:space="preserve"> the model identifies as irrelevant to the outcome.</w:t>
      </w:r>
    </w:p>
    <w:p w14:paraId="4091BE01" w14:textId="77777777" w:rsidR="00A05C0F" w:rsidRPr="00463D42" w:rsidRDefault="00A05C0F" w:rsidP="004127ED">
      <w:pPr>
        <w:spacing w:after="0" w:line="240" w:lineRule="auto"/>
        <w:jc w:val="both"/>
        <w:rPr>
          <w:rFonts w:cstheme="minorHAnsi"/>
        </w:rPr>
      </w:pPr>
    </w:p>
    <w:p w14:paraId="457D9384" w14:textId="5E5E45C1" w:rsidR="00C352C9" w:rsidRPr="00463D42" w:rsidRDefault="00C352C9" w:rsidP="004127ED">
      <w:pPr>
        <w:spacing w:after="0" w:line="240" w:lineRule="auto"/>
        <w:jc w:val="both"/>
        <w:rPr>
          <w:rFonts w:cstheme="minorHAnsi"/>
        </w:rPr>
      </w:pPr>
      <w:r w:rsidRPr="00463D42">
        <w:rPr>
          <w:rFonts w:cstheme="minorHAnsi"/>
        </w:rPr>
        <w:t>In a two-step process, the model is created using the dependent variable and covariates, then trained and fitted against a specified subset of the available data. The amount of data used to train the LR</w:t>
      </w:r>
      <w:r w:rsidR="00A07C9B" w:rsidRPr="00463D42">
        <w:rPr>
          <w:rFonts w:cstheme="minorHAnsi"/>
        </w:rPr>
        <w:t xml:space="preserve"> model</w:t>
      </w:r>
      <w:r w:rsidRPr="00463D42">
        <w:rPr>
          <w:rFonts w:cstheme="minorHAnsi"/>
        </w:rPr>
        <w:t xml:space="preserve"> </w:t>
      </w:r>
      <w:r w:rsidR="00990A42" w:rsidRPr="00463D42">
        <w:rPr>
          <w:rFonts w:cstheme="minorHAnsi"/>
        </w:rPr>
        <w:t xml:space="preserve">is user </w:t>
      </w:r>
      <w:r w:rsidRPr="00463D42">
        <w:rPr>
          <w:rFonts w:cstheme="minorHAnsi"/>
        </w:rPr>
        <w:t>defined</w:t>
      </w:r>
      <w:r w:rsidR="00990A42" w:rsidRPr="00463D42">
        <w:rPr>
          <w:rFonts w:cstheme="minorHAnsi"/>
        </w:rPr>
        <w:t>, and can be a temporal subset of the available data</w:t>
      </w:r>
      <w:r w:rsidRPr="00463D42">
        <w:rPr>
          <w:rFonts w:cstheme="minorHAnsi"/>
        </w:rPr>
        <w:t xml:space="preserve"> (</w:t>
      </w:r>
      <w:r w:rsidR="00EA2B31" w:rsidRPr="00463D42">
        <w:rPr>
          <w:rFonts w:cstheme="minorHAnsi"/>
        </w:rPr>
        <w:t>e</w:t>
      </w:r>
      <w:r w:rsidRPr="00463D42">
        <w:rPr>
          <w:rFonts w:cstheme="minorHAnsi"/>
        </w:rPr>
        <w:t>.</w:t>
      </w:r>
      <w:r w:rsidR="00EA2B31" w:rsidRPr="00463D42">
        <w:rPr>
          <w:rFonts w:cstheme="minorHAnsi"/>
        </w:rPr>
        <w:t>g</w:t>
      </w:r>
      <w:r w:rsidRPr="00463D42">
        <w:rPr>
          <w:rFonts w:cstheme="minorHAnsi"/>
        </w:rPr>
        <w:t>. first quarter, first year, etc.), or a training dataset can be manually specified. If users have configured a temporal training data set, the study data is what remains in the time period after the training data, until the end of the study period.</w:t>
      </w:r>
      <w:r w:rsidR="00591C43" w:rsidRPr="00463D42">
        <w:rPr>
          <w:rFonts w:cstheme="minorHAnsi"/>
        </w:rPr>
        <w:t xml:space="preserve"> After the model is trained, the second step in the analysis applies the model to the study dataset to obtain a predicted probability for each observation.</w:t>
      </w:r>
    </w:p>
    <w:p w14:paraId="7A8D27CA" w14:textId="77777777" w:rsidR="00C352C9" w:rsidRPr="00463D42" w:rsidRDefault="00C352C9" w:rsidP="004127ED">
      <w:pPr>
        <w:spacing w:after="0" w:line="240" w:lineRule="auto"/>
        <w:ind w:left="720"/>
        <w:jc w:val="both"/>
        <w:rPr>
          <w:rFonts w:cstheme="minorHAnsi"/>
        </w:rPr>
      </w:pPr>
    </w:p>
    <w:p w14:paraId="3BE0E959" w14:textId="7D3F215F" w:rsidR="00C352C9" w:rsidRPr="00463D42" w:rsidRDefault="00DC6959" w:rsidP="004127ED">
      <w:pPr>
        <w:spacing w:after="0" w:line="240" w:lineRule="auto"/>
        <w:jc w:val="both"/>
        <w:rPr>
          <w:rFonts w:cstheme="minorHAnsi"/>
        </w:rPr>
      </w:pPr>
      <w:r w:rsidRPr="00463D42">
        <w:rPr>
          <w:rFonts w:cstheme="minorHAnsi"/>
        </w:rPr>
        <w:t xml:space="preserve">b. </w:t>
      </w:r>
      <w:r w:rsidR="00A07C9B" w:rsidRPr="00463D42">
        <w:rPr>
          <w:rFonts w:cstheme="minorHAnsi"/>
          <w:u w:val="single"/>
        </w:rPr>
        <w:t>Logistic Regression with Automated</w:t>
      </w:r>
      <w:r w:rsidR="001D36EF" w:rsidRPr="00463D42">
        <w:rPr>
          <w:rFonts w:cstheme="minorHAnsi"/>
          <w:u w:val="single"/>
        </w:rPr>
        <w:t xml:space="preserve"> Variable Selection</w:t>
      </w:r>
      <w:r w:rsidR="001D36EF" w:rsidRPr="00463D42">
        <w:rPr>
          <w:rFonts w:cstheme="minorHAnsi"/>
        </w:rPr>
        <w:t xml:space="preserve"> (LR-AVS):  </w:t>
      </w:r>
      <w:r w:rsidR="00C352C9" w:rsidRPr="00463D42">
        <w:rPr>
          <w:rFonts w:cstheme="minorHAnsi"/>
        </w:rPr>
        <w:t>Using the LR-AVS implementation, Least Absolute Shrinkage and Selection Operator (LASSO) methodology is used t</w:t>
      </w:r>
      <w:r w:rsidR="00990A42" w:rsidRPr="00463D42">
        <w:rPr>
          <w:rFonts w:cstheme="minorHAnsi"/>
        </w:rPr>
        <w:t>o modulate the influence of mode</w:t>
      </w:r>
      <w:r w:rsidR="00C352C9" w:rsidRPr="00463D42">
        <w:rPr>
          <w:rFonts w:cstheme="minorHAnsi"/>
        </w:rPr>
        <w:t>l covariates.</w:t>
      </w:r>
      <w:r w:rsidR="00594F2D" w:rsidRPr="004127ED">
        <w:rPr>
          <w:rFonts w:cstheme="minorHAnsi"/>
          <w:vertAlign w:val="superscript"/>
        </w:rPr>
        <w:t>7</w:t>
      </w:r>
      <w:r w:rsidR="00C352C9" w:rsidRPr="00463D42">
        <w:rPr>
          <w:rFonts w:cstheme="minorHAnsi"/>
        </w:rPr>
        <w:t xml:space="preserve"> A LASSO coefficient is applied to each covariate, and adjusted to increase, decrease, or by setting the </w:t>
      </w:r>
      <w:r w:rsidR="00A07C9B" w:rsidRPr="00463D42">
        <w:rPr>
          <w:rFonts w:cstheme="minorHAnsi"/>
        </w:rPr>
        <w:t>coefficient to</w:t>
      </w:r>
      <w:r w:rsidR="00C352C9" w:rsidRPr="00463D42">
        <w:rPr>
          <w:rFonts w:cstheme="minorHAnsi"/>
        </w:rPr>
        <w:t xml:space="preserve"> 0, completely attenuate the influence of that specific variable. </w:t>
      </w:r>
      <w:r w:rsidR="0074790D" w:rsidRPr="00463D42">
        <w:rPr>
          <w:rFonts w:cstheme="minorHAnsi"/>
        </w:rPr>
        <w:t>Variable selection is achieved by removing co</w:t>
      </w:r>
      <w:r w:rsidR="00C352C9" w:rsidRPr="00463D42">
        <w:rPr>
          <w:rFonts w:cstheme="minorHAnsi"/>
        </w:rPr>
        <w:t xml:space="preserve">variates </w:t>
      </w:r>
      <w:r w:rsidR="0074790D" w:rsidRPr="00463D42">
        <w:rPr>
          <w:rFonts w:cstheme="minorHAnsi"/>
        </w:rPr>
        <w:t xml:space="preserve">with a </w:t>
      </w:r>
      <w:r w:rsidR="00C352C9" w:rsidRPr="00463D42">
        <w:rPr>
          <w:rFonts w:cstheme="minorHAnsi"/>
        </w:rPr>
        <w:t xml:space="preserve">LASSO coefficients </w:t>
      </w:r>
      <w:r w:rsidR="0074790D" w:rsidRPr="00463D42">
        <w:rPr>
          <w:rFonts w:cstheme="minorHAnsi"/>
        </w:rPr>
        <w:t>of</w:t>
      </w:r>
      <w:r w:rsidR="00C352C9" w:rsidRPr="00463D42">
        <w:rPr>
          <w:rFonts w:cstheme="minorHAnsi"/>
        </w:rPr>
        <w:t xml:space="preserve"> 0.</w:t>
      </w:r>
      <w:r w:rsidR="00A07C9B" w:rsidRPr="00463D42">
        <w:rPr>
          <w:rFonts w:cstheme="minorHAnsi"/>
        </w:rPr>
        <w:t xml:space="preserve"> The LR-AVS </w:t>
      </w:r>
      <w:r w:rsidR="00797F3A" w:rsidRPr="00463D42">
        <w:rPr>
          <w:rFonts w:cstheme="minorHAnsi"/>
        </w:rPr>
        <w:t xml:space="preserve">and LR </w:t>
      </w:r>
      <w:r w:rsidR="00A07C9B" w:rsidRPr="00463D42">
        <w:rPr>
          <w:rFonts w:cstheme="minorHAnsi"/>
        </w:rPr>
        <w:t>technique</w:t>
      </w:r>
      <w:r w:rsidR="00797F3A" w:rsidRPr="00463D42">
        <w:rPr>
          <w:rFonts w:cstheme="minorHAnsi"/>
        </w:rPr>
        <w:t>s are</w:t>
      </w:r>
      <w:r w:rsidR="00A07C9B" w:rsidRPr="00463D42">
        <w:rPr>
          <w:rFonts w:cstheme="minorHAnsi"/>
        </w:rPr>
        <w:t xml:space="preserve"> similar </w:t>
      </w:r>
      <w:r w:rsidR="00797F3A" w:rsidRPr="00463D42">
        <w:rPr>
          <w:rFonts w:cstheme="minorHAnsi"/>
        </w:rPr>
        <w:t>except that LR-AVS applies variable selection to identify which covariates are to be included in the model.</w:t>
      </w:r>
    </w:p>
    <w:p w14:paraId="0270E7F7" w14:textId="77777777" w:rsidR="00C352C9" w:rsidRPr="00463D42" w:rsidRDefault="00C352C9" w:rsidP="004127ED">
      <w:pPr>
        <w:spacing w:after="0" w:line="240" w:lineRule="auto"/>
        <w:ind w:left="720"/>
        <w:jc w:val="both"/>
        <w:rPr>
          <w:rFonts w:cstheme="minorHAnsi"/>
        </w:rPr>
      </w:pPr>
    </w:p>
    <w:p w14:paraId="2E7CD8F8" w14:textId="0DC0B403" w:rsidR="00664252" w:rsidRDefault="00AB5A35" w:rsidP="004127ED">
      <w:pPr>
        <w:spacing w:after="0" w:line="240" w:lineRule="auto"/>
        <w:jc w:val="both"/>
        <w:rPr>
          <w:rFonts w:cstheme="minorHAnsi"/>
        </w:rPr>
      </w:pPr>
      <w:r w:rsidRPr="00463D42">
        <w:rPr>
          <w:rFonts w:cstheme="minorHAnsi"/>
        </w:rPr>
        <w:t xml:space="preserve">c.  </w:t>
      </w:r>
      <w:r w:rsidRPr="00463D42">
        <w:rPr>
          <w:rFonts w:cstheme="minorHAnsi"/>
          <w:u w:val="single"/>
        </w:rPr>
        <w:t xml:space="preserve">Propensity </w:t>
      </w:r>
      <w:r w:rsidR="00A07C9B" w:rsidRPr="00463D42">
        <w:rPr>
          <w:rFonts w:cstheme="minorHAnsi"/>
          <w:u w:val="single"/>
        </w:rPr>
        <w:t xml:space="preserve">Score </w:t>
      </w:r>
      <w:r w:rsidRPr="00463D42">
        <w:rPr>
          <w:rFonts w:cstheme="minorHAnsi"/>
          <w:u w:val="single"/>
        </w:rPr>
        <w:t>Matching</w:t>
      </w:r>
      <w:r w:rsidRPr="00463D42">
        <w:rPr>
          <w:rFonts w:cstheme="minorHAnsi"/>
        </w:rPr>
        <w:t xml:space="preserve">:  The propensity score model (PSM) methods (propensity matching, WBO, and IPTW) implemented within DELTA share a common methodology in that each seeks to estimate outcome frequency by first calculating propensity scores (PS) for individual patients. Propensity scores based on a patient’s clinical characteristics describe the probability of exposure to a treatment of interest </w:t>
      </w:r>
      <w:r w:rsidR="00990A42" w:rsidRPr="00463D42">
        <w:rPr>
          <w:rFonts w:cstheme="minorHAnsi"/>
        </w:rPr>
        <w:t xml:space="preserve">as compared to an alternative </w:t>
      </w:r>
      <w:r w:rsidRPr="003D0105">
        <w:rPr>
          <w:rFonts w:cstheme="minorHAnsi"/>
        </w:rPr>
        <w:t>treatment.</w:t>
      </w:r>
      <w:r w:rsidR="00594F2D" w:rsidRPr="003D0105">
        <w:rPr>
          <w:rFonts w:cstheme="minorHAnsi"/>
          <w:vertAlign w:val="superscript"/>
        </w:rPr>
        <w:t>8, 9</w:t>
      </w:r>
      <w:r w:rsidR="003D0105">
        <w:rPr>
          <w:rFonts w:cstheme="minorHAnsi"/>
        </w:rPr>
        <w:t xml:space="preserve"> </w:t>
      </w:r>
      <w:r w:rsidRPr="00463D42">
        <w:rPr>
          <w:rFonts w:cstheme="minorHAnsi"/>
        </w:rPr>
        <w:t xml:space="preserve">The </w:t>
      </w:r>
      <w:r w:rsidR="00FC673A" w:rsidRPr="00463D42">
        <w:rPr>
          <w:rFonts w:cstheme="minorHAnsi"/>
        </w:rPr>
        <w:t>p</w:t>
      </w:r>
      <w:r w:rsidRPr="00463D42">
        <w:rPr>
          <w:rFonts w:cstheme="minorHAnsi"/>
        </w:rPr>
        <w:t xml:space="preserve">ropensity matching and WBO methods seek to estimate the </w:t>
      </w:r>
      <w:r w:rsidR="00664252">
        <w:rPr>
          <w:rFonts w:cstheme="minorHAnsi"/>
        </w:rPr>
        <w:t>“</w:t>
      </w:r>
      <w:r w:rsidRPr="00463D42">
        <w:rPr>
          <w:rFonts w:cstheme="minorHAnsi"/>
        </w:rPr>
        <w:t>average effect of the treatment on the treated</w:t>
      </w:r>
      <w:r w:rsidR="00664252">
        <w:rPr>
          <w:rFonts w:cstheme="minorHAnsi"/>
        </w:rPr>
        <w:t>”</w:t>
      </w:r>
      <w:r w:rsidRPr="00463D42">
        <w:rPr>
          <w:rFonts w:cstheme="minorHAnsi"/>
        </w:rPr>
        <w:t xml:space="preserve"> (ATT</w:t>
      </w:r>
      <w:r w:rsidR="00953805" w:rsidRPr="00463D42">
        <w:rPr>
          <w:rFonts w:cstheme="minorHAnsi"/>
        </w:rPr>
        <w:t>).</w:t>
      </w:r>
      <w:r w:rsidR="00594F2D" w:rsidRPr="003D0105">
        <w:rPr>
          <w:rFonts w:cstheme="minorHAnsi"/>
          <w:vertAlign w:val="superscript"/>
        </w:rPr>
        <w:t>10, 11</w:t>
      </w:r>
      <w:r w:rsidR="00953805" w:rsidRPr="003D0105">
        <w:rPr>
          <w:rFonts w:cstheme="minorHAnsi"/>
        </w:rPr>
        <w:t xml:space="preserve"> </w:t>
      </w:r>
      <w:r w:rsidR="00953805" w:rsidRPr="00463D42">
        <w:rPr>
          <w:rFonts w:cstheme="minorHAnsi"/>
        </w:rPr>
        <w:t xml:space="preserve">ATT Is </w:t>
      </w:r>
      <w:r w:rsidR="00664252">
        <w:rPr>
          <w:rFonts w:cstheme="minorHAnsi"/>
        </w:rPr>
        <w:t>what</w:t>
      </w:r>
      <w:r w:rsidR="00953805" w:rsidRPr="00463D42">
        <w:rPr>
          <w:rFonts w:cstheme="minorHAnsi"/>
        </w:rPr>
        <w:t xml:space="preserve"> would be </w:t>
      </w:r>
      <w:r w:rsidR="00990A42" w:rsidRPr="00463D42">
        <w:rPr>
          <w:rFonts w:cstheme="minorHAnsi"/>
        </w:rPr>
        <w:t>expected</w:t>
      </w:r>
      <w:r w:rsidR="00953805" w:rsidRPr="00463D42">
        <w:rPr>
          <w:rFonts w:cstheme="minorHAnsi"/>
        </w:rPr>
        <w:t xml:space="preserve"> if everyone in the treated group received the treatment, compared to if no one in the treated group received the treatment.</w:t>
      </w:r>
      <w:r w:rsidR="00594F2D">
        <w:rPr>
          <w:rFonts w:cstheme="minorHAnsi"/>
        </w:rPr>
        <w:t xml:space="preserve"> </w:t>
      </w:r>
      <w:r w:rsidR="00953805" w:rsidRPr="00463D42">
        <w:rPr>
          <w:rFonts w:cstheme="minorHAnsi"/>
        </w:rPr>
        <w:t xml:space="preserve"> </w:t>
      </w:r>
      <w:r w:rsidR="00FC673A" w:rsidRPr="00463D42">
        <w:rPr>
          <w:rFonts w:cstheme="minorHAnsi"/>
        </w:rPr>
        <w:t xml:space="preserve">Matching seeks to identify </w:t>
      </w:r>
      <w:r w:rsidR="00621F63" w:rsidRPr="00463D42">
        <w:rPr>
          <w:rFonts w:cstheme="minorHAnsi"/>
        </w:rPr>
        <w:t xml:space="preserve">a </w:t>
      </w:r>
      <w:r w:rsidR="00FC673A" w:rsidRPr="00463D42">
        <w:rPr>
          <w:rFonts w:cstheme="minorHAnsi"/>
        </w:rPr>
        <w:t xml:space="preserve">control </w:t>
      </w:r>
      <w:r w:rsidR="00621F63" w:rsidRPr="00463D42">
        <w:rPr>
          <w:rFonts w:cstheme="minorHAnsi"/>
        </w:rPr>
        <w:t xml:space="preserve">case with the most similar propensity score for each treated case. </w:t>
      </w:r>
    </w:p>
    <w:p w14:paraId="76D8B5DD" w14:textId="77777777" w:rsidR="00664252" w:rsidRDefault="00664252" w:rsidP="004127ED">
      <w:pPr>
        <w:spacing w:after="0" w:line="240" w:lineRule="auto"/>
        <w:jc w:val="both"/>
        <w:rPr>
          <w:rFonts w:cstheme="minorHAnsi"/>
        </w:rPr>
      </w:pPr>
    </w:p>
    <w:p w14:paraId="2A9504F5" w14:textId="196360EE" w:rsidR="00AB5A35" w:rsidRPr="00463D42" w:rsidRDefault="00AB5A35" w:rsidP="004127ED">
      <w:pPr>
        <w:spacing w:after="0" w:line="240" w:lineRule="auto"/>
        <w:jc w:val="both"/>
        <w:rPr>
          <w:rFonts w:cstheme="minorHAnsi"/>
        </w:rPr>
      </w:pPr>
      <w:r w:rsidRPr="00463D42">
        <w:rPr>
          <w:rFonts w:cstheme="minorHAnsi"/>
        </w:rPr>
        <w:t>DELTA provides a variety of configurable parameters in regards to matching patien</w:t>
      </w:r>
      <w:r w:rsidR="003D0105">
        <w:rPr>
          <w:rFonts w:cstheme="minorHAnsi"/>
        </w:rPr>
        <w:t xml:space="preserve">ts based on propensity scores. </w:t>
      </w:r>
      <w:r w:rsidRPr="00463D42">
        <w:rPr>
          <w:rFonts w:cstheme="minorHAnsi"/>
        </w:rPr>
        <w:t>In order to match patients with differing PS values, a pre-specified difference between scores, referred to as a caliper width</w:t>
      </w:r>
      <w:r w:rsidR="00594F2D" w:rsidRPr="003D0105">
        <w:rPr>
          <w:rFonts w:cstheme="minorHAnsi"/>
          <w:vertAlign w:val="superscript"/>
        </w:rPr>
        <w:t>12</w:t>
      </w:r>
      <w:r w:rsidRPr="00463D42">
        <w:rPr>
          <w:rFonts w:cstheme="minorHAnsi"/>
        </w:rPr>
        <w:t xml:space="preserve">, can be </w:t>
      </w:r>
      <w:r w:rsidR="00990A42" w:rsidRPr="00463D42">
        <w:rPr>
          <w:rFonts w:cstheme="minorHAnsi"/>
        </w:rPr>
        <w:t>defined by the user</w:t>
      </w:r>
      <w:r w:rsidRPr="00463D42">
        <w:rPr>
          <w:rFonts w:cstheme="minorHAnsi"/>
        </w:rPr>
        <w:t xml:space="preserve"> within DELTA. Alternatively, </w:t>
      </w:r>
      <w:r w:rsidR="00A01329" w:rsidRPr="00463D42">
        <w:rPr>
          <w:rFonts w:cstheme="minorHAnsi"/>
        </w:rPr>
        <w:t xml:space="preserve">matching can be </w:t>
      </w:r>
      <w:r w:rsidR="00A01329" w:rsidRPr="00463D42">
        <w:rPr>
          <w:rFonts w:cstheme="minorHAnsi"/>
        </w:rPr>
        <w:lastRenderedPageBreak/>
        <w:t>done on the logit of the propensity score</w:t>
      </w:r>
      <w:r w:rsidR="00A66646" w:rsidRPr="00463D42">
        <w:rPr>
          <w:rFonts w:cstheme="minorHAnsi"/>
        </w:rPr>
        <w:t>,</w:t>
      </w:r>
      <w:r w:rsidR="00A01329" w:rsidRPr="00463D42">
        <w:rPr>
          <w:rFonts w:cstheme="minorHAnsi"/>
        </w:rPr>
        <w:t xml:space="preserve"> using an optimal width defined as a proportion of 0.2 of </w:t>
      </w:r>
      <w:r w:rsidRPr="00463D42">
        <w:rPr>
          <w:rFonts w:cstheme="minorHAnsi"/>
        </w:rPr>
        <w:t xml:space="preserve">the </w:t>
      </w:r>
      <w:r w:rsidR="00A01329" w:rsidRPr="00463D42">
        <w:rPr>
          <w:rFonts w:cstheme="minorHAnsi"/>
        </w:rPr>
        <w:t xml:space="preserve">pooled </w:t>
      </w:r>
      <w:r w:rsidRPr="00463D42">
        <w:rPr>
          <w:rFonts w:cstheme="minorHAnsi"/>
        </w:rPr>
        <w:t>standard deviation of the logit of the propensity score.</w:t>
      </w:r>
      <w:r w:rsidR="00594F2D" w:rsidRPr="009912EA">
        <w:rPr>
          <w:rFonts w:cstheme="minorHAnsi"/>
          <w:vertAlign w:val="superscript"/>
        </w:rPr>
        <w:t>12, 13</w:t>
      </w:r>
      <w:r w:rsidRPr="009912EA">
        <w:rPr>
          <w:rFonts w:cstheme="minorHAnsi"/>
        </w:rPr>
        <w:t xml:space="preserve"> </w:t>
      </w:r>
      <w:r w:rsidRPr="00463D42">
        <w:rPr>
          <w:rFonts w:cstheme="minorHAnsi"/>
        </w:rPr>
        <w:t>Patient matching ratios of 1</w:t>
      </w:r>
      <w:r w:rsidR="009912EA" w:rsidRPr="00463D42">
        <w:rPr>
          <w:rFonts w:cstheme="minorHAnsi"/>
        </w:rPr>
        <w:t>: n</w:t>
      </w:r>
      <w:r w:rsidRPr="00463D42">
        <w:rPr>
          <w:rFonts w:cstheme="minorHAnsi"/>
          <w:i/>
        </w:rPr>
        <w:t xml:space="preserve">, </w:t>
      </w:r>
      <w:r w:rsidRPr="00463D42">
        <w:rPr>
          <w:rFonts w:cstheme="minorHAnsi"/>
        </w:rPr>
        <w:t>with or without replacement, can be defined by the user</w:t>
      </w:r>
      <w:r w:rsidR="009912EA">
        <w:rPr>
          <w:rFonts w:cstheme="minorHAnsi"/>
        </w:rPr>
        <w:t>,</w:t>
      </w:r>
      <w:r w:rsidR="009912EA" w:rsidRPr="00463D42">
        <w:rPr>
          <w:rFonts w:cstheme="minorHAnsi"/>
        </w:rPr>
        <w:t xml:space="preserve"> </w:t>
      </w:r>
      <w:r w:rsidR="009912EA">
        <w:rPr>
          <w:rFonts w:cstheme="minorHAnsi"/>
        </w:rPr>
        <w:t>as</w:t>
      </w:r>
      <w:r w:rsidR="00664252">
        <w:rPr>
          <w:rFonts w:cstheme="minorHAnsi"/>
        </w:rPr>
        <w:t xml:space="preserve"> well as selecting</w:t>
      </w:r>
      <w:r w:rsidRPr="00463D42">
        <w:rPr>
          <w:rFonts w:cstheme="minorHAnsi"/>
        </w:rPr>
        <w:t xml:space="preserve"> a random match order, or a “rarest first” approach in which patients with the fewest possible matches are matched first. When patients have multiple matches DELTA can be configured to randomly match patients or match based on closest/nearest PS.</w:t>
      </w:r>
      <w:r w:rsidR="000918D2" w:rsidRPr="00463D42">
        <w:rPr>
          <w:rFonts w:cstheme="minorHAnsi"/>
        </w:rPr>
        <w:t xml:space="preserve"> The treatment effect is derived </w:t>
      </w:r>
      <w:r w:rsidR="00DA3D4C" w:rsidRPr="00463D42">
        <w:rPr>
          <w:rFonts w:cstheme="minorHAnsi"/>
        </w:rPr>
        <w:t>from</w:t>
      </w:r>
      <w:r w:rsidR="000918D2" w:rsidRPr="00463D42">
        <w:rPr>
          <w:rFonts w:cstheme="minorHAnsi"/>
        </w:rPr>
        <w:t xml:space="preserve"> the odds ratio for the treatment variable in a generalized linear model (GLM) </w:t>
      </w:r>
      <w:r w:rsidR="00D63CBC" w:rsidRPr="00463D42">
        <w:rPr>
          <w:rFonts w:cstheme="minorHAnsi"/>
        </w:rPr>
        <w:t xml:space="preserve">with a logit link function </w:t>
      </w:r>
      <w:r w:rsidR="000918D2" w:rsidRPr="00463D42">
        <w:rPr>
          <w:rFonts w:cstheme="minorHAnsi"/>
        </w:rPr>
        <w:t>where</w:t>
      </w:r>
      <w:r w:rsidR="00DA3D4C" w:rsidRPr="00463D42">
        <w:rPr>
          <w:rFonts w:cstheme="minorHAnsi"/>
        </w:rPr>
        <w:t>in</w:t>
      </w:r>
      <w:r w:rsidR="000918D2" w:rsidRPr="00463D42">
        <w:rPr>
          <w:rFonts w:cstheme="minorHAnsi"/>
        </w:rPr>
        <w:t xml:space="preserve"> the outcome and treatment are used as the dependent and independent variables</w:t>
      </w:r>
      <w:r w:rsidR="00CB641A" w:rsidRPr="00463D42">
        <w:rPr>
          <w:rFonts w:cstheme="minorHAnsi"/>
        </w:rPr>
        <w:t>,</w:t>
      </w:r>
      <w:r w:rsidR="000918D2" w:rsidRPr="00463D42">
        <w:rPr>
          <w:rFonts w:cstheme="minorHAnsi"/>
        </w:rPr>
        <w:t xml:space="preserve"> respectively. The model use</w:t>
      </w:r>
      <w:r w:rsidR="00CB641A" w:rsidRPr="00463D42">
        <w:rPr>
          <w:rFonts w:cstheme="minorHAnsi"/>
        </w:rPr>
        <w:t>s</w:t>
      </w:r>
      <w:r w:rsidR="000918D2" w:rsidRPr="00463D42">
        <w:rPr>
          <w:rFonts w:cstheme="minorHAnsi"/>
        </w:rPr>
        <w:t xml:space="preserve"> only data for the matched treated and control cases.</w:t>
      </w:r>
    </w:p>
    <w:p w14:paraId="5358BB40" w14:textId="77777777" w:rsidR="00627175" w:rsidRPr="00463D42" w:rsidRDefault="00627175" w:rsidP="004127ED">
      <w:pPr>
        <w:spacing w:after="0" w:line="240" w:lineRule="auto"/>
        <w:jc w:val="both"/>
        <w:rPr>
          <w:rFonts w:cstheme="minorHAnsi"/>
        </w:rPr>
      </w:pPr>
    </w:p>
    <w:p w14:paraId="380E4BCB" w14:textId="33444432" w:rsidR="00526102" w:rsidRPr="00463D42" w:rsidRDefault="00627175" w:rsidP="004127ED">
      <w:pPr>
        <w:spacing w:after="0" w:line="240" w:lineRule="auto"/>
        <w:jc w:val="both"/>
        <w:rPr>
          <w:rFonts w:cstheme="minorHAnsi"/>
        </w:rPr>
      </w:pPr>
      <w:r w:rsidRPr="00463D42">
        <w:rPr>
          <w:rFonts w:cstheme="minorHAnsi"/>
        </w:rPr>
        <w:t xml:space="preserve">d. </w:t>
      </w:r>
      <w:r w:rsidRPr="00463D42">
        <w:rPr>
          <w:rFonts w:cstheme="minorHAnsi"/>
          <w:u w:val="single"/>
        </w:rPr>
        <w:t>Inverse</w:t>
      </w:r>
      <w:r w:rsidR="00AB5A35" w:rsidRPr="00463D42">
        <w:rPr>
          <w:rFonts w:cstheme="minorHAnsi"/>
          <w:u w:val="single"/>
        </w:rPr>
        <w:t xml:space="preserve"> Probability Treatment Weighting (IPTW)</w:t>
      </w:r>
      <w:r w:rsidR="00AB5A35" w:rsidRPr="00463D42">
        <w:rPr>
          <w:rFonts w:cstheme="minorHAnsi"/>
        </w:rPr>
        <w:t>:  Unlike the propensity matching and WBO methods, the IPTW method uses propensity scores to estimate the average treatment effect (ATE</w:t>
      </w:r>
      <w:r w:rsidR="00E37A4B" w:rsidRPr="00463D42">
        <w:rPr>
          <w:rFonts w:cstheme="minorHAnsi"/>
        </w:rPr>
        <w:t>)</w:t>
      </w:r>
      <w:r w:rsidR="00E37A4B" w:rsidRPr="00463D42">
        <w:rPr>
          <w:rFonts w:cstheme="minorHAnsi"/>
          <w:vertAlign w:val="superscript"/>
        </w:rPr>
        <w:t xml:space="preserve"> </w:t>
      </w:r>
      <w:r w:rsidR="00594F2D" w:rsidRPr="009912EA">
        <w:rPr>
          <w:rFonts w:cstheme="minorHAnsi"/>
          <w:vertAlign w:val="superscript"/>
        </w:rPr>
        <w:t>11</w:t>
      </w:r>
      <w:r w:rsidR="00AB5A35" w:rsidRPr="00463D42">
        <w:rPr>
          <w:rFonts w:cstheme="minorHAnsi"/>
        </w:rPr>
        <w:t xml:space="preserve"> with</w:t>
      </w:r>
      <w:r w:rsidR="00E37A4B" w:rsidRPr="00463D42">
        <w:rPr>
          <w:rFonts w:cstheme="minorHAnsi"/>
        </w:rPr>
        <w:t xml:space="preserve"> the use of weights</w:t>
      </w:r>
      <w:r w:rsidR="00AB5A35" w:rsidRPr="00463D42">
        <w:rPr>
          <w:rFonts w:cstheme="minorHAnsi"/>
        </w:rPr>
        <w:t xml:space="preserve">.   </w:t>
      </w:r>
      <w:r w:rsidR="00E37A4B" w:rsidRPr="00463D42">
        <w:rPr>
          <w:rFonts w:cstheme="minorHAnsi"/>
        </w:rPr>
        <w:t xml:space="preserve">Each case is weighted by the inverse probability of receiving the treatment that they actually received. </w:t>
      </w:r>
      <w:r w:rsidR="00594F2D">
        <w:rPr>
          <w:rFonts w:cstheme="minorHAnsi"/>
        </w:rPr>
        <w:t xml:space="preserve"> </w:t>
      </w:r>
      <w:r w:rsidR="0088336E" w:rsidRPr="00463D42">
        <w:rPr>
          <w:rFonts w:cstheme="minorHAnsi"/>
        </w:rPr>
        <w:t>C</w:t>
      </w:r>
      <w:r w:rsidR="00E37A4B" w:rsidRPr="00463D42">
        <w:rPr>
          <w:rFonts w:cstheme="minorHAnsi"/>
        </w:rPr>
        <w:t xml:space="preserve">ases in </w:t>
      </w:r>
      <w:r w:rsidR="00AB5A35" w:rsidRPr="00463D42">
        <w:rPr>
          <w:rFonts w:cstheme="minorHAnsi"/>
        </w:rPr>
        <w:t xml:space="preserve">the treated </w:t>
      </w:r>
      <w:r w:rsidR="00F13C1F" w:rsidRPr="00463D42">
        <w:rPr>
          <w:rFonts w:cstheme="minorHAnsi"/>
        </w:rPr>
        <w:t>group are</w:t>
      </w:r>
      <w:r w:rsidR="00AB5A35" w:rsidRPr="00463D42">
        <w:rPr>
          <w:rFonts w:cstheme="minorHAnsi"/>
        </w:rPr>
        <w:t xml:space="preserve"> assigned a weight</w:t>
      </w:r>
      <w:r w:rsidR="00E37A4B" w:rsidRPr="00463D42">
        <w:rPr>
          <w:rFonts w:cstheme="minorHAnsi"/>
        </w:rPr>
        <w:t xml:space="preserve"> equal </w:t>
      </w:r>
      <w:r w:rsidR="0088336E" w:rsidRPr="00463D42">
        <w:rPr>
          <w:rFonts w:cstheme="minorHAnsi"/>
        </w:rPr>
        <w:t>to</w:t>
      </w:r>
      <w:r w:rsidR="00035AE2" w:rsidRPr="00463D42">
        <w:rPr>
          <w:rFonts w:cstheme="minorHAnsi"/>
        </w:rPr>
        <w:t xml:space="preserve"> </w:t>
      </w:r>
      <w:r w:rsidR="00AB5A35" w:rsidRPr="00463D42">
        <w:rPr>
          <w:rFonts w:cstheme="minorHAnsi"/>
        </w:rPr>
        <w:t xml:space="preserve">1/PS, and </w:t>
      </w:r>
      <w:r w:rsidR="00E37A4B" w:rsidRPr="00463D42">
        <w:rPr>
          <w:rFonts w:cstheme="minorHAnsi"/>
        </w:rPr>
        <w:t xml:space="preserve">cases in the control groups are assigned a weight equal to </w:t>
      </w:r>
      <w:r w:rsidR="00AB5A35" w:rsidRPr="00463D42">
        <w:rPr>
          <w:rFonts w:cstheme="minorHAnsi"/>
        </w:rPr>
        <w:t>1</w:t>
      </w:r>
      <w:r w:rsidR="00035AE2" w:rsidRPr="00463D42">
        <w:rPr>
          <w:rFonts w:cstheme="minorHAnsi"/>
        </w:rPr>
        <w:t xml:space="preserve">/ </w:t>
      </w:r>
      <w:r w:rsidR="000918D2" w:rsidRPr="00463D42">
        <w:rPr>
          <w:rFonts w:cstheme="minorHAnsi"/>
        </w:rPr>
        <w:t>(</w:t>
      </w:r>
      <w:r w:rsidR="00AB5A35" w:rsidRPr="00463D42">
        <w:rPr>
          <w:rFonts w:cstheme="minorHAnsi"/>
        </w:rPr>
        <w:t>1-PS</w:t>
      </w:r>
      <w:r w:rsidR="00E37A4B" w:rsidRPr="00463D42">
        <w:rPr>
          <w:rFonts w:cstheme="minorHAnsi"/>
        </w:rPr>
        <w:t>)</w:t>
      </w:r>
      <w:r w:rsidR="00AB5A35" w:rsidRPr="00463D42">
        <w:rPr>
          <w:rFonts w:cstheme="minorHAnsi"/>
        </w:rPr>
        <w:t>.</w:t>
      </w:r>
      <w:r w:rsidR="00594F2D" w:rsidRPr="00E25FAD">
        <w:rPr>
          <w:rFonts w:cstheme="minorHAnsi"/>
          <w:vertAlign w:val="superscript"/>
        </w:rPr>
        <w:t>14</w:t>
      </w:r>
      <w:r w:rsidR="00AB5A35" w:rsidRPr="00463D42">
        <w:rPr>
          <w:rFonts w:cstheme="minorHAnsi"/>
        </w:rPr>
        <w:t xml:space="preserve"> </w:t>
      </w:r>
      <w:r w:rsidR="00E37A4B" w:rsidRPr="00463D42">
        <w:rPr>
          <w:rFonts w:cstheme="minorHAnsi"/>
        </w:rPr>
        <w:t xml:space="preserve">A generalized linear model </w:t>
      </w:r>
      <w:r w:rsidR="001E3382" w:rsidRPr="00463D42">
        <w:rPr>
          <w:rFonts w:cstheme="minorHAnsi"/>
        </w:rPr>
        <w:t>using</w:t>
      </w:r>
      <w:r w:rsidR="000918D2" w:rsidRPr="00463D42">
        <w:rPr>
          <w:rFonts w:cstheme="minorHAnsi"/>
        </w:rPr>
        <w:t xml:space="preserve"> a logit link function and the assigned weights is used to derive the treatment effects as the odds ratio for the treatment </w:t>
      </w:r>
      <w:r w:rsidR="00D63CBC" w:rsidRPr="00463D42">
        <w:rPr>
          <w:rFonts w:cstheme="minorHAnsi"/>
        </w:rPr>
        <w:t xml:space="preserve">variable. The model uses the </w:t>
      </w:r>
      <w:r w:rsidR="000918D2" w:rsidRPr="00463D42">
        <w:rPr>
          <w:rFonts w:cstheme="minorHAnsi"/>
        </w:rPr>
        <w:t>outcome</w:t>
      </w:r>
      <w:r w:rsidR="00D63CBC" w:rsidRPr="00463D42">
        <w:rPr>
          <w:rFonts w:cstheme="minorHAnsi"/>
        </w:rPr>
        <w:t xml:space="preserve"> and treatment as </w:t>
      </w:r>
      <w:r w:rsidR="000918D2" w:rsidRPr="00463D42">
        <w:rPr>
          <w:rFonts w:cstheme="minorHAnsi"/>
        </w:rPr>
        <w:t xml:space="preserve">the dependent </w:t>
      </w:r>
      <w:r w:rsidR="00D63CBC" w:rsidRPr="00463D42">
        <w:rPr>
          <w:rFonts w:cstheme="minorHAnsi"/>
        </w:rPr>
        <w:t xml:space="preserve">and </w:t>
      </w:r>
      <w:r w:rsidR="000918D2" w:rsidRPr="00463D42">
        <w:rPr>
          <w:rFonts w:cstheme="minorHAnsi"/>
        </w:rPr>
        <w:t>independent variable</w:t>
      </w:r>
      <w:r w:rsidR="00035AE2" w:rsidRPr="00463D42">
        <w:rPr>
          <w:rFonts w:cstheme="minorHAnsi"/>
        </w:rPr>
        <w:t>,</w:t>
      </w:r>
      <w:r w:rsidR="00D63CBC" w:rsidRPr="00463D42">
        <w:rPr>
          <w:rFonts w:cstheme="minorHAnsi"/>
        </w:rPr>
        <w:t xml:space="preserve"> respectively</w:t>
      </w:r>
      <w:r w:rsidR="000918D2" w:rsidRPr="00463D42">
        <w:rPr>
          <w:rFonts w:cstheme="minorHAnsi"/>
        </w:rPr>
        <w:t xml:space="preserve">. </w:t>
      </w:r>
      <w:r w:rsidR="00D63CBC" w:rsidRPr="00463D42">
        <w:rPr>
          <w:rFonts w:cstheme="minorHAnsi"/>
        </w:rPr>
        <w:t xml:space="preserve">Unlike </w:t>
      </w:r>
      <w:r w:rsidR="001E3382" w:rsidRPr="00463D42">
        <w:rPr>
          <w:rFonts w:cstheme="minorHAnsi"/>
        </w:rPr>
        <w:t xml:space="preserve">the </w:t>
      </w:r>
      <w:r w:rsidR="00035AE2" w:rsidRPr="00463D42">
        <w:rPr>
          <w:rFonts w:cstheme="minorHAnsi"/>
        </w:rPr>
        <w:t>PSM</w:t>
      </w:r>
      <w:r w:rsidR="00D63CBC" w:rsidRPr="00463D42">
        <w:rPr>
          <w:rFonts w:cstheme="minorHAnsi"/>
        </w:rPr>
        <w:t xml:space="preserve"> </w:t>
      </w:r>
      <w:r w:rsidR="001E3382" w:rsidRPr="00463D42">
        <w:rPr>
          <w:rFonts w:cstheme="minorHAnsi"/>
        </w:rPr>
        <w:t xml:space="preserve">method </w:t>
      </w:r>
      <w:r w:rsidR="00D63CBC" w:rsidRPr="00463D42">
        <w:rPr>
          <w:rFonts w:cstheme="minorHAnsi"/>
        </w:rPr>
        <w:t>where data is limited to only the matched</w:t>
      </w:r>
      <w:r w:rsidR="00E03D0C" w:rsidRPr="00463D42">
        <w:rPr>
          <w:rFonts w:cstheme="minorHAnsi"/>
        </w:rPr>
        <w:t xml:space="preserve"> population, IPTW uses all case</w:t>
      </w:r>
      <w:r w:rsidR="00990A42" w:rsidRPr="00463D42">
        <w:rPr>
          <w:rFonts w:cstheme="minorHAnsi"/>
        </w:rPr>
        <w:t>s</w:t>
      </w:r>
      <w:r w:rsidR="00D63CBC" w:rsidRPr="00463D42">
        <w:rPr>
          <w:rFonts w:cstheme="minorHAnsi"/>
        </w:rPr>
        <w:t>.</w:t>
      </w:r>
      <w:r w:rsidR="00990A42" w:rsidRPr="00463D42">
        <w:rPr>
          <w:rFonts w:cstheme="minorHAnsi"/>
        </w:rPr>
        <w:t xml:space="preserve"> </w:t>
      </w:r>
      <w:r w:rsidR="00AB6554">
        <w:rPr>
          <w:rFonts w:cstheme="minorHAnsi"/>
        </w:rPr>
        <w:t>As</w:t>
      </w:r>
      <w:r w:rsidR="00D63CBC" w:rsidRPr="00463D42">
        <w:rPr>
          <w:rFonts w:cstheme="minorHAnsi"/>
        </w:rPr>
        <w:t xml:space="preserve"> </w:t>
      </w:r>
      <w:r w:rsidR="00526102" w:rsidRPr="00463D42">
        <w:rPr>
          <w:rFonts w:cstheme="minorHAnsi"/>
        </w:rPr>
        <w:t>I</w:t>
      </w:r>
      <w:r w:rsidR="00035AE2" w:rsidRPr="00463D42">
        <w:rPr>
          <w:rFonts w:cstheme="minorHAnsi"/>
        </w:rPr>
        <w:t>PTW may provide biased estimates</w:t>
      </w:r>
      <w:r w:rsidR="00526102" w:rsidRPr="00463D42">
        <w:rPr>
          <w:rFonts w:cstheme="minorHAnsi"/>
        </w:rPr>
        <w:t xml:space="preserve"> in cases where the weights are very large and highly influential</w:t>
      </w:r>
      <w:r w:rsidR="00EA648D" w:rsidRPr="00463D42">
        <w:rPr>
          <w:rFonts w:cstheme="minorHAnsi"/>
        </w:rPr>
        <w:t xml:space="preserve">, DELTA provides users with the ability to stabilize and/or trim </w:t>
      </w:r>
      <w:r w:rsidR="00144F2B" w:rsidRPr="00463D42">
        <w:rPr>
          <w:rFonts w:cstheme="minorHAnsi"/>
        </w:rPr>
        <w:t xml:space="preserve">these </w:t>
      </w:r>
      <w:r w:rsidR="00EA648D" w:rsidRPr="00463D42">
        <w:rPr>
          <w:rFonts w:cstheme="minorHAnsi"/>
        </w:rPr>
        <w:t>weights</w:t>
      </w:r>
      <w:r w:rsidR="00526102" w:rsidRPr="00463D42">
        <w:rPr>
          <w:rFonts w:cstheme="minorHAnsi"/>
        </w:rPr>
        <w:t>.</w:t>
      </w:r>
      <w:r w:rsidR="00594F2D" w:rsidRPr="00E25FAD">
        <w:rPr>
          <w:rFonts w:cstheme="minorHAnsi"/>
          <w:vertAlign w:val="superscript"/>
        </w:rPr>
        <w:t>11</w:t>
      </w:r>
      <w:r w:rsidR="00526102" w:rsidRPr="00594F2D">
        <w:rPr>
          <w:rFonts w:cstheme="minorHAnsi"/>
          <w:color w:val="FF0000"/>
        </w:rPr>
        <w:t xml:space="preserve"> </w:t>
      </w:r>
      <w:r w:rsidR="001F115D" w:rsidRPr="00463D42">
        <w:rPr>
          <w:rFonts w:cstheme="minorHAnsi"/>
        </w:rPr>
        <w:t>Stabilization</w:t>
      </w:r>
      <w:r w:rsidR="00526102" w:rsidRPr="00463D42">
        <w:rPr>
          <w:rFonts w:cstheme="minorHAnsi"/>
        </w:rPr>
        <w:t xml:space="preserve"> is achieved by </w:t>
      </w:r>
      <w:r w:rsidR="001F115D" w:rsidRPr="00463D42">
        <w:rPr>
          <w:rFonts w:cstheme="minorHAnsi"/>
        </w:rPr>
        <w:t>multiplying the treated and control group weights by a constant derived separately for the treated and control groups to reduce the variability in the weights.</w:t>
      </w:r>
      <w:r w:rsidR="00594F2D" w:rsidRPr="00E25FAD">
        <w:rPr>
          <w:rFonts w:cstheme="minorHAnsi"/>
          <w:vertAlign w:val="superscript"/>
        </w:rPr>
        <w:t>11</w:t>
      </w:r>
      <w:r w:rsidR="001F115D" w:rsidRPr="00463D42">
        <w:rPr>
          <w:rFonts w:cstheme="minorHAnsi"/>
          <w:vertAlign w:val="superscript"/>
        </w:rPr>
        <w:t xml:space="preserve"> </w:t>
      </w:r>
    </w:p>
    <w:p w14:paraId="09349B96" w14:textId="77777777" w:rsidR="00990A42" w:rsidRPr="00463D42" w:rsidRDefault="00990A42" w:rsidP="004127ED">
      <w:pPr>
        <w:spacing w:after="0" w:line="240" w:lineRule="auto"/>
        <w:jc w:val="both"/>
        <w:rPr>
          <w:rFonts w:cstheme="minorHAnsi"/>
        </w:rPr>
      </w:pPr>
    </w:p>
    <w:p w14:paraId="593CF1D1" w14:textId="602177D1" w:rsidR="00AB5A35" w:rsidRPr="00463D42" w:rsidRDefault="001F115D" w:rsidP="004127ED">
      <w:pPr>
        <w:spacing w:after="0" w:line="240" w:lineRule="auto"/>
        <w:jc w:val="both"/>
        <w:rPr>
          <w:rFonts w:cstheme="minorHAnsi"/>
        </w:rPr>
      </w:pPr>
      <w:r w:rsidRPr="00463D42">
        <w:rPr>
          <w:rFonts w:cstheme="minorHAnsi"/>
        </w:rPr>
        <w:t>For the treated group</w:t>
      </w:r>
      <w:r w:rsidR="00260668" w:rsidRPr="00463D42">
        <w:rPr>
          <w:rFonts w:cstheme="minorHAnsi"/>
        </w:rPr>
        <w:t>,</w:t>
      </w:r>
      <w:r w:rsidRPr="00463D42">
        <w:rPr>
          <w:rFonts w:cstheme="minorHAnsi"/>
        </w:rPr>
        <w:t xml:space="preserve"> the constant is equal to the sum of PS divided by the total number of treated cases</w:t>
      </w:r>
      <w:r w:rsidR="00260668" w:rsidRPr="00463D42">
        <w:rPr>
          <w:rFonts w:cstheme="minorHAnsi"/>
        </w:rPr>
        <w:t>,</w:t>
      </w:r>
      <w:r w:rsidR="00EC0DF0" w:rsidRPr="00463D42">
        <w:rPr>
          <w:rFonts w:cstheme="minorHAnsi"/>
        </w:rPr>
        <w:t xml:space="preserve"> whereas for the control group</w:t>
      </w:r>
      <w:r w:rsidR="00260668" w:rsidRPr="00463D42">
        <w:rPr>
          <w:rFonts w:cstheme="minorHAnsi"/>
        </w:rPr>
        <w:t>,</w:t>
      </w:r>
      <w:r w:rsidR="00EC0DF0" w:rsidRPr="00463D42">
        <w:rPr>
          <w:rFonts w:cstheme="minorHAnsi"/>
        </w:rPr>
        <w:t xml:space="preserve"> the constant equals the sum of (1-PS) divided by the total number of control cases.</w:t>
      </w:r>
      <w:r w:rsidR="00594F2D" w:rsidRPr="00E25FAD">
        <w:rPr>
          <w:rFonts w:cstheme="minorHAnsi"/>
          <w:vertAlign w:val="superscript"/>
        </w:rPr>
        <w:t>11</w:t>
      </w:r>
      <w:r w:rsidR="00EC0DF0" w:rsidRPr="00463D42">
        <w:rPr>
          <w:rFonts w:cstheme="minorHAnsi"/>
        </w:rPr>
        <w:t xml:space="preserve"> The second technique to control for extreme weights is trimming</w:t>
      </w:r>
      <w:r w:rsidR="00F468F6">
        <w:rPr>
          <w:rFonts w:cstheme="minorHAnsi"/>
        </w:rPr>
        <w:t>,</w:t>
      </w:r>
      <w:r w:rsidR="00EC0DF0" w:rsidRPr="00463D42">
        <w:rPr>
          <w:rFonts w:cstheme="minorHAnsi"/>
        </w:rPr>
        <w:t xml:space="preserve"> which is achieved by truncating weights below and above cutoff points set as percentiles of the weight distribution</w:t>
      </w:r>
      <w:r w:rsidR="00004379" w:rsidRPr="00463D42">
        <w:rPr>
          <w:rFonts w:cstheme="minorHAnsi"/>
        </w:rPr>
        <w:t>, usually 5</w:t>
      </w:r>
      <w:r w:rsidR="00004379" w:rsidRPr="00463D42">
        <w:rPr>
          <w:rFonts w:cstheme="minorHAnsi"/>
          <w:vertAlign w:val="superscript"/>
        </w:rPr>
        <w:t>th</w:t>
      </w:r>
      <w:r w:rsidR="00004379" w:rsidRPr="00463D42">
        <w:rPr>
          <w:rFonts w:cstheme="minorHAnsi"/>
        </w:rPr>
        <w:t xml:space="preserve"> and 95</w:t>
      </w:r>
      <w:r w:rsidR="00004379" w:rsidRPr="00463D42">
        <w:rPr>
          <w:rFonts w:cstheme="minorHAnsi"/>
          <w:vertAlign w:val="superscript"/>
        </w:rPr>
        <w:t>th</w:t>
      </w:r>
      <w:r w:rsidR="00EC0DF0" w:rsidRPr="00463D42">
        <w:rPr>
          <w:rFonts w:cstheme="minorHAnsi"/>
        </w:rPr>
        <w:t xml:space="preserve"> respectively.</w:t>
      </w:r>
    </w:p>
    <w:p w14:paraId="6B7BF5E6" w14:textId="77777777" w:rsidR="00C352C9" w:rsidRPr="00463D42" w:rsidRDefault="00C352C9" w:rsidP="004127ED">
      <w:pPr>
        <w:spacing w:after="0" w:line="240" w:lineRule="auto"/>
        <w:ind w:left="720"/>
        <w:jc w:val="both"/>
        <w:rPr>
          <w:rFonts w:cstheme="minorHAnsi"/>
        </w:rPr>
      </w:pPr>
    </w:p>
    <w:p w14:paraId="57245D10" w14:textId="65BB41AF" w:rsidR="00621F63" w:rsidRPr="00463D42" w:rsidRDefault="00EC0DF0" w:rsidP="004127ED">
      <w:pPr>
        <w:spacing w:after="0" w:line="240" w:lineRule="auto"/>
        <w:jc w:val="both"/>
        <w:rPr>
          <w:rFonts w:cstheme="minorHAnsi"/>
        </w:rPr>
      </w:pPr>
      <w:r w:rsidRPr="00463D42">
        <w:rPr>
          <w:rFonts w:cstheme="minorHAnsi"/>
        </w:rPr>
        <w:t xml:space="preserve">e. </w:t>
      </w:r>
      <w:r w:rsidRPr="00463D42">
        <w:rPr>
          <w:rFonts w:cstheme="minorHAnsi"/>
          <w:u w:val="single"/>
        </w:rPr>
        <w:t>Weighting</w:t>
      </w:r>
      <w:r w:rsidR="00AB5A35" w:rsidRPr="00463D42">
        <w:rPr>
          <w:rFonts w:cstheme="minorHAnsi"/>
          <w:u w:val="single"/>
        </w:rPr>
        <w:t xml:space="preserve"> by the Odds (WBO)</w:t>
      </w:r>
      <w:r w:rsidR="00AB5A35" w:rsidRPr="00463D42">
        <w:rPr>
          <w:rFonts w:cstheme="minorHAnsi"/>
        </w:rPr>
        <w:t xml:space="preserve">:  </w:t>
      </w:r>
      <w:r w:rsidRPr="00463D42">
        <w:rPr>
          <w:rFonts w:cstheme="minorHAnsi"/>
        </w:rPr>
        <w:t>In WBO, each treat</w:t>
      </w:r>
      <w:r w:rsidR="00035AE2" w:rsidRPr="00463D42">
        <w:rPr>
          <w:rFonts w:cstheme="minorHAnsi"/>
        </w:rPr>
        <w:t xml:space="preserve">ed case has a weight equal to 1, </w:t>
      </w:r>
      <w:r w:rsidRPr="00463D42">
        <w:rPr>
          <w:rFonts w:cstheme="minorHAnsi"/>
        </w:rPr>
        <w:t xml:space="preserve">whereas the control case has a weight equal to the odds </w:t>
      </w:r>
      <w:r w:rsidR="0035515A" w:rsidRPr="00463D42">
        <w:rPr>
          <w:rFonts w:cstheme="minorHAnsi"/>
        </w:rPr>
        <w:t xml:space="preserve">scale of the propensity score </w:t>
      </w:r>
      <w:r w:rsidR="00035AE2" w:rsidRPr="00463D42">
        <w:rPr>
          <w:rFonts w:cstheme="minorHAnsi"/>
        </w:rPr>
        <w:t xml:space="preserve">which is </w:t>
      </w:r>
      <w:r w:rsidR="0035515A" w:rsidRPr="00463D42">
        <w:rPr>
          <w:rFonts w:cstheme="minorHAnsi"/>
        </w:rPr>
        <w:t xml:space="preserve">equal to </w:t>
      </w:r>
      <w:r w:rsidRPr="00463D42">
        <w:rPr>
          <w:rFonts w:cstheme="minorHAnsi"/>
        </w:rPr>
        <w:t>PS/ (1-PS).</w:t>
      </w:r>
      <w:r w:rsidR="00997ACF" w:rsidRPr="00E25FAD">
        <w:rPr>
          <w:rFonts w:cstheme="minorHAnsi"/>
          <w:vertAlign w:val="superscript"/>
        </w:rPr>
        <w:t>11</w:t>
      </w:r>
      <w:r w:rsidR="0035515A" w:rsidRPr="00463D42">
        <w:rPr>
          <w:rFonts w:cstheme="minorHAnsi"/>
        </w:rPr>
        <w:t xml:space="preserve"> Control cases that have a PS close to the PS of </w:t>
      </w:r>
      <w:r w:rsidR="002D012C" w:rsidRPr="00463D42">
        <w:rPr>
          <w:rFonts w:cstheme="minorHAnsi"/>
        </w:rPr>
        <w:t xml:space="preserve">treated cases </w:t>
      </w:r>
      <w:r w:rsidR="00997ACF">
        <w:rPr>
          <w:rFonts w:cstheme="minorHAnsi"/>
        </w:rPr>
        <w:t>receive a high</w:t>
      </w:r>
      <w:r w:rsidR="002D012C" w:rsidRPr="00463D42">
        <w:rPr>
          <w:rFonts w:cstheme="minorHAnsi"/>
        </w:rPr>
        <w:t xml:space="preserve"> weight, </w:t>
      </w:r>
      <w:r w:rsidR="0035515A" w:rsidRPr="00463D42">
        <w:rPr>
          <w:rFonts w:cstheme="minorHAnsi"/>
        </w:rPr>
        <w:t xml:space="preserve">whereas control cases with PS </w:t>
      </w:r>
      <w:r w:rsidR="002D012C" w:rsidRPr="00463D42">
        <w:rPr>
          <w:rFonts w:cstheme="minorHAnsi"/>
        </w:rPr>
        <w:t>distant from</w:t>
      </w:r>
      <w:r w:rsidR="00E03D0C" w:rsidRPr="00463D42">
        <w:rPr>
          <w:rFonts w:cstheme="minorHAnsi"/>
        </w:rPr>
        <w:t xml:space="preserve"> </w:t>
      </w:r>
      <w:r w:rsidR="0035515A" w:rsidRPr="00463D42">
        <w:rPr>
          <w:rFonts w:cstheme="minorHAnsi"/>
        </w:rPr>
        <w:t>the PS of the treated group get a low weight.</w:t>
      </w:r>
      <w:r w:rsidR="00E03D0C" w:rsidRPr="00463D42">
        <w:rPr>
          <w:rFonts w:cstheme="minorHAnsi"/>
        </w:rPr>
        <w:t xml:space="preserve"> Because both the treated and control groups are weighted in respect to the treated group, WBO estimates ATT.</w:t>
      </w:r>
      <w:r w:rsidR="00997ACF" w:rsidRPr="00E25FAD">
        <w:rPr>
          <w:rFonts w:cstheme="minorHAnsi"/>
          <w:vertAlign w:val="superscript"/>
        </w:rPr>
        <w:t>11</w:t>
      </w:r>
      <w:r w:rsidR="00E03D0C" w:rsidRPr="00463D42">
        <w:rPr>
          <w:rFonts w:cstheme="minorHAnsi"/>
        </w:rPr>
        <w:t xml:space="preserve"> A generalized linear model with a logit link function and the assigned weights</w:t>
      </w:r>
      <w:r w:rsidR="002D012C" w:rsidRPr="00463D42">
        <w:rPr>
          <w:rFonts w:cstheme="minorHAnsi"/>
        </w:rPr>
        <w:t>,</w:t>
      </w:r>
      <w:r w:rsidR="00E03D0C" w:rsidRPr="00463D42">
        <w:rPr>
          <w:rFonts w:cstheme="minorHAnsi"/>
        </w:rPr>
        <w:t xml:space="preserve"> is used to derive the treatment effects as the odds ratio for the treatment variable. The model uses the outcome and treatment as the dependent and independent variable respectively. </w:t>
      </w:r>
      <w:r w:rsidR="00997ACF">
        <w:rPr>
          <w:rFonts w:cstheme="minorHAnsi"/>
        </w:rPr>
        <w:t xml:space="preserve"> </w:t>
      </w:r>
      <w:r w:rsidR="00E03D0C" w:rsidRPr="00463D42">
        <w:rPr>
          <w:rFonts w:cstheme="minorHAnsi"/>
        </w:rPr>
        <w:t xml:space="preserve">Unlike matching where data is limited to only the matched population, WBO uses </w:t>
      </w:r>
      <w:r w:rsidR="006E7AE1" w:rsidRPr="00463D42">
        <w:rPr>
          <w:rFonts w:cstheme="minorHAnsi"/>
        </w:rPr>
        <w:t xml:space="preserve">all </w:t>
      </w:r>
      <w:r w:rsidR="00E03D0C" w:rsidRPr="00463D42">
        <w:rPr>
          <w:rFonts w:cstheme="minorHAnsi"/>
        </w:rPr>
        <w:t>case data.</w:t>
      </w:r>
      <w:r w:rsidR="00621F63" w:rsidRPr="00463D42">
        <w:rPr>
          <w:rFonts w:cstheme="minorHAnsi"/>
        </w:rPr>
        <w:t xml:space="preserve"> </w:t>
      </w:r>
    </w:p>
    <w:p w14:paraId="0AC50497" w14:textId="58997F5B" w:rsidR="00AB5A35" w:rsidRPr="00463D42" w:rsidRDefault="00AB5A35" w:rsidP="004127ED">
      <w:pPr>
        <w:spacing w:after="0" w:line="240" w:lineRule="auto"/>
        <w:ind w:left="720"/>
        <w:jc w:val="both"/>
        <w:rPr>
          <w:rFonts w:cstheme="minorHAnsi"/>
        </w:rPr>
      </w:pPr>
    </w:p>
    <w:p w14:paraId="7C796C97" w14:textId="285AC81D" w:rsidR="00305AA6" w:rsidRPr="00463D42" w:rsidRDefault="00B307BE" w:rsidP="004127ED">
      <w:pPr>
        <w:spacing w:after="0" w:line="240" w:lineRule="auto"/>
        <w:jc w:val="both"/>
        <w:rPr>
          <w:rFonts w:cstheme="minorHAnsi"/>
        </w:rPr>
      </w:pPr>
      <w:r w:rsidRPr="00463D42">
        <w:rPr>
          <w:rFonts w:cstheme="minorHAnsi"/>
        </w:rPr>
        <w:t xml:space="preserve">f. </w:t>
      </w:r>
      <w:r w:rsidRPr="00463D42">
        <w:rPr>
          <w:rFonts w:cstheme="minorHAnsi"/>
          <w:u w:val="single"/>
        </w:rPr>
        <w:t>Sequential</w:t>
      </w:r>
      <w:r w:rsidR="00AB5A35" w:rsidRPr="00463D42">
        <w:rPr>
          <w:rFonts w:cstheme="minorHAnsi"/>
          <w:u w:val="single"/>
        </w:rPr>
        <w:t xml:space="preserve"> Probability Ratio Testing (SPRT)</w:t>
      </w:r>
      <w:r w:rsidR="00C352C9" w:rsidRPr="00463D42">
        <w:rPr>
          <w:rFonts w:cstheme="minorHAnsi"/>
        </w:rPr>
        <w:t xml:space="preserve">:    </w:t>
      </w:r>
      <w:r w:rsidR="00305AA6" w:rsidRPr="00463D42">
        <w:rPr>
          <w:rFonts w:cstheme="minorHAnsi"/>
        </w:rPr>
        <w:t>SPRT detects event rates by evaluating units of analysis sequentially over time, and seeks to identify if event rates exceed an accepted or baseline event rate, given an odds ratio (OR), and Type I and Type II errors, for a specific population.</w:t>
      </w:r>
      <w:r w:rsidR="00997ACF" w:rsidRPr="00E25FAD">
        <w:rPr>
          <w:rFonts w:cstheme="minorHAnsi"/>
          <w:vertAlign w:val="superscript"/>
        </w:rPr>
        <w:t>15, 16</w:t>
      </w:r>
      <w:r w:rsidR="00305AA6" w:rsidRPr="00E25FAD">
        <w:rPr>
          <w:rFonts w:cstheme="minorHAnsi"/>
        </w:rPr>
        <w:t xml:space="preserve"> </w:t>
      </w:r>
      <w:r w:rsidR="00305AA6" w:rsidRPr="00463D42">
        <w:rPr>
          <w:rFonts w:cstheme="minorHAnsi"/>
        </w:rPr>
        <w:t>After each sequential case is evaluated, error adjustments are incorporated and DELTA attempts to determine if an event rate has been exceed</w:t>
      </w:r>
      <w:r w:rsidR="00DC6959" w:rsidRPr="00463D42">
        <w:rPr>
          <w:rFonts w:cstheme="minorHAnsi"/>
        </w:rPr>
        <w:t>ed</w:t>
      </w:r>
      <w:r w:rsidR="00305AA6" w:rsidRPr="00463D42">
        <w:rPr>
          <w:rFonts w:cstheme="minorHAnsi"/>
        </w:rPr>
        <w:t xml:space="preserve"> in a specific patient group. The specific </w:t>
      </w:r>
      <w:r w:rsidR="0002482A" w:rsidRPr="00463D42">
        <w:rPr>
          <w:rFonts w:cstheme="minorHAnsi"/>
        </w:rPr>
        <w:t>r</w:t>
      </w:r>
      <w:r w:rsidR="00DC6959" w:rsidRPr="00463D42">
        <w:rPr>
          <w:rFonts w:cstheme="minorHAnsi"/>
        </w:rPr>
        <w:t xml:space="preserve">isk-adjusted </w:t>
      </w:r>
      <w:r w:rsidR="00305AA6" w:rsidRPr="00463D42">
        <w:rPr>
          <w:rFonts w:cstheme="minorHAnsi"/>
        </w:rPr>
        <w:t xml:space="preserve">SPRT implementation within DELTA is based on previous work by </w:t>
      </w:r>
      <w:r w:rsidRPr="00463D42">
        <w:rPr>
          <w:rFonts w:cstheme="minorHAnsi"/>
        </w:rPr>
        <w:t xml:space="preserve">Matheny et al. </w:t>
      </w:r>
      <w:r w:rsidR="00997ACF" w:rsidRPr="00E25FAD">
        <w:rPr>
          <w:rFonts w:cstheme="minorHAnsi"/>
          <w:vertAlign w:val="superscript"/>
        </w:rPr>
        <w:t>16</w:t>
      </w:r>
      <w:r w:rsidRPr="00463D42">
        <w:rPr>
          <w:rFonts w:cstheme="minorHAnsi"/>
        </w:rPr>
        <w:t xml:space="preserve"> </w:t>
      </w:r>
      <w:r w:rsidR="00305AA6" w:rsidRPr="00463D42">
        <w:rPr>
          <w:rFonts w:cstheme="minorHAnsi"/>
        </w:rPr>
        <w:t xml:space="preserve">The control limits are defined by formulas 1 and 2, in which the cumulative log-likelihood ratio values for accepting the null or alternative hypothesis (represented by </w:t>
      </w:r>
      <w:r w:rsidR="00305AA6" w:rsidRPr="00463D42">
        <w:rPr>
          <w:rFonts w:cstheme="minorHAnsi"/>
          <w:i/>
        </w:rPr>
        <w:t>h</w:t>
      </w:r>
      <w:r w:rsidR="00305AA6" w:rsidRPr="00463D42">
        <w:rPr>
          <w:rFonts w:cstheme="minorHAnsi"/>
          <w:vertAlign w:val="subscript"/>
        </w:rPr>
        <w:t>0</w:t>
      </w:r>
      <w:r w:rsidR="00305AA6" w:rsidRPr="00463D42">
        <w:rPr>
          <w:rFonts w:cstheme="minorHAnsi"/>
        </w:rPr>
        <w:t xml:space="preserve"> and </w:t>
      </w:r>
      <w:r w:rsidR="00305AA6" w:rsidRPr="00463D42">
        <w:rPr>
          <w:rFonts w:cstheme="minorHAnsi"/>
          <w:i/>
        </w:rPr>
        <w:t>h</w:t>
      </w:r>
      <w:r w:rsidR="00305AA6" w:rsidRPr="00463D42">
        <w:rPr>
          <w:rFonts w:cstheme="minorHAnsi"/>
          <w:vertAlign w:val="subscript"/>
        </w:rPr>
        <w:t>1</w:t>
      </w:r>
      <w:r w:rsidR="00305AA6" w:rsidRPr="00463D42">
        <w:rPr>
          <w:rFonts w:cstheme="minorHAnsi"/>
        </w:rPr>
        <w:t>, respectively) are functions of the odds ratio (OR), Type I error (</w:t>
      </w:r>
      <w:r w:rsidR="00305AA6" w:rsidRPr="00463D42">
        <w:rPr>
          <w:rStyle w:val="mi"/>
          <w:rFonts w:cstheme="minorHAnsi"/>
          <w:bdr w:val="none" w:sz="0" w:space="0" w:color="auto" w:frame="1"/>
          <w:shd w:val="clear" w:color="auto" w:fill="FFFFFF"/>
        </w:rPr>
        <w:t>α</w:t>
      </w:r>
      <w:r w:rsidR="00305AA6" w:rsidRPr="00463D42">
        <w:rPr>
          <w:rFonts w:cstheme="minorHAnsi"/>
        </w:rPr>
        <w:t>) and Type II error (</w:t>
      </w:r>
      <w:r w:rsidR="00305AA6" w:rsidRPr="00463D42">
        <w:rPr>
          <w:rStyle w:val="mi"/>
          <w:rFonts w:cstheme="minorHAnsi"/>
          <w:bdr w:val="none" w:sz="0" w:space="0" w:color="auto" w:frame="1"/>
          <w:shd w:val="clear" w:color="auto" w:fill="FFFFFF"/>
        </w:rPr>
        <w:t>β)</w:t>
      </w:r>
      <w:r w:rsidR="00305AA6" w:rsidRPr="00463D42">
        <w:rPr>
          <w:rFonts w:cstheme="minorHAnsi"/>
        </w:rPr>
        <w:t>.</w:t>
      </w:r>
      <w:r w:rsidR="00997ACF" w:rsidRPr="00E25FAD">
        <w:rPr>
          <w:rFonts w:cstheme="minorHAnsi"/>
          <w:vertAlign w:val="superscript"/>
        </w:rPr>
        <w:t>15</w:t>
      </w:r>
    </w:p>
    <w:p w14:paraId="5947E6B9" w14:textId="448963A2" w:rsidR="00305AA6" w:rsidRPr="00463D42" w:rsidRDefault="00305AA6" w:rsidP="004127ED">
      <w:pPr>
        <w:spacing w:after="0" w:line="240" w:lineRule="auto"/>
        <w:ind w:left="2880" w:firstLine="720"/>
        <w:jc w:val="both"/>
        <w:rPr>
          <w:rStyle w:val="mo"/>
          <w:rFonts w:cstheme="minorHAnsi"/>
          <w:bdr w:val="none" w:sz="0" w:space="0" w:color="auto" w:frame="1"/>
          <w:shd w:val="clear" w:color="auto" w:fill="FFFFFF"/>
        </w:rPr>
      </w:pPr>
      <w:r w:rsidRPr="00463D42">
        <w:rPr>
          <w:rStyle w:val="mo"/>
          <w:rFonts w:cstheme="minorHAnsi"/>
          <w:bdr w:val="none" w:sz="0" w:space="0" w:color="auto" w:frame="1"/>
          <w:shd w:val="clear" w:color="auto" w:fill="FFFFFF"/>
        </w:rPr>
        <w:lastRenderedPageBreak/>
        <w:t xml:space="preserve">Formula 1: </w:t>
      </w:r>
      <w:r w:rsidRPr="00463D42">
        <w:rPr>
          <w:rStyle w:val="mi"/>
          <w:rFonts w:cstheme="minorHAnsi"/>
          <w:bdr w:val="none" w:sz="0" w:space="0" w:color="auto" w:frame="1"/>
          <w:shd w:val="clear" w:color="auto" w:fill="FFFFFF"/>
        </w:rPr>
        <w:t>h</w:t>
      </w:r>
      <w:r w:rsidRPr="00463D42">
        <w:rPr>
          <w:rStyle w:val="mn"/>
          <w:rFonts w:cstheme="minorHAnsi"/>
          <w:bdr w:val="none" w:sz="0" w:space="0" w:color="auto" w:frame="1"/>
          <w:shd w:val="clear" w:color="auto" w:fill="FFFFFF"/>
        </w:rPr>
        <w:t>0</w:t>
      </w:r>
      <w:r w:rsidRPr="00463D42">
        <w:rPr>
          <w:rStyle w:val="mo"/>
          <w:rFonts w:cstheme="minorHAnsi"/>
          <w:bdr w:val="none" w:sz="0" w:space="0" w:color="auto" w:frame="1"/>
          <w:shd w:val="clear" w:color="auto" w:fill="FFFFFF"/>
        </w:rPr>
        <w:t>=</w:t>
      </w:r>
      <w:r w:rsidR="00DC6959" w:rsidRPr="00463D42">
        <w:rPr>
          <w:rStyle w:val="mo"/>
          <w:rFonts w:cstheme="minorHAnsi"/>
          <w:bdr w:val="none" w:sz="0" w:space="0" w:color="auto" w:frame="1"/>
          <w:shd w:val="clear" w:color="auto" w:fill="FFFFFF"/>
        </w:rPr>
        <w:t>ln (</w:t>
      </w:r>
      <w:r w:rsidRPr="00463D42">
        <w:rPr>
          <w:rStyle w:val="mo"/>
          <w:rFonts w:cstheme="minorHAnsi"/>
          <w:bdr w:val="none" w:sz="0" w:space="0" w:color="auto" w:frame="1"/>
          <w:shd w:val="clear" w:color="auto" w:fill="FFFFFF"/>
        </w:rPr>
        <w:t>(</w:t>
      </w:r>
      <w:r w:rsidRPr="00463D42">
        <w:rPr>
          <w:rStyle w:val="mn"/>
          <w:rFonts w:cstheme="minorHAnsi"/>
          <w:bdr w:val="none" w:sz="0" w:space="0" w:color="auto" w:frame="1"/>
          <w:shd w:val="clear" w:color="auto" w:fill="FFFFFF"/>
        </w:rPr>
        <w:t>1</w:t>
      </w:r>
      <w:r w:rsidRPr="00463D42">
        <w:rPr>
          <w:rStyle w:val="mo"/>
          <w:rFonts w:cstheme="minorHAnsi"/>
          <w:bdr w:val="none" w:sz="0" w:space="0" w:color="auto" w:frame="1"/>
          <w:shd w:val="clear" w:color="auto" w:fill="FFFFFF"/>
        </w:rPr>
        <w:t>−</w:t>
      </w:r>
      <w:r w:rsidRPr="00463D42">
        <w:rPr>
          <w:rStyle w:val="mi"/>
          <w:rFonts w:cstheme="minorHAnsi"/>
          <w:bdr w:val="none" w:sz="0" w:space="0" w:color="auto" w:frame="1"/>
          <w:shd w:val="clear" w:color="auto" w:fill="FFFFFF"/>
        </w:rPr>
        <w:t>α)/β</w:t>
      </w:r>
      <w:r w:rsidRPr="00463D42">
        <w:rPr>
          <w:rStyle w:val="mo"/>
          <w:rFonts w:cstheme="minorHAnsi"/>
          <w:bdr w:val="none" w:sz="0" w:space="0" w:color="auto" w:frame="1"/>
          <w:shd w:val="clear" w:color="auto" w:fill="FFFFFF"/>
        </w:rPr>
        <w:t>)/</w:t>
      </w:r>
      <w:r w:rsidR="00DC6959" w:rsidRPr="00463D42">
        <w:rPr>
          <w:rStyle w:val="mo"/>
          <w:rFonts w:cstheme="minorHAnsi"/>
          <w:bdr w:val="none" w:sz="0" w:space="0" w:color="auto" w:frame="1"/>
          <w:shd w:val="clear" w:color="auto" w:fill="FFFFFF"/>
        </w:rPr>
        <w:t>ln (</w:t>
      </w:r>
      <w:r w:rsidRPr="00463D42">
        <w:rPr>
          <w:rStyle w:val="mi"/>
          <w:rFonts w:cstheme="minorHAnsi"/>
          <w:bdr w:val="none" w:sz="0" w:space="0" w:color="auto" w:frame="1"/>
          <w:shd w:val="clear" w:color="auto" w:fill="FFFFFF"/>
        </w:rPr>
        <w:t>OR</w:t>
      </w:r>
      <w:r w:rsidRPr="00463D42">
        <w:rPr>
          <w:rStyle w:val="mo"/>
          <w:rFonts w:cstheme="minorHAnsi"/>
          <w:bdr w:val="none" w:sz="0" w:space="0" w:color="auto" w:frame="1"/>
          <w:shd w:val="clear" w:color="auto" w:fill="FFFFFF"/>
        </w:rPr>
        <w:t xml:space="preserve">) </w:t>
      </w:r>
    </w:p>
    <w:p w14:paraId="366B2970" w14:textId="1362A99C" w:rsidR="00305AA6" w:rsidRPr="00463D42" w:rsidRDefault="00305AA6" w:rsidP="004127ED">
      <w:pPr>
        <w:spacing w:after="0" w:line="240" w:lineRule="auto"/>
        <w:ind w:left="2880" w:firstLine="720"/>
        <w:jc w:val="both"/>
        <w:rPr>
          <w:rStyle w:val="mo"/>
          <w:rFonts w:cstheme="minorHAnsi"/>
          <w:bdr w:val="none" w:sz="0" w:space="0" w:color="auto" w:frame="1"/>
          <w:shd w:val="clear" w:color="auto" w:fill="FFFFFF"/>
        </w:rPr>
      </w:pPr>
      <w:r w:rsidRPr="00463D42">
        <w:rPr>
          <w:rStyle w:val="mo"/>
          <w:rFonts w:cstheme="minorHAnsi"/>
          <w:bdr w:val="none" w:sz="0" w:space="0" w:color="auto" w:frame="1"/>
          <w:shd w:val="clear" w:color="auto" w:fill="FFFFFF"/>
        </w:rPr>
        <w:t xml:space="preserve">Formula 2: </w:t>
      </w:r>
      <w:r w:rsidRPr="00463D42">
        <w:rPr>
          <w:rStyle w:val="mi"/>
          <w:rFonts w:cstheme="minorHAnsi"/>
          <w:bdr w:val="none" w:sz="0" w:space="0" w:color="auto" w:frame="1"/>
          <w:shd w:val="clear" w:color="auto" w:fill="FFFFFF"/>
        </w:rPr>
        <w:t>h</w:t>
      </w:r>
      <w:r w:rsidRPr="00463D42">
        <w:rPr>
          <w:rStyle w:val="mn"/>
          <w:rFonts w:cstheme="minorHAnsi"/>
          <w:bdr w:val="none" w:sz="0" w:space="0" w:color="auto" w:frame="1"/>
          <w:shd w:val="clear" w:color="auto" w:fill="FFFFFF"/>
        </w:rPr>
        <w:t>1</w:t>
      </w:r>
      <w:r w:rsidRPr="00463D42">
        <w:rPr>
          <w:rStyle w:val="mo"/>
          <w:rFonts w:cstheme="minorHAnsi"/>
          <w:bdr w:val="none" w:sz="0" w:space="0" w:color="auto" w:frame="1"/>
          <w:shd w:val="clear" w:color="auto" w:fill="FFFFFF"/>
        </w:rPr>
        <w:t>=</w:t>
      </w:r>
      <w:r w:rsidR="00DC6959" w:rsidRPr="00463D42">
        <w:rPr>
          <w:rStyle w:val="mo"/>
          <w:rFonts w:cstheme="minorHAnsi"/>
          <w:bdr w:val="none" w:sz="0" w:space="0" w:color="auto" w:frame="1"/>
          <w:shd w:val="clear" w:color="auto" w:fill="FFFFFF"/>
        </w:rPr>
        <w:t>ln (</w:t>
      </w:r>
      <w:r w:rsidRPr="00463D42">
        <w:rPr>
          <w:rStyle w:val="mo"/>
          <w:rFonts w:cstheme="minorHAnsi"/>
          <w:bdr w:val="none" w:sz="0" w:space="0" w:color="auto" w:frame="1"/>
          <w:shd w:val="clear" w:color="auto" w:fill="FFFFFF"/>
        </w:rPr>
        <w:t>(</w:t>
      </w:r>
      <w:r w:rsidRPr="00463D42">
        <w:rPr>
          <w:rStyle w:val="mn"/>
          <w:rFonts w:cstheme="minorHAnsi"/>
          <w:bdr w:val="none" w:sz="0" w:space="0" w:color="auto" w:frame="1"/>
          <w:shd w:val="clear" w:color="auto" w:fill="FFFFFF"/>
        </w:rPr>
        <w:t>1</w:t>
      </w:r>
      <w:r w:rsidRPr="00463D42">
        <w:rPr>
          <w:rStyle w:val="mo"/>
          <w:rFonts w:cstheme="minorHAnsi"/>
          <w:bdr w:val="none" w:sz="0" w:space="0" w:color="auto" w:frame="1"/>
          <w:shd w:val="clear" w:color="auto" w:fill="FFFFFF"/>
        </w:rPr>
        <w:t>−</w:t>
      </w:r>
      <w:r w:rsidRPr="00463D42">
        <w:rPr>
          <w:rStyle w:val="mi"/>
          <w:rFonts w:cstheme="minorHAnsi"/>
          <w:bdr w:val="none" w:sz="0" w:space="0" w:color="auto" w:frame="1"/>
          <w:shd w:val="clear" w:color="auto" w:fill="FFFFFF"/>
        </w:rPr>
        <w:t xml:space="preserve"> β)/ α</w:t>
      </w:r>
      <w:r w:rsidRPr="00463D42">
        <w:rPr>
          <w:rStyle w:val="mo"/>
          <w:rFonts w:cstheme="minorHAnsi"/>
          <w:bdr w:val="none" w:sz="0" w:space="0" w:color="auto" w:frame="1"/>
          <w:shd w:val="clear" w:color="auto" w:fill="FFFFFF"/>
        </w:rPr>
        <w:t>)/</w:t>
      </w:r>
      <w:r w:rsidR="00DC6959" w:rsidRPr="00463D42">
        <w:rPr>
          <w:rStyle w:val="mo"/>
          <w:rFonts w:cstheme="minorHAnsi"/>
          <w:bdr w:val="none" w:sz="0" w:space="0" w:color="auto" w:frame="1"/>
          <w:shd w:val="clear" w:color="auto" w:fill="FFFFFF"/>
        </w:rPr>
        <w:t>ln (</w:t>
      </w:r>
      <w:r w:rsidRPr="00463D42">
        <w:rPr>
          <w:rStyle w:val="mi"/>
          <w:rFonts w:cstheme="minorHAnsi"/>
          <w:bdr w:val="none" w:sz="0" w:space="0" w:color="auto" w:frame="1"/>
          <w:shd w:val="clear" w:color="auto" w:fill="FFFFFF"/>
        </w:rPr>
        <w:t>OR</w:t>
      </w:r>
      <w:r w:rsidRPr="00463D42">
        <w:rPr>
          <w:rStyle w:val="mo"/>
          <w:rFonts w:cstheme="minorHAnsi"/>
          <w:bdr w:val="none" w:sz="0" w:space="0" w:color="auto" w:frame="1"/>
          <w:shd w:val="clear" w:color="auto" w:fill="FFFFFF"/>
        </w:rPr>
        <w:t>)</w:t>
      </w:r>
    </w:p>
    <w:p w14:paraId="53DE8636" w14:textId="5664C57C" w:rsidR="00305AA6" w:rsidRPr="00463D42" w:rsidRDefault="00305AA6" w:rsidP="004127ED">
      <w:pPr>
        <w:spacing w:after="0" w:line="240" w:lineRule="auto"/>
        <w:jc w:val="both"/>
        <w:rPr>
          <w:rFonts w:cstheme="minorHAnsi"/>
        </w:rPr>
      </w:pPr>
    </w:p>
    <w:p w14:paraId="5586F691" w14:textId="38901253" w:rsidR="00463D42" w:rsidRDefault="004B62FF" w:rsidP="00E9028F">
      <w:pPr>
        <w:spacing w:after="0" w:line="240" w:lineRule="auto"/>
        <w:jc w:val="both"/>
        <w:rPr>
          <w:rFonts w:cstheme="minorHAnsi"/>
        </w:rPr>
      </w:pPr>
      <w:r w:rsidRPr="00463D42">
        <w:rPr>
          <w:rFonts w:cstheme="minorHAnsi"/>
        </w:rPr>
        <w:t xml:space="preserve">g. </w:t>
      </w:r>
      <w:r w:rsidRPr="00463D42">
        <w:rPr>
          <w:rFonts w:cstheme="minorHAnsi"/>
          <w:u w:val="single"/>
        </w:rPr>
        <w:t xml:space="preserve">Propensity </w:t>
      </w:r>
      <w:r w:rsidR="00C13AC3" w:rsidRPr="00463D42">
        <w:rPr>
          <w:rFonts w:cstheme="minorHAnsi"/>
          <w:u w:val="single"/>
        </w:rPr>
        <w:t xml:space="preserve">score </w:t>
      </w:r>
      <w:r w:rsidRPr="00463D42">
        <w:rPr>
          <w:rFonts w:cstheme="minorHAnsi"/>
          <w:u w:val="single"/>
        </w:rPr>
        <w:t>matched survi</w:t>
      </w:r>
      <w:r w:rsidR="00C13AC3" w:rsidRPr="00463D42">
        <w:rPr>
          <w:rFonts w:cstheme="minorHAnsi"/>
          <w:u w:val="single"/>
        </w:rPr>
        <w:t>val (PSM-Survival)</w:t>
      </w:r>
      <w:r w:rsidR="00C13AC3" w:rsidRPr="00463D42">
        <w:rPr>
          <w:rFonts w:cstheme="minorHAnsi"/>
        </w:rPr>
        <w:t xml:space="preserve">: </w:t>
      </w:r>
      <w:r w:rsidR="00605A1A" w:rsidRPr="00463D42">
        <w:rPr>
          <w:rFonts w:cstheme="minorHAnsi"/>
        </w:rPr>
        <w:t>PSM-</w:t>
      </w:r>
      <w:r w:rsidR="00CB623C" w:rsidRPr="00463D42">
        <w:rPr>
          <w:rFonts w:cstheme="minorHAnsi"/>
        </w:rPr>
        <w:t>Survival</w:t>
      </w:r>
      <w:r w:rsidR="00C13AC3" w:rsidRPr="00463D42">
        <w:rPr>
          <w:rFonts w:cstheme="minorHAnsi"/>
        </w:rPr>
        <w:t xml:space="preserve"> relies on an initial step in which propensity score matching is performed and the treated and control cohorts are </w:t>
      </w:r>
      <w:r w:rsidR="00C14802" w:rsidRPr="00463D42">
        <w:rPr>
          <w:rFonts w:cstheme="minorHAnsi"/>
        </w:rPr>
        <w:t>identified. Using</w:t>
      </w:r>
      <w:r w:rsidR="00C13AC3" w:rsidRPr="00463D42">
        <w:rPr>
          <w:rFonts w:cstheme="minorHAnsi"/>
        </w:rPr>
        <w:t xml:space="preserve"> DELTA, a user specifies parameters required for propensity score matching </w:t>
      </w:r>
      <w:r w:rsidR="00CB623C" w:rsidRPr="00463D42">
        <w:rPr>
          <w:rFonts w:cstheme="minorHAnsi"/>
        </w:rPr>
        <w:t xml:space="preserve">in addition to the </w:t>
      </w:r>
      <w:r w:rsidR="00C14802" w:rsidRPr="00463D42">
        <w:rPr>
          <w:rFonts w:cstheme="minorHAnsi"/>
        </w:rPr>
        <w:t>survival-based parameters</w:t>
      </w:r>
      <w:r w:rsidR="00CB623C" w:rsidRPr="00463D42">
        <w:rPr>
          <w:rFonts w:cstheme="minorHAnsi"/>
        </w:rPr>
        <w:t xml:space="preserve"> which</w:t>
      </w:r>
      <w:r w:rsidR="00B60760" w:rsidRPr="00463D42">
        <w:rPr>
          <w:rFonts w:cstheme="minorHAnsi"/>
        </w:rPr>
        <w:t xml:space="preserve"> includ</w:t>
      </w:r>
      <w:r w:rsidR="00CB623C" w:rsidRPr="00463D42">
        <w:rPr>
          <w:rFonts w:cstheme="minorHAnsi"/>
        </w:rPr>
        <w:t>e</w:t>
      </w:r>
      <w:r w:rsidR="00B60760" w:rsidRPr="00463D42">
        <w:rPr>
          <w:rFonts w:cstheme="minorHAnsi"/>
        </w:rPr>
        <w:t xml:space="preserve"> </w:t>
      </w:r>
      <w:r w:rsidR="00C14802" w:rsidRPr="00463D42">
        <w:rPr>
          <w:rFonts w:cstheme="minorHAnsi"/>
        </w:rPr>
        <w:t>a dichotomous outcome variable</w:t>
      </w:r>
      <w:r w:rsidR="00B60760" w:rsidRPr="00463D42">
        <w:rPr>
          <w:rFonts w:cstheme="minorHAnsi"/>
        </w:rPr>
        <w:t>,</w:t>
      </w:r>
      <w:r w:rsidR="00C14802" w:rsidRPr="00463D42">
        <w:rPr>
          <w:rFonts w:cstheme="minorHAnsi"/>
        </w:rPr>
        <w:t xml:space="preserve"> and survival duration or calendar dates when the outcome occurred. Following the matching procedure, two Kaplan-Mei</w:t>
      </w:r>
      <w:r w:rsidR="00233BA0">
        <w:rPr>
          <w:rFonts w:cstheme="minorHAnsi"/>
        </w:rPr>
        <w:t>e</w:t>
      </w:r>
      <w:r w:rsidR="00C14802" w:rsidRPr="00463D42">
        <w:rPr>
          <w:rFonts w:cstheme="minorHAnsi"/>
        </w:rPr>
        <w:t>r survival curve</w:t>
      </w:r>
      <w:r w:rsidR="00CB623C" w:rsidRPr="00463D42">
        <w:rPr>
          <w:rFonts w:cstheme="minorHAnsi"/>
        </w:rPr>
        <w:t xml:space="preserve">s are estimated for each of the matched treated and control </w:t>
      </w:r>
      <w:r w:rsidR="00C14802" w:rsidRPr="00463D42">
        <w:rPr>
          <w:rFonts w:cstheme="minorHAnsi"/>
        </w:rPr>
        <w:t>cohorts. The Kaplan-Mei</w:t>
      </w:r>
      <w:r w:rsidR="00233BA0">
        <w:rPr>
          <w:rFonts w:cstheme="minorHAnsi"/>
        </w:rPr>
        <w:t>e</w:t>
      </w:r>
      <w:r w:rsidR="00C14802" w:rsidRPr="00463D42">
        <w:rPr>
          <w:rFonts w:cstheme="minorHAnsi"/>
        </w:rPr>
        <w:t xml:space="preserve">r estimator determines the fraction of cases </w:t>
      </w:r>
      <w:r w:rsidR="00990A42" w:rsidRPr="00463D42">
        <w:rPr>
          <w:rFonts w:cstheme="minorHAnsi"/>
        </w:rPr>
        <w:t>surviving (i.e. without developing the outcome of interest) during a specified</w:t>
      </w:r>
      <w:r w:rsidR="00C14802" w:rsidRPr="00463D42">
        <w:rPr>
          <w:rFonts w:cstheme="minorHAnsi"/>
        </w:rPr>
        <w:t xml:space="preserve"> time</w:t>
      </w:r>
      <w:r w:rsidR="00990A42" w:rsidRPr="00463D42">
        <w:rPr>
          <w:rFonts w:cstheme="minorHAnsi"/>
        </w:rPr>
        <w:t xml:space="preserve"> period</w:t>
      </w:r>
      <w:r w:rsidR="00C14802" w:rsidRPr="00463D42">
        <w:rPr>
          <w:rFonts w:cstheme="minorHAnsi"/>
        </w:rPr>
        <w:t xml:space="preserve"> after treatment.</w:t>
      </w:r>
      <w:r w:rsidR="003E2EB2" w:rsidRPr="00E25FAD">
        <w:rPr>
          <w:rFonts w:cstheme="minorHAnsi"/>
          <w:vertAlign w:val="superscript"/>
        </w:rPr>
        <w:t>17</w:t>
      </w:r>
      <w:r w:rsidR="00C14802" w:rsidRPr="00463D42">
        <w:rPr>
          <w:rFonts w:cstheme="minorHAnsi"/>
          <w:vertAlign w:val="superscript"/>
        </w:rPr>
        <w:t xml:space="preserve">   </w:t>
      </w:r>
      <w:r w:rsidR="00C14802" w:rsidRPr="00463D42">
        <w:rPr>
          <w:rFonts w:cstheme="minorHAnsi"/>
        </w:rPr>
        <w:t xml:space="preserve">The difference in the two survival curves </w:t>
      </w:r>
      <w:r w:rsidR="00BE229D" w:rsidRPr="00463D42">
        <w:rPr>
          <w:rFonts w:cstheme="minorHAnsi"/>
        </w:rPr>
        <w:t xml:space="preserve">after a given duration </w:t>
      </w:r>
      <w:r w:rsidR="00C14802" w:rsidRPr="00463D42">
        <w:rPr>
          <w:rFonts w:cstheme="minorHAnsi"/>
        </w:rPr>
        <w:t xml:space="preserve">is determined </w:t>
      </w:r>
      <w:r w:rsidR="00BE229D" w:rsidRPr="00463D42">
        <w:rPr>
          <w:rFonts w:cstheme="minorHAnsi"/>
        </w:rPr>
        <w:t xml:space="preserve">by statistically testing the null hypothesis </w:t>
      </w:r>
      <w:r w:rsidR="00C14802" w:rsidRPr="00463D42">
        <w:rPr>
          <w:rFonts w:cstheme="minorHAnsi"/>
        </w:rPr>
        <w:t>using the Log-rank test</w:t>
      </w:r>
      <w:r w:rsidR="00BE229D" w:rsidRPr="00463D42">
        <w:rPr>
          <w:rFonts w:cstheme="minorHAnsi"/>
        </w:rPr>
        <w:t>.</w:t>
      </w:r>
      <w:r w:rsidR="003E2EB2" w:rsidRPr="00E25FAD">
        <w:rPr>
          <w:rFonts w:cstheme="minorHAnsi"/>
          <w:vertAlign w:val="superscript"/>
        </w:rPr>
        <w:t>17</w:t>
      </w:r>
      <w:r w:rsidR="00BE229D" w:rsidRPr="00463D42">
        <w:rPr>
          <w:rFonts w:cstheme="minorHAnsi"/>
          <w:b/>
        </w:rPr>
        <w:t xml:space="preserve"> </w:t>
      </w:r>
      <w:r w:rsidR="00BE229D" w:rsidRPr="00463D42">
        <w:rPr>
          <w:rFonts w:cstheme="minorHAnsi"/>
        </w:rPr>
        <w:t>A p-value of &lt;0.05 is used to determine presence of a significant</w:t>
      </w:r>
      <w:r w:rsidR="00E9028F">
        <w:rPr>
          <w:rFonts w:cstheme="minorHAnsi"/>
        </w:rPr>
        <w:t xml:space="preserve"> difference between the curves.</w:t>
      </w:r>
    </w:p>
    <w:p w14:paraId="0A1BDABD" w14:textId="77777777" w:rsidR="00E9028F" w:rsidRPr="00E9028F" w:rsidRDefault="00E9028F" w:rsidP="00E9028F">
      <w:pPr>
        <w:spacing w:after="0" w:line="240" w:lineRule="auto"/>
        <w:jc w:val="both"/>
        <w:rPr>
          <w:rFonts w:cstheme="minorHAnsi"/>
        </w:rPr>
      </w:pPr>
    </w:p>
    <w:p w14:paraId="6D131038" w14:textId="41C24968" w:rsidR="00EE67A8" w:rsidRPr="007E7F93" w:rsidRDefault="00EE67A8" w:rsidP="004127ED">
      <w:pPr>
        <w:pStyle w:val="Heading1"/>
        <w:jc w:val="both"/>
      </w:pPr>
      <w:bookmarkStart w:id="2" w:name="_Toc107395620"/>
      <w:r w:rsidRPr="00C42D78">
        <w:rPr>
          <w:rStyle w:val="Heading1Char"/>
        </w:rPr>
        <w:t>3.  Approach to validation of DELTA statistical methods</w:t>
      </w:r>
      <w:r w:rsidRPr="007E7F93">
        <w:t>:</w:t>
      </w:r>
      <w:bookmarkEnd w:id="2"/>
      <w:r w:rsidRPr="007E7F93">
        <w:t xml:space="preserve"> </w:t>
      </w:r>
    </w:p>
    <w:p w14:paraId="50B44CD1" w14:textId="4AB2BA6A" w:rsidR="00ED0AA2" w:rsidRPr="00463D42" w:rsidRDefault="00EE67A8" w:rsidP="004127ED">
      <w:pPr>
        <w:spacing w:line="240" w:lineRule="auto"/>
        <w:jc w:val="both"/>
        <w:rPr>
          <w:rFonts w:cstheme="minorHAnsi"/>
        </w:rPr>
      </w:pPr>
      <w:r w:rsidRPr="00463D42">
        <w:rPr>
          <w:rFonts w:cstheme="minorHAnsi"/>
        </w:rPr>
        <w:t xml:space="preserve">Two </w:t>
      </w:r>
      <w:r w:rsidR="00990A42" w:rsidRPr="00463D42">
        <w:rPr>
          <w:rFonts w:cstheme="minorHAnsi"/>
        </w:rPr>
        <w:t>tests</w:t>
      </w:r>
      <w:r w:rsidRPr="00463D42">
        <w:rPr>
          <w:rFonts w:cstheme="minorHAnsi"/>
        </w:rPr>
        <w:t xml:space="preserve"> were </w:t>
      </w:r>
      <w:r w:rsidR="00962163" w:rsidRPr="00463D42">
        <w:rPr>
          <w:rFonts w:cstheme="minorHAnsi"/>
        </w:rPr>
        <w:t xml:space="preserve">performed in an effort to </w:t>
      </w:r>
      <w:r w:rsidR="00990A42" w:rsidRPr="00463D42">
        <w:rPr>
          <w:rFonts w:cstheme="minorHAnsi"/>
        </w:rPr>
        <w:t>validate</w:t>
      </w:r>
      <w:r w:rsidR="00962163" w:rsidRPr="00463D42">
        <w:rPr>
          <w:rFonts w:cstheme="minorHAnsi"/>
        </w:rPr>
        <w:t xml:space="preserve"> </w:t>
      </w:r>
      <w:r w:rsidRPr="00463D42">
        <w:rPr>
          <w:rFonts w:cstheme="minorHAnsi"/>
        </w:rPr>
        <w:t>DELTA’s statistical methods</w:t>
      </w:r>
      <w:r w:rsidR="00990A42" w:rsidRPr="00463D42">
        <w:rPr>
          <w:rFonts w:cstheme="minorHAnsi"/>
        </w:rPr>
        <w:t xml:space="preserve"> deployed in the cloud computing environment</w:t>
      </w:r>
      <w:r w:rsidRPr="00463D42">
        <w:rPr>
          <w:rFonts w:cstheme="minorHAnsi"/>
        </w:rPr>
        <w:t>.   In the first exercise</w:t>
      </w:r>
      <w:r w:rsidR="004003B3" w:rsidRPr="00463D42">
        <w:rPr>
          <w:rFonts w:cstheme="minorHAnsi"/>
        </w:rPr>
        <w:t xml:space="preserve"> (Test 1</w:t>
      </w:r>
      <w:r w:rsidR="00ED0AA2" w:rsidRPr="00463D42">
        <w:rPr>
          <w:rFonts w:cstheme="minorHAnsi"/>
        </w:rPr>
        <w:t>)</w:t>
      </w:r>
      <w:r w:rsidR="00962163" w:rsidRPr="00463D42">
        <w:rPr>
          <w:rFonts w:cstheme="minorHAnsi"/>
        </w:rPr>
        <w:t>, five synthetic datasets</w:t>
      </w:r>
      <w:r w:rsidRPr="00463D42">
        <w:rPr>
          <w:rFonts w:cstheme="minorHAnsi"/>
        </w:rPr>
        <w:t xml:space="preserve"> were developed</w:t>
      </w:r>
      <w:r w:rsidR="00962163" w:rsidRPr="00463D42">
        <w:rPr>
          <w:rFonts w:cstheme="minorHAnsi"/>
        </w:rPr>
        <w:t xml:space="preserve"> </w:t>
      </w:r>
      <w:r w:rsidR="0012154F" w:rsidRPr="00463D42">
        <w:rPr>
          <w:rFonts w:cstheme="minorHAnsi"/>
        </w:rPr>
        <w:t xml:space="preserve">based on covariate and outcome distributions from published clinical studies of coronary stents </w:t>
      </w:r>
      <w:r w:rsidR="00962163" w:rsidRPr="00463D42">
        <w:rPr>
          <w:rFonts w:cstheme="minorHAnsi"/>
        </w:rPr>
        <w:t xml:space="preserve">by </w:t>
      </w:r>
      <w:r w:rsidR="00E312ED">
        <w:rPr>
          <w:rFonts w:cstheme="minorHAnsi"/>
        </w:rPr>
        <w:t xml:space="preserve">a collaborating </w:t>
      </w:r>
      <w:r w:rsidR="00962163" w:rsidRPr="00463D42">
        <w:rPr>
          <w:rFonts w:cstheme="minorHAnsi"/>
        </w:rPr>
        <w:t>research team</w:t>
      </w:r>
      <w:r w:rsidR="00E312ED">
        <w:rPr>
          <w:rFonts w:cstheme="minorHAnsi"/>
        </w:rPr>
        <w:t xml:space="preserve"> at Vanderbilt University Medical Center</w:t>
      </w:r>
      <w:r w:rsidR="00880196">
        <w:rPr>
          <w:rFonts w:cstheme="minorHAnsi"/>
        </w:rPr>
        <w:t>,</w:t>
      </w:r>
      <w:r w:rsidR="00E312ED">
        <w:rPr>
          <w:rFonts w:cstheme="minorHAnsi"/>
        </w:rPr>
        <w:t xml:space="preserve"> who were n</w:t>
      </w:r>
      <w:r w:rsidR="00962163" w:rsidRPr="00463D42">
        <w:rPr>
          <w:rFonts w:cstheme="minorHAnsi"/>
        </w:rPr>
        <w:t xml:space="preserve">ot </w:t>
      </w:r>
      <w:r w:rsidR="00E312ED">
        <w:rPr>
          <w:rFonts w:cstheme="minorHAnsi"/>
        </w:rPr>
        <w:t xml:space="preserve">involved in the </w:t>
      </w:r>
      <w:r w:rsidR="00E312ED" w:rsidRPr="00463D42">
        <w:rPr>
          <w:rFonts w:cstheme="minorHAnsi"/>
        </w:rPr>
        <w:t>DELTA</w:t>
      </w:r>
      <w:r w:rsidR="00962163" w:rsidRPr="00463D42">
        <w:rPr>
          <w:rFonts w:cstheme="minorHAnsi"/>
        </w:rPr>
        <w:t xml:space="preserve"> validation testing</w:t>
      </w:r>
      <w:r w:rsidRPr="00463D42">
        <w:rPr>
          <w:rFonts w:cstheme="minorHAnsi"/>
        </w:rPr>
        <w:t xml:space="preserve">.  </w:t>
      </w:r>
      <w:r w:rsidR="00ED0AA2" w:rsidRPr="00463D42">
        <w:rPr>
          <w:rFonts w:cstheme="minorHAnsi"/>
        </w:rPr>
        <w:t xml:space="preserve"> </w:t>
      </w:r>
      <w:r w:rsidRPr="00463D42">
        <w:rPr>
          <w:rFonts w:cstheme="minorHAnsi"/>
        </w:rPr>
        <w:t xml:space="preserve">These synthetic datasets </w:t>
      </w:r>
      <w:r w:rsidR="00962163" w:rsidRPr="00463D42">
        <w:rPr>
          <w:rFonts w:cstheme="minorHAnsi"/>
        </w:rPr>
        <w:t xml:space="preserve">were then </w:t>
      </w:r>
      <w:r w:rsidRPr="00463D42">
        <w:rPr>
          <w:rFonts w:cstheme="minorHAnsi"/>
        </w:rPr>
        <w:t>analyzed</w:t>
      </w:r>
      <w:r w:rsidR="00ED0AA2" w:rsidRPr="00463D42">
        <w:rPr>
          <w:rFonts w:cstheme="minorHAnsi"/>
        </w:rPr>
        <w:t xml:space="preserve"> in </w:t>
      </w:r>
      <w:r w:rsidR="003C2697">
        <w:rPr>
          <w:rFonts w:cstheme="minorHAnsi"/>
        </w:rPr>
        <w:t xml:space="preserve">a local instance of </w:t>
      </w:r>
      <w:r w:rsidR="00ED0AA2" w:rsidRPr="00463D42">
        <w:rPr>
          <w:rFonts w:cstheme="minorHAnsi"/>
        </w:rPr>
        <w:t>DELTA</w:t>
      </w:r>
      <w:r w:rsidRPr="00463D42">
        <w:rPr>
          <w:rFonts w:cstheme="minorHAnsi"/>
        </w:rPr>
        <w:t xml:space="preserve"> by individuals blinded to the </w:t>
      </w:r>
      <w:r w:rsidR="00ED0AA2" w:rsidRPr="00463D42">
        <w:rPr>
          <w:rFonts w:cstheme="minorHAnsi"/>
        </w:rPr>
        <w:t xml:space="preserve">underlying </w:t>
      </w:r>
      <w:r w:rsidRPr="00463D42">
        <w:rPr>
          <w:rFonts w:cstheme="minorHAnsi"/>
        </w:rPr>
        <w:t>data distributions.   I</w:t>
      </w:r>
      <w:r w:rsidR="00ED0AA2" w:rsidRPr="00463D42">
        <w:rPr>
          <w:rFonts w:cstheme="minorHAnsi"/>
        </w:rPr>
        <w:t>n the second validation exercise</w:t>
      </w:r>
      <w:r w:rsidR="00307627">
        <w:rPr>
          <w:rFonts w:cstheme="minorHAnsi"/>
        </w:rPr>
        <w:t xml:space="preserve"> (</w:t>
      </w:r>
      <w:r w:rsidR="00ED0AA2" w:rsidRPr="00463D42">
        <w:rPr>
          <w:rFonts w:cstheme="minorHAnsi"/>
        </w:rPr>
        <w:t>Test 2</w:t>
      </w:r>
      <w:r w:rsidR="00307627">
        <w:rPr>
          <w:rFonts w:cstheme="minorHAnsi"/>
        </w:rPr>
        <w:t>)</w:t>
      </w:r>
      <w:r w:rsidR="00ED0AA2" w:rsidRPr="00463D42">
        <w:rPr>
          <w:rFonts w:cstheme="minorHAnsi"/>
        </w:rPr>
        <w:t>,</w:t>
      </w:r>
      <w:r w:rsidR="00962163" w:rsidRPr="00463D42">
        <w:rPr>
          <w:rFonts w:cstheme="minorHAnsi"/>
        </w:rPr>
        <w:t xml:space="preserve"> </w:t>
      </w:r>
      <w:r w:rsidRPr="00463D42">
        <w:rPr>
          <w:rFonts w:cstheme="minorHAnsi"/>
        </w:rPr>
        <w:t>we repeated a</w:t>
      </w:r>
      <w:r w:rsidR="00962163" w:rsidRPr="00463D42">
        <w:rPr>
          <w:rFonts w:cstheme="minorHAnsi"/>
        </w:rPr>
        <w:t xml:space="preserve"> comprehensive</w:t>
      </w:r>
      <w:r w:rsidRPr="00463D42">
        <w:rPr>
          <w:rFonts w:cstheme="minorHAnsi"/>
        </w:rPr>
        <w:t xml:space="preserve"> safety analysis of coronary stents </w:t>
      </w:r>
      <w:r w:rsidR="00ED0AA2" w:rsidRPr="00463D42">
        <w:rPr>
          <w:rFonts w:cstheme="minorHAnsi"/>
        </w:rPr>
        <w:t>that we had previously published</w:t>
      </w:r>
      <w:r w:rsidR="003E2EB2" w:rsidRPr="00E25FAD">
        <w:rPr>
          <w:rFonts w:cstheme="minorHAnsi"/>
          <w:vertAlign w:val="superscript"/>
        </w:rPr>
        <w:t>18</w:t>
      </w:r>
      <w:r w:rsidRPr="00463D42">
        <w:rPr>
          <w:rFonts w:cstheme="minorHAnsi"/>
        </w:rPr>
        <w:t xml:space="preserve">, </w:t>
      </w:r>
      <w:r w:rsidR="009A3703" w:rsidRPr="00463D42">
        <w:rPr>
          <w:rFonts w:cstheme="minorHAnsi"/>
        </w:rPr>
        <w:t xml:space="preserve">by </w:t>
      </w:r>
      <w:r w:rsidRPr="00463D42">
        <w:rPr>
          <w:rFonts w:cstheme="minorHAnsi"/>
        </w:rPr>
        <w:t>using the original study data</w:t>
      </w:r>
      <w:r w:rsidR="009A3703" w:rsidRPr="00463D42">
        <w:rPr>
          <w:rFonts w:cstheme="minorHAnsi"/>
        </w:rPr>
        <w:t xml:space="preserve"> analyzed by DELTA in the cloud computing environment</w:t>
      </w:r>
      <w:r w:rsidRPr="00463D42">
        <w:rPr>
          <w:rFonts w:cstheme="minorHAnsi"/>
        </w:rPr>
        <w:t>.</w:t>
      </w:r>
      <w:r w:rsidR="00ED0AA2" w:rsidRPr="00463D42">
        <w:rPr>
          <w:rFonts w:cstheme="minorHAnsi"/>
        </w:rPr>
        <w:t xml:space="preserve"> </w:t>
      </w:r>
      <w:r w:rsidRPr="00463D42">
        <w:rPr>
          <w:rFonts w:cstheme="minorHAnsi"/>
        </w:rPr>
        <w:t xml:space="preserve"> The results from DELTA for both tests were then compared to </w:t>
      </w:r>
      <w:r w:rsidR="009A3703" w:rsidRPr="00463D42">
        <w:rPr>
          <w:rFonts w:cstheme="minorHAnsi"/>
        </w:rPr>
        <w:t>the known results (synthetic data ‘truth’ for Test 1, and previously published results for Test 2) in order</w:t>
      </w:r>
      <w:r w:rsidRPr="00463D42">
        <w:rPr>
          <w:rFonts w:cstheme="minorHAnsi"/>
        </w:rPr>
        <w:t xml:space="preserve"> to ascertain the system’s accuracy.</w:t>
      </w:r>
      <w:r w:rsidR="00ED0AA2" w:rsidRPr="00463D42">
        <w:rPr>
          <w:rFonts w:cstheme="minorHAnsi"/>
        </w:rPr>
        <w:t xml:space="preserve"> </w:t>
      </w:r>
    </w:p>
    <w:p w14:paraId="267E53AD" w14:textId="77706E70" w:rsidR="009A3703" w:rsidRPr="00463D42" w:rsidRDefault="00ED0AA2" w:rsidP="004127ED">
      <w:pPr>
        <w:spacing w:after="0" w:line="240" w:lineRule="auto"/>
        <w:jc w:val="both"/>
        <w:rPr>
          <w:rFonts w:cstheme="minorHAnsi"/>
        </w:rPr>
      </w:pPr>
      <w:r w:rsidRPr="00463D42">
        <w:rPr>
          <w:rFonts w:cstheme="minorHAnsi"/>
          <w:b/>
        </w:rPr>
        <w:t>Data Sources</w:t>
      </w:r>
      <w:r w:rsidR="00EE5E33" w:rsidRPr="00463D42">
        <w:rPr>
          <w:rFonts w:cstheme="minorHAnsi"/>
        </w:rPr>
        <w:t xml:space="preserve">:  </w:t>
      </w:r>
      <w:r w:rsidR="006A518F" w:rsidRPr="00463D42">
        <w:rPr>
          <w:rFonts w:cstheme="minorHAnsi"/>
        </w:rPr>
        <w:t>Test 1 include</w:t>
      </w:r>
      <w:r w:rsidRPr="00463D42">
        <w:rPr>
          <w:rFonts w:cstheme="minorHAnsi"/>
        </w:rPr>
        <w:t>d</w:t>
      </w:r>
      <w:r w:rsidR="006A518F" w:rsidRPr="00463D42">
        <w:rPr>
          <w:rFonts w:cstheme="minorHAnsi"/>
        </w:rPr>
        <w:t xml:space="preserve"> five artificially created datasets</w:t>
      </w:r>
      <w:r w:rsidR="002F5A2B" w:rsidRPr="00463D42">
        <w:rPr>
          <w:rFonts w:cstheme="minorHAnsi"/>
        </w:rPr>
        <w:t xml:space="preserve">, </w:t>
      </w:r>
      <w:r w:rsidR="00962163" w:rsidRPr="00463D42">
        <w:rPr>
          <w:rFonts w:cstheme="minorHAnsi"/>
        </w:rPr>
        <w:t xml:space="preserve">representing </w:t>
      </w:r>
      <w:r w:rsidR="006A518F" w:rsidRPr="00463D42">
        <w:rPr>
          <w:rFonts w:cstheme="minorHAnsi"/>
        </w:rPr>
        <w:t>two health</w:t>
      </w:r>
      <w:r w:rsidR="00875E6E" w:rsidRPr="00463D42">
        <w:rPr>
          <w:rFonts w:cstheme="minorHAnsi"/>
        </w:rPr>
        <w:t>care organizations,</w:t>
      </w:r>
      <w:r w:rsidR="006A518F" w:rsidRPr="00463D42">
        <w:rPr>
          <w:rFonts w:cstheme="minorHAnsi"/>
        </w:rPr>
        <w:t xml:space="preserve"> </w:t>
      </w:r>
      <w:r w:rsidR="00875E6E" w:rsidRPr="00463D42">
        <w:rPr>
          <w:rFonts w:cstheme="minorHAnsi"/>
        </w:rPr>
        <w:t>which</w:t>
      </w:r>
      <w:r w:rsidR="006A518F" w:rsidRPr="00463D42">
        <w:rPr>
          <w:rFonts w:cstheme="minorHAnsi"/>
        </w:rPr>
        <w:t xml:space="preserve"> simulate</w:t>
      </w:r>
      <w:r w:rsidR="00962163" w:rsidRPr="00463D42">
        <w:rPr>
          <w:rFonts w:cstheme="minorHAnsi"/>
        </w:rPr>
        <w:t xml:space="preserve"> </w:t>
      </w:r>
      <w:r w:rsidR="006A518F" w:rsidRPr="00463D42">
        <w:rPr>
          <w:rFonts w:cstheme="minorHAnsi"/>
        </w:rPr>
        <w:t xml:space="preserve">exposure to one </w:t>
      </w:r>
      <w:r w:rsidR="00C11508" w:rsidRPr="00463D42">
        <w:rPr>
          <w:rFonts w:cstheme="minorHAnsi"/>
        </w:rPr>
        <w:t xml:space="preserve">of two </w:t>
      </w:r>
      <w:r w:rsidR="006A518F" w:rsidRPr="00463D42">
        <w:rPr>
          <w:rFonts w:cstheme="minorHAnsi"/>
        </w:rPr>
        <w:t>treatment option</w:t>
      </w:r>
      <w:r w:rsidR="00C11508" w:rsidRPr="00463D42">
        <w:rPr>
          <w:rFonts w:cstheme="minorHAnsi"/>
        </w:rPr>
        <w:t>s</w:t>
      </w:r>
      <w:r w:rsidR="006A518F" w:rsidRPr="00463D42">
        <w:rPr>
          <w:rFonts w:cstheme="minorHAnsi"/>
        </w:rPr>
        <w:t xml:space="preserve"> (</w:t>
      </w:r>
      <w:r w:rsidRPr="00463D42">
        <w:rPr>
          <w:rFonts w:cstheme="minorHAnsi"/>
        </w:rPr>
        <w:t xml:space="preserve">Stent </w:t>
      </w:r>
      <w:r w:rsidR="006A518F" w:rsidRPr="00463D42">
        <w:rPr>
          <w:rFonts w:cstheme="minorHAnsi"/>
        </w:rPr>
        <w:t>A or B).</w:t>
      </w:r>
      <w:r w:rsidRPr="00463D42">
        <w:rPr>
          <w:rFonts w:cstheme="minorHAnsi"/>
        </w:rPr>
        <w:t xml:space="preserve"> </w:t>
      </w:r>
      <w:r w:rsidR="0063608F" w:rsidRPr="00463D42">
        <w:rPr>
          <w:rFonts w:cstheme="minorHAnsi"/>
        </w:rPr>
        <w:t xml:space="preserve"> Each dataset contain</w:t>
      </w:r>
      <w:r w:rsidRPr="00463D42">
        <w:rPr>
          <w:rFonts w:cstheme="minorHAnsi"/>
        </w:rPr>
        <w:t>ed</w:t>
      </w:r>
      <w:r w:rsidR="0063608F" w:rsidRPr="00463D42">
        <w:rPr>
          <w:rFonts w:cstheme="minorHAnsi"/>
        </w:rPr>
        <w:t xml:space="preserve"> between 20,000 and 30,000 patients.</w:t>
      </w:r>
      <w:r w:rsidR="006A518F" w:rsidRPr="00463D42">
        <w:rPr>
          <w:rFonts w:cstheme="minorHAnsi"/>
        </w:rPr>
        <w:t xml:space="preserve"> </w:t>
      </w:r>
      <w:r w:rsidRPr="00463D42">
        <w:rPr>
          <w:rFonts w:cstheme="minorHAnsi"/>
        </w:rPr>
        <w:t xml:space="preserve">  </w:t>
      </w:r>
      <w:r w:rsidR="006A518F" w:rsidRPr="00463D42">
        <w:rPr>
          <w:rFonts w:cstheme="minorHAnsi"/>
        </w:rPr>
        <w:t xml:space="preserve">Three adverse events (mortality, repeat procedures, and hospital readmission) were </w:t>
      </w:r>
      <w:r w:rsidRPr="00463D42">
        <w:rPr>
          <w:rFonts w:cstheme="minorHAnsi"/>
        </w:rPr>
        <w:t>injected</w:t>
      </w:r>
      <w:r w:rsidR="006A518F" w:rsidRPr="00463D42">
        <w:rPr>
          <w:rFonts w:cstheme="minorHAnsi"/>
        </w:rPr>
        <w:t xml:space="preserve"> into the </w:t>
      </w:r>
      <w:r w:rsidRPr="00463D42">
        <w:rPr>
          <w:rFonts w:cstheme="minorHAnsi"/>
        </w:rPr>
        <w:t xml:space="preserve">simulated </w:t>
      </w:r>
      <w:r w:rsidR="006A518F" w:rsidRPr="00463D42">
        <w:rPr>
          <w:rFonts w:cstheme="minorHAnsi"/>
        </w:rPr>
        <w:t>datasets</w:t>
      </w:r>
      <w:r w:rsidRPr="00463D42">
        <w:rPr>
          <w:rFonts w:cstheme="minorHAnsi"/>
        </w:rPr>
        <w:t xml:space="preserve"> based on an underlying model for each outcome derived from clinical trial data</w:t>
      </w:r>
      <w:r w:rsidR="006A518F" w:rsidRPr="00463D42">
        <w:rPr>
          <w:rFonts w:cstheme="minorHAnsi"/>
        </w:rPr>
        <w:t xml:space="preserve">. </w:t>
      </w:r>
      <w:r w:rsidRPr="00463D42">
        <w:rPr>
          <w:rFonts w:cstheme="minorHAnsi"/>
        </w:rPr>
        <w:t xml:space="preserve"> Up to </w:t>
      </w:r>
      <w:r w:rsidR="006A518F" w:rsidRPr="00463D42">
        <w:rPr>
          <w:rFonts w:cstheme="minorHAnsi"/>
        </w:rPr>
        <w:t>5%</w:t>
      </w:r>
      <w:r w:rsidRPr="00463D42">
        <w:rPr>
          <w:rFonts w:cstheme="minorHAnsi"/>
        </w:rPr>
        <w:t xml:space="preserve"> </w:t>
      </w:r>
      <w:r w:rsidR="00252576">
        <w:rPr>
          <w:rFonts w:cstheme="minorHAnsi"/>
        </w:rPr>
        <w:t xml:space="preserve">of </w:t>
      </w:r>
      <w:r w:rsidRPr="00463D42">
        <w:rPr>
          <w:rFonts w:cstheme="minorHAnsi"/>
        </w:rPr>
        <w:t xml:space="preserve">data </w:t>
      </w:r>
      <w:r w:rsidR="006A518F" w:rsidRPr="00463D42">
        <w:rPr>
          <w:rFonts w:cstheme="minorHAnsi"/>
        </w:rPr>
        <w:t xml:space="preserve">were removed at random to further reproduce </w:t>
      </w:r>
      <w:r w:rsidR="00962163" w:rsidRPr="00463D42">
        <w:rPr>
          <w:rFonts w:cstheme="minorHAnsi"/>
        </w:rPr>
        <w:t>real world</w:t>
      </w:r>
      <w:r w:rsidR="006A518F" w:rsidRPr="00463D42">
        <w:rPr>
          <w:rFonts w:cstheme="minorHAnsi"/>
        </w:rPr>
        <w:t xml:space="preserve"> conditions and </w:t>
      </w:r>
      <w:r w:rsidR="002F5A2B" w:rsidRPr="00463D42">
        <w:rPr>
          <w:rFonts w:cstheme="minorHAnsi"/>
        </w:rPr>
        <w:t>test the capabilities of DELTA.</w:t>
      </w:r>
    </w:p>
    <w:p w14:paraId="0253E1E8" w14:textId="74A985C9" w:rsidR="00EE5E33" w:rsidRPr="00463D42" w:rsidRDefault="002F5A2B" w:rsidP="004127ED">
      <w:pPr>
        <w:spacing w:after="0" w:line="240" w:lineRule="auto"/>
        <w:jc w:val="both"/>
        <w:rPr>
          <w:rFonts w:cstheme="minorHAnsi"/>
        </w:rPr>
      </w:pPr>
      <w:r w:rsidRPr="00463D42">
        <w:rPr>
          <w:rFonts w:cstheme="minorHAnsi"/>
        </w:rPr>
        <w:t xml:space="preserve"> </w:t>
      </w:r>
      <w:r w:rsidR="00EE5E33" w:rsidRPr="00463D42">
        <w:rPr>
          <w:rFonts w:cstheme="minorHAnsi"/>
        </w:rPr>
        <w:t xml:space="preserve">  </w:t>
      </w:r>
    </w:p>
    <w:p w14:paraId="57643C9E" w14:textId="00D860D3" w:rsidR="00457267" w:rsidRPr="00463D42" w:rsidRDefault="00EE5E33" w:rsidP="004127ED">
      <w:pPr>
        <w:spacing w:line="240" w:lineRule="auto"/>
        <w:jc w:val="both"/>
        <w:rPr>
          <w:rFonts w:cstheme="minorHAnsi"/>
        </w:rPr>
      </w:pPr>
      <w:r w:rsidRPr="00463D42">
        <w:rPr>
          <w:rFonts w:cstheme="minorHAnsi"/>
        </w:rPr>
        <w:t xml:space="preserve">Test 2 </w:t>
      </w:r>
      <w:r w:rsidR="00962163" w:rsidRPr="00463D42">
        <w:rPr>
          <w:rFonts w:cstheme="minorHAnsi"/>
        </w:rPr>
        <w:t>leveraged</w:t>
      </w:r>
      <w:r w:rsidR="006A518F" w:rsidRPr="00463D42">
        <w:rPr>
          <w:rFonts w:cstheme="minorHAnsi"/>
        </w:rPr>
        <w:t xml:space="preserve"> the </w:t>
      </w:r>
      <w:r w:rsidR="00962163" w:rsidRPr="00463D42">
        <w:rPr>
          <w:rFonts w:cstheme="minorHAnsi"/>
        </w:rPr>
        <w:t xml:space="preserve">data used for the </w:t>
      </w:r>
      <w:r w:rsidR="006A518F" w:rsidRPr="00463D42">
        <w:rPr>
          <w:rFonts w:cstheme="minorHAnsi"/>
        </w:rPr>
        <w:t xml:space="preserve">original </w:t>
      </w:r>
      <w:r w:rsidRPr="00463D42">
        <w:rPr>
          <w:rFonts w:cstheme="minorHAnsi"/>
        </w:rPr>
        <w:t xml:space="preserve">study </w:t>
      </w:r>
      <w:r w:rsidR="009D384F" w:rsidRPr="00463D42">
        <w:rPr>
          <w:rFonts w:cstheme="minorHAnsi"/>
        </w:rPr>
        <w:t>by</w:t>
      </w:r>
      <w:r w:rsidR="006A518F" w:rsidRPr="00463D42">
        <w:rPr>
          <w:rFonts w:cstheme="minorHAnsi"/>
        </w:rPr>
        <w:t xml:space="preserve"> </w:t>
      </w:r>
      <w:r w:rsidR="007141A0" w:rsidRPr="00463D42">
        <w:rPr>
          <w:rFonts w:cstheme="minorHAnsi"/>
        </w:rPr>
        <w:t>Drozda</w:t>
      </w:r>
      <w:r w:rsidR="006A518F" w:rsidRPr="00463D42">
        <w:rPr>
          <w:rFonts w:cstheme="minorHAnsi"/>
        </w:rPr>
        <w:t xml:space="preserve"> e</w:t>
      </w:r>
      <w:r w:rsidR="00E9028F">
        <w:rPr>
          <w:rFonts w:cstheme="minorHAnsi"/>
        </w:rPr>
        <w:t xml:space="preserve">t al </w:t>
      </w:r>
      <w:r w:rsidR="003E2EB2" w:rsidRPr="00E9028F">
        <w:rPr>
          <w:rFonts w:cstheme="minorHAnsi"/>
          <w:vertAlign w:val="superscript"/>
        </w:rPr>
        <w:t>18</w:t>
      </w:r>
      <w:r w:rsidRPr="00463D42">
        <w:rPr>
          <w:rFonts w:cstheme="minorHAnsi"/>
        </w:rPr>
        <w:t xml:space="preserve"> </w:t>
      </w:r>
      <w:r w:rsidR="006A518F" w:rsidRPr="00463D42">
        <w:rPr>
          <w:rFonts w:cstheme="minorHAnsi"/>
        </w:rPr>
        <w:t xml:space="preserve">to investigate freedom from death at one year following exposure to a coronary drug-eluting stent (DES) or bare-metal stent (BMS). These data were sourced from Mercy Health’s unique device identifier enriched (UDIR) database for procedures performed between November 1, 2012 and October 26, 2013 in which a coronary stent was implanted. </w:t>
      </w:r>
      <w:r w:rsidRPr="00463D42">
        <w:rPr>
          <w:rFonts w:cstheme="minorHAnsi"/>
        </w:rPr>
        <w:t xml:space="preserve"> </w:t>
      </w:r>
      <w:r w:rsidR="00962163" w:rsidRPr="00463D42">
        <w:rPr>
          <w:rFonts w:cstheme="minorHAnsi"/>
        </w:rPr>
        <w:t xml:space="preserve"> </w:t>
      </w:r>
    </w:p>
    <w:p w14:paraId="659841CA" w14:textId="77777777" w:rsidR="009A3703" w:rsidRPr="00463D42" w:rsidRDefault="009A3703" w:rsidP="004127ED">
      <w:pPr>
        <w:spacing w:after="0" w:line="240" w:lineRule="auto"/>
        <w:jc w:val="both"/>
        <w:rPr>
          <w:rFonts w:cstheme="minorHAnsi"/>
          <w:b/>
        </w:rPr>
      </w:pPr>
    </w:p>
    <w:p w14:paraId="31E1F51E" w14:textId="38E29CF5" w:rsidR="00E921DB" w:rsidRPr="00463D42" w:rsidRDefault="00E071F2" w:rsidP="004127ED">
      <w:pPr>
        <w:spacing w:after="0" w:line="240" w:lineRule="auto"/>
        <w:jc w:val="both"/>
        <w:rPr>
          <w:rFonts w:cstheme="minorHAnsi"/>
        </w:rPr>
      </w:pPr>
      <w:r w:rsidRPr="00463D42">
        <w:rPr>
          <w:rFonts w:cstheme="minorHAnsi"/>
          <w:b/>
        </w:rPr>
        <w:t>Study Design</w:t>
      </w:r>
      <w:r w:rsidR="004003B3" w:rsidRPr="00463D42">
        <w:rPr>
          <w:rFonts w:cstheme="minorHAnsi"/>
          <w:b/>
        </w:rPr>
        <w:t xml:space="preserve">:  </w:t>
      </w:r>
      <w:r w:rsidR="00962163" w:rsidRPr="00463D42">
        <w:rPr>
          <w:rFonts w:cstheme="minorHAnsi"/>
        </w:rPr>
        <w:t xml:space="preserve"> </w:t>
      </w:r>
      <w:r w:rsidR="006130C4" w:rsidRPr="00463D42">
        <w:rPr>
          <w:rFonts w:cstheme="minorHAnsi"/>
        </w:rPr>
        <w:t xml:space="preserve"> </w:t>
      </w:r>
      <w:r w:rsidR="004003B3" w:rsidRPr="00463D42">
        <w:rPr>
          <w:rFonts w:cstheme="minorHAnsi"/>
        </w:rPr>
        <w:t xml:space="preserve"> </w:t>
      </w:r>
      <w:r w:rsidR="00A9246D" w:rsidRPr="00463D42">
        <w:rPr>
          <w:rFonts w:cstheme="minorHAnsi"/>
        </w:rPr>
        <w:t xml:space="preserve">In order to </w:t>
      </w:r>
      <w:r w:rsidR="00962163" w:rsidRPr="00463D42">
        <w:rPr>
          <w:rFonts w:cstheme="minorHAnsi"/>
        </w:rPr>
        <w:t xml:space="preserve">verify fidelity of data integrity and the analytic methods being tested, each DELTA analysis was </w:t>
      </w:r>
      <w:r w:rsidR="00A9246D" w:rsidRPr="00463D42">
        <w:rPr>
          <w:rFonts w:cstheme="minorHAnsi"/>
        </w:rPr>
        <w:t>performed on both a local and</w:t>
      </w:r>
      <w:r w:rsidR="009A3703" w:rsidRPr="00463D42">
        <w:rPr>
          <w:rFonts w:cstheme="minorHAnsi"/>
        </w:rPr>
        <w:t xml:space="preserve"> a</w:t>
      </w:r>
      <w:r w:rsidR="00A9246D" w:rsidRPr="00463D42">
        <w:rPr>
          <w:rFonts w:cstheme="minorHAnsi"/>
        </w:rPr>
        <w:t xml:space="preserve"> cloud installation of DELTA</w:t>
      </w:r>
      <w:r w:rsidR="00962163" w:rsidRPr="00463D42">
        <w:rPr>
          <w:rFonts w:cstheme="minorHAnsi"/>
        </w:rPr>
        <w:t>, and the results compared with each other as well as with the underlying simulated data distributions for each dataset</w:t>
      </w:r>
      <w:r w:rsidR="00A9246D" w:rsidRPr="00463D42">
        <w:rPr>
          <w:rFonts w:cstheme="minorHAnsi"/>
        </w:rPr>
        <w:t>.</w:t>
      </w:r>
      <w:r w:rsidR="00BB2999" w:rsidRPr="00463D42">
        <w:rPr>
          <w:rFonts w:cstheme="minorHAnsi"/>
        </w:rPr>
        <w:t xml:space="preserve"> </w:t>
      </w:r>
      <w:r w:rsidR="00962163" w:rsidRPr="00463D42">
        <w:rPr>
          <w:rFonts w:cstheme="minorHAnsi"/>
        </w:rPr>
        <w:t xml:space="preserve"> </w:t>
      </w:r>
      <w:r w:rsidR="00BB2999" w:rsidRPr="00463D42">
        <w:rPr>
          <w:rFonts w:cstheme="minorHAnsi"/>
        </w:rPr>
        <w:t>Descriptive stati</w:t>
      </w:r>
      <w:r w:rsidR="00ED0AA2" w:rsidRPr="00463D42">
        <w:rPr>
          <w:rFonts w:cstheme="minorHAnsi"/>
        </w:rPr>
        <w:t>sti</w:t>
      </w:r>
      <w:r w:rsidR="00BB2999" w:rsidRPr="00463D42">
        <w:rPr>
          <w:rFonts w:cstheme="minorHAnsi"/>
        </w:rPr>
        <w:t xml:space="preserve">cs </w:t>
      </w:r>
      <w:r w:rsidR="00962163" w:rsidRPr="00463D42">
        <w:rPr>
          <w:rFonts w:cstheme="minorHAnsi"/>
        </w:rPr>
        <w:t>were calculated to assess that</w:t>
      </w:r>
      <w:r w:rsidR="00501C1D" w:rsidRPr="00463D42">
        <w:rPr>
          <w:rFonts w:cstheme="minorHAnsi"/>
        </w:rPr>
        <w:t xml:space="preserve"> the data ingested by DELTA matche</w:t>
      </w:r>
      <w:r w:rsidR="00962163" w:rsidRPr="00463D42">
        <w:rPr>
          <w:rFonts w:cstheme="minorHAnsi"/>
        </w:rPr>
        <w:t>d</w:t>
      </w:r>
      <w:r w:rsidR="00501C1D" w:rsidRPr="00463D42">
        <w:rPr>
          <w:rFonts w:cstheme="minorHAnsi"/>
        </w:rPr>
        <w:t xml:space="preserve"> the </w:t>
      </w:r>
      <w:r w:rsidR="00962163" w:rsidRPr="00463D42">
        <w:rPr>
          <w:rFonts w:cstheme="minorHAnsi"/>
        </w:rPr>
        <w:t xml:space="preserve">original data source and </w:t>
      </w:r>
      <w:r w:rsidR="00233BA0" w:rsidRPr="00463D42">
        <w:rPr>
          <w:rFonts w:cstheme="minorHAnsi"/>
        </w:rPr>
        <w:t>w</w:t>
      </w:r>
      <w:r w:rsidR="00233BA0">
        <w:rPr>
          <w:rFonts w:cstheme="minorHAnsi"/>
        </w:rPr>
        <w:t>ere</w:t>
      </w:r>
      <w:r w:rsidR="00233BA0" w:rsidRPr="00463D42">
        <w:rPr>
          <w:rFonts w:cstheme="minorHAnsi"/>
        </w:rPr>
        <w:t xml:space="preserve"> </w:t>
      </w:r>
      <w:r w:rsidR="00501C1D" w:rsidRPr="00463D42">
        <w:rPr>
          <w:rFonts w:cstheme="minorHAnsi"/>
        </w:rPr>
        <w:t xml:space="preserve">consistent across </w:t>
      </w:r>
      <w:r w:rsidR="00962163" w:rsidRPr="00463D42">
        <w:rPr>
          <w:rFonts w:cstheme="minorHAnsi"/>
        </w:rPr>
        <w:t xml:space="preserve">the local and cloud </w:t>
      </w:r>
      <w:r w:rsidR="00501C1D" w:rsidRPr="00463D42">
        <w:rPr>
          <w:rFonts w:cstheme="minorHAnsi"/>
        </w:rPr>
        <w:t>environments. A</w:t>
      </w:r>
      <w:r w:rsidR="00962163" w:rsidRPr="00463D42">
        <w:rPr>
          <w:rFonts w:cstheme="minorHAnsi"/>
        </w:rPr>
        <w:t>f</w:t>
      </w:r>
      <w:r w:rsidR="00501C1D" w:rsidRPr="00463D42">
        <w:rPr>
          <w:rFonts w:cstheme="minorHAnsi"/>
        </w:rPr>
        <w:t>ter completing local and cloud analyses</w:t>
      </w:r>
      <w:r w:rsidR="00A9246D" w:rsidRPr="00463D42">
        <w:rPr>
          <w:rFonts w:cstheme="minorHAnsi"/>
        </w:rPr>
        <w:t xml:space="preserve">, </w:t>
      </w:r>
      <w:r w:rsidR="00962163" w:rsidRPr="00463D42">
        <w:rPr>
          <w:rFonts w:cstheme="minorHAnsi"/>
        </w:rPr>
        <w:t xml:space="preserve">the source data distributions were unblinded, and the </w:t>
      </w:r>
      <w:r w:rsidR="00A9246D" w:rsidRPr="00463D42">
        <w:rPr>
          <w:rFonts w:cstheme="minorHAnsi"/>
        </w:rPr>
        <w:t>results f</w:t>
      </w:r>
      <w:r w:rsidR="00AC2F61" w:rsidRPr="00463D42">
        <w:rPr>
          <w:rFonts w:cstheme="minorHAnsi"/>
        </w:rPr>
        <w:t xml:space="preserve">rom both DELTA environments </w:t>
      </w:r>
      <w:r w:rsidR="00930EE6" w:rsidRPr="00463D42">
        <w:rPr>
          <w:rFonts w:cstheme="minorHAnsi"/>
        </w:rPr>
        <w:t>were</w:t>
      </w:r>
      <w:r w:rsidR="00A9246D" w:rsidRPr="00463D42">
        <w:rPr>
          <w:rFonts w:cstheme="minorHAnsi"/>
        </w:rPr>
        <w:t xml:space="preserve"> compared to the</w:t>
      </w:r>
      <w:r w:rsidR="00962163" w:rsidRPr="00463D42">
        <w:rPr>
          <w:rFonts w:cstheme="minorHAnsi"/>
        </w:rPr>
        <w:t xml:space="preserve"> underlying true data distributions</w:t>
      </w:r>
      <w:r w:rsidR="00A9246D" w:rsidRPr="00463D42">
        <w:rPr>
          <w:rFonts w:cstheme="minorHAnsi"/>
        </w:rPr>
        <w:t xml:space="preserve">. </w:t>
      </w:r>
      <w:r w:rsidR="009A3703" w:rsidRPr="00463D42">
        <w:rPr>
          <w:rFonts w:cstheme="minorHAnsi"/>
        </w:rPr>
        <w:t>Pre-specified thresholds were required</w:t>
      </w:r>
      <w:r w:rsidR="00A9246D" w:rsidRPr="00463D42">
        <w:rPr>
          <w:rFonts w:cstheme="minorHAnsi"/>
        </w:rPr>
        <w:t xml:space="preserve"> to </w:t>
      </w:r>
      <w:r w:rsidR="009A3703" w:rsidRPr="00463D42">
        <w:rPr>
          <w:rFonts w:cstheme="minorHAnsi"/>
        </w:rPr>
        <w:t xml:space="preserve">conclude successful </w:t>
      </w:r>
      <w:r w:rsidR="00A9246D" w:rsidRPr="00463D42">
        <w:rPr>
          <w:rFonts w:cstheme="minorHAnsi"/>
        </w:rPr>
        <w:t>validation</w:t>
      </w:r>
      <w:r w:rsidR="00BE1D6E" w:rsidRPr="00463D42">
        <w:rPr>
          <w:rFonts w:cstheme="minorHAnsi"/>
        </w:rPr>
        <w:t xml:space="preserve"> of Test 1</w:t>
      </w:r>
      <w:r w:rsidR="009A3703" w:rsidRPr="00463D42">
        <w:rPr>
          <w:rFonts w:cstheme="minorHAnsi"/>
        </w:rPr>
        <w:t>.  T</w:t>
      </w:r>
      <w:r w:rsidR="00AD35A0" w:rsidRPr="00463D42">
        <w:rPr>
          <w:rFonts w:cstheme="minorHAnsi"/>
        </w:rPr>
        <w:t xml:space="preserve">he calculated </w:t>
      </w:r>
      <w:r w:rsidR="00A9246D" w:rsidRPr="00463D42">
        <w:rPr>
          <w:rFonts w:cstheme="minorHAnsi"/>
        </w:rPr>
        <w:t xml:space="preserve">covariate distributions </w:t>
      </w:r>
      <w:r w:rsidR="009A3703" w:rsidRPr="00463D42">
        <w:rPr>
          <w:rFonts w:cstheme="minorHAnsi"/>
        </w:rPr>
        <w:t>were required to match the true values</w:t>
      </w:r>
      <w:r w:rsidR="00A9246D" w:rsidRPr="00463D42">
        <w:rPr>
          <w:rFonts w:cstheme="minorHAnsi"/>
        </w:rPr>
        <w:t xml:space="preserve"> within </w:t>
      </w:r>
      <w:r w:rsidR="00A9246D" w:rsidRPr="00463D42">
        <w:rPr>
          <w:rFonts w:cstheme="minorHAnsi"/>
        </w:rPr>
        <w:lastRenderedPageBreak/>
        <w:t>2%</w:t>
      </w:r>
      <w:r w:rsidR="009A3703" w:rsidRPr="00463D42">
        <w:rPr>
          <w:rFonts w:cstheme="minorHAnsi"/>
        </w:rPr>
        <w:t xml:space="preserve"> of the known</w:t>
      </w:r>
      <w:r w:rsidR="00A9246D" w:rsidRPr="00463D42">
        <w:rPr>
          <w:rFonts w:cstheme="minorHAnsi"/>
        </w:rPr>
        <w:t xml:space="preserve"> values, the calculated adjusted odds ratios </w:t>
      </w:r>
      <w:r w:rsidR="009A3703" w:rsidRPr="00463D42">
        <w:rPr>
          <w:rFonts w:cstheme="minorHAnsi"/>
        </w:rPr>
        <w:t>were required to be</w:t>
      </w:r>
      <w:r w:rsidR="00A9246D" w:rsidRPr="00463D42">
        <w:rPr>
          <w:rFonts w:cstheme="minorHAnsi"/>
        </w:rPr>
        <w:t xml:space="preserve"> within 5% of the true value, and the DELTA local and cloud environments produce results tha</w:t>
      </w:r>
      <w:r w:rsidR="00823D5D" w:rsidRPr="00463D42">
        <w:rPr>
          <w:rFonts w:cstheme="minorHAnsi"/>
        </w:rPr>
        <w:t>t are within 2% of one another.</w:t>
      </w:r>
      <w:r w:rsidR="005912E0" w:rsidRPr="00463D42">
        <w:rPr>
          <w:rFonts w:cstheme="minorHAnsi"/>
        </w:rPr>
        <w:t xml:space="preserve"> </w:t>
      </w:r>
    </w:p>
    <w:p w14:paraId="4775EBC7" w14:textId="77777777" w:rsidR="00DC6959" w:rsidRPr="00463D42" w:rsidRDefault="00DC6959" w:rsidP="004127ED">
      <w:pPr>
        <w:spacing w:after="0" w:line="240" w:lineRule="auto"/>
        <w:jc w:val="both"/>
        <w:rPr>
          <w:rFonts w:cstheme="minorHAnsi"/>
        </w:rPr>
      </w:pPr>
    </w:p>
    <w:p w14:paraId="0B99D755" w14:textId="0E3BDCB8" w:rsidR="009A3703" w:rsidRPr="00463D42" w:rsidRDefault="00962163" w:rsidP="004127ED">
      <w:pPr>
        <w:spacing w:after="0" w:line="240" w:lineRule="auto"/>
        <w:jc w:val="both"/>
        <w:rPr>
          <w:rFonts w:cstheme="minorHAnsi"/>
        </w:rPr>
      </w:pPr>
      <w:r w:rsidRPr="00463D42">
        <w:rPr>
          <w:rFonts w:cstheme="minorHAnsi"/>
        </w:rPr>
        <w:t xml:space="preserve">For Test 2, risk adjustment </w:t>
      </w:r>
      <w:r w:rsidR="00A8427B" w:rsidRPr="00463D42">
        <w:rPr>
          <w:rFonts w:cstheme="minorHAnsi"/>
        </w:rPr>
        <w:t xml:space="preserve">using </w:t>
      </w:r>
      <w:r w:rsidR="003A47A7" w:rsidRPr="00463D42">
        <w:rPr>
          <w:rFonts w:cstheme="minorHAnsi"/>
        </w:rPr>
        <w:t>propensity-matched survival analysis</w:t>
      </w:r>
      <w:r w:rsidR="00A8427B" w:rsidRPr="00463D42">
        <w:rPr>
          <w:rFonts w:cstheme="minorHAnsi"/>
        </w:rPr>
        <w:t xml:space="preserve"> was used </w:t>
      </w:r>
      <w:r w:rsidRPr="00463D42">
        <w:rPr>
          <w:rFonts w:cstheme="minorHAnsi"/>
        </w:rPr>
        <w:t>to approximate</w:t>
      </w:r>
      <w:r w:rsidR="00A8427B" w:rsidRPr="00463D42">
        <w:rPr>
          <w:rFonts w:cstheme="minorHAnsi"/>
        </w:rPr>
        <w:t xml:space="preserve"> the methods employed</w:t>
      </w:r>
      <w:r w:rsidRPr="00463D42">
        <w:rPr>
          <w:rFonts w:cstheme="minorHAnsi"/>
        </w:rPr>
        <w:t xml:space="preserve"> by</w:t>
      </w:r>
      <w:r w:rsidR="00F23BF4" w:rsidRPr="00463D42">
        <w:rPr>
          <w:rFonts w:cstheme="minorHAnsi"/>
        </w:rPr>
        <w:t xml:space="preserve"> </w:t>
      </w:r>
      <w:r w:rsidR="00501C1D" w:rsidRPr="00463D42">
        <w:rPr>
          <w:rFonts w:cstheme="minorHAnsi"/>
        </w:rPr>
        <w:t>Drozda</w:t>
      </w:r>
      <w:r w:rsidRPr="00463D42">
        <w:rPr>
          <w:rFonts w:cstheme="minorHAnsi"/>
        </w:rPr>
        <w:t xml:space="preserve"> in the original</w:t>
      </w:r>
      <w:r w:rsidR="009A3703" w:rsidRPr="00463D42">
        <w:rPr>
          <w:rFonts w:cstheme="minorHAnsi"/>
        </w:rPr>
        <w:t>, published,</w:t>
      </w:r>
      <w:r w:rsidRPr="00463D42">
        <w:rPr>
          <w:rFonts w:cstheme="minorHAnsi"/>
        </w:rPr>
        <w:t xml:space="preserve"> </w:t>
      </w:r>
      <w:r w:rsidR="003A47A7" w:rsidRPr="00463D42">
        <w:rPr>
          <w:rFonts w:cstheme="minorHAnsi"/>
        </w:rPr>
        <w:t>study</w:t>
      </w:r>
      <w:r w:rsidR="009A3703" w:rsidRPr="00463D42">
        <w:rPr>
          <w:rFonts w:cstheme="minorHAnsi"/>
        </w:rPr>
        <w:t xml:space="preserve"> of the safety of coronary stents</w:t>
      </w:r>
      <w:r w:rsidRPr="00463D42">
        <w:rPr>
          <w:rFonts w:cstheme="minorHAnsi"/>
        </w:rPr>
        <w:t xml:space="preserve">.  </w:t>
      </w:r>
      <w:r w:rsidR="00722C5B" w:rsidRPr="00463D42">
        <w:rPr>
          <w:rFonts w:eastAsia="Calibri" w:cstheme="minorHAnsi"/>
          <w:bCs/>
          <w:iCs/>
        </w:rPr>
        <w:t xml:space="preserve"> </w:t>
      </w:r>
      <w:r w:rsidR="0067791C" w:rsidRPr="00463D42">
        <w:rPr>
          <w:rFonts w:eastAsia="Calibri" w:cstheme="minorHAnsi"/>
          <w:bCs/>
          <w:iCs/>
        </w:rPr>
        <w:t xml:space="preserve">Validation </w:t>
      </w:r>
      <w:r w:rsidR="003A47A7" w:rsidRPr="00463D42">
        <w:rPr>
          <w:rFonts w:eastAsia="Calibri" w:cstheme="minorHAnsi"/>
          <w:bCs/>
          <w:iCs/>
        </w:rPr>
        <w:t>was considered</w:t>
      </w:r>
      <w:r w:rsidR="009A3703" w:rsidRPr="00463D42">
        <w:rPr>
          <w:rFonts w:eastAsia="Calibri" w:cstheme="minorHAnsi"/>
          <w:bCs/>
          <w:iCs/>
        </w:rPr>
        <w:t xml:space="preserve"> achieved if DELTA identified</w:t>
      </w:r>
      <w:r w:rsidR="0067791C" w:rsidRPr="00463D42">
        <w:rPr>
          <w:rFonts w:eastAsia="Calibri" w:cstheme="minorHAnsi"/>
          <w:bCs/>
          <w:iCs/>
        </w:rPr>
        <w:t xml:space="preserve"> a reduction in mor</w:t>
      </w:r>
      <w:r w:rsidR="00233BA0">
        <w:rPr>
          <w:rFonts w:eastAsia="Calibri" w:cstheme="minorHAnsi"/>
          <w:bCs/>
          <w:iCs/>
        </w:rPr>
        <w:t>t</w:t>
      </w:r>
      <w:r w:rsidR="0067791C" w:rsidRPr="00463D42">
        <w:rPr>
          <w:rFonts w:eastAsia="Calibri" w:cstheme="minorHAnsi"/>
          <w:bCs/>
          <w:iCs/>
        </w:rPr>
        <w:t>ality associated with the use of</w:t>
      </w:r>
      <w:r w:rsidR="009A3703" w:rsidRPr="00463D42">
        <w:rPr>
          <w:rFonts w:eastAsia="Calibri" w:cstheme="minorHAnsi"/>
          <w:bCs/>
          <w:iCs/>
        </w:rPr>
        <w:t xml:space="preserve"> drug eluting stents (</w:t>
      </w:r>
      <w:r w:rsidR="0067791C" w:rsidRPr="00463D42">
        <w:rPr>
          <w:rFonts w:eastAsia="Calibri" w:cstheme="minorHAnsi"/>
          <w:bCs/>
          <w:iCs/>
        </w:rPr>
        <w:t>DES</w:t>
      </w:r>
      <w:r w:rsidR="009A3703" w:rsidRPr="00463D42">
        <w:rPr>
          <w:rFonts w:eastAsia="Calibri" w:cstheme="minorHAnsi"/>
          <w:bCs/>
          <w:iCs/>
        </w:rPr>
        <w:t>)</w:t>
      </w:r>
      <w:r w:rsidR="0067791C" w:rsidRPr="00463D42">
        <w:rPr>
          <w:rFonts w:eastAsia="Calibri" w:cstheme="minorHAnsi"/>
          <w:bCs/>
          <w:iCs/>
        </w:rPr>
        <w:t xml:space="preserve"> as compared to </w:t>
      </w:r>
      <w:r w:rsidR="009A3703" w:rsidRPr="00463D42">
        <w:rPr>
          <w:rFonts w:eastAsia="Calibri" w:cstheme="minorHAnsi"/>
          <w:bCs/>
          <w:iCs/>
        </w:rPr>
        <w:t>bare metal stents (</w:t>
      </w:r>
      <w:r w:rsidR="0067791C" w:rsidRPr="00463D42">
        <w:rPr>
          <w:rFonts w:eastAsia="Calibri" w:cstheme="minorHAnsi"/>
          <w:bCs/>
          <w:iCs/>
        </w:rPr>
        <w:t>BMS</w:t>
      </w:r>
      <w:r w:rsidR="009A3703" w:rsidRPr="00463D42">
        <w:rPr>
          <w:rFonts w:eastAsia="Calibri" w:cstheme="minorHAnsi"/>
          <w:bCs/>
          <w:iCs/>
        </w:rPr>
        <w:t>)</w:t>
      </w:r>
      <w:r w:rsidR="0067791C" w:rsidRPr="00463D42">
        <w:rPr>
          <w:rFonts w:eastAsia="Calibri" w:cstheme="minorHAnsi"/>
          <w:bCs/>
          <w:iCs/>
        </w:rPr>
        <w:t>, and</w:t>
      </w:r>
      <w:r w:rsidR="000F5E4C" w:rsidRPr="00463D42">
        <w:rPr>
          <w:rFonts w:eastAsia="Calibri" w:cstheme="minorHAnsi"/>
          <w:bCs/>
          <w:iCs/>
        </w:rPr>
        <w:t xml:space="preserve"> the</w:t>
      </w:r>
      <w:r w:rsidR="0067791C" w:rsidRPr="00463D42">
        <w:rPr>
          <w:rFonts w:eastAsia="Calibri" w:cstheme="minorHAnsi"/>
          <w:bCs/>
          <w:iCs/>
        </w:rPr>
        <w:t xml:space="preserve"> </w:t>
      </w:r>
      <w:r w:rsidR="00C04601" w:rsidRPr="00463D42">
        <w:rPr>
          <w:rFonts w:eastAsia="Calibri" w:cstheme="minorHAnsi"/>
          <w:bCs/>
          <w:iCs/>
        </w:rPr>
        <w:t xml:space="preserve">adjusted </w:t>
      </w:r>
      <w:r w:rsidR="007B5D2C" w:rsidRPr="00463D42">
        <w:rPr>
          <w:rFonts w:eastAsia="Calibri" w:cstheme="minorHAnsi"/>
          <w:bCs/>
          <w:iCs/>
        </w:rPr>
        <w:t>hazard ratio</w:t>
      </w:r>
      <w:r w:rsidR="0067791C" w:rsidRPr="00463D42">
        <w:rPr>
          <w:rFonts w:eastAsia="Calibri" w:cstheme="minorHAnsi"/>
          <w:bCs/>
          <w:iCs/>
        </w:rPr>
        <w:t xml:space="preserve"> </w:t>
      </w:r>
      <w:r w:rsidR="000F5E4C" w:rsidRPr="00463D42">
        <w:rPr>
          <w:rFonts w:eastAsia="Calibri" w:cstheme="minorHAnsi"/>
          <w:bCs/>
          <w:iCs/>
        </w:rPr>
        <w:t>computed in</w:t>
      </w:r>
      <w:r w:rsidR="0067791C" w:rsidRPr="00463D42">
        <w:rPr>
          <w:rFonts w:eastAsia="Calibri" w:cstheme="minorHAnsi"/>
          <w:bCs/>
          <w:iCs/>
        </w:rPr>
        <w:t xml:space="preserve"> DELTA </w:t>
      </w:r>
      <w:r w:rsidR="009A3703" w:rsidRPr="00463D42">
        <w:rPr>
          <w:rFonts w:eastAsia="Calibri" w:cstheme="minorHAnsi"/>
          <w:bCs/>
          <w:iCs/>
        </w:rPr>
        <w:t>is contained</w:t>
      </w:r>
      <w:r w:rsidR="0067791C" w:rsidRPr="00463D42">
        <w:rPr>
          <w:rFonts w:eastAsia="Calibri" w:cstheme="minorHAnsi"/>
          <w:bCs/>
          <w:iCs/>
        </w:rPr>
        <w:t xml:space="preserve"> within the confidence interval reported by Drozda et </w:t>
      </w:r>
      <w:r w:rsidR="00F13C1F" w:rsidRPr="00463D42">
        <w:rPr>
          <w:rFonts w:eastAsia="Calibri" w:cstheme="minorHAnsi"/>
          <w:bCs/>
          <w:iCs/>
        </w:rPr>
        <w:t>al.</w:t>
      </w:r>
      <w:r w:rsidR="003E2EB2" w:rsidRPr="00E9028F">
        <w:rPr>
          <w:rFonts w:eastAsia="Calibri" w:cstheme="minorHAnsi"/>
          <w:bCs/>
          <w:iCs/>
          <w:vertAlign w:val="superscript"/>
        </w:rPr>
        <w:t>18</w:t>
      </w:r>
      <w:r w:rsidR="00F13C1F" w:rsidRPr="00E9028F">
        <w:rPr>
          <w:rFonts w:eastAsia="Calibri" w:cstheme="minorHAnsi"/>
          <w:bCs/>
          <w:iCs/>
        </w:rPr>
        <w:t xml:space="preserve"> </w:t>
      </w:r>
      <w:r w:rsidR="00F13C1F" w:rsidRPr="00463D42">
        <w:rPr>
          <w:rFonts w:eastAsia="Calibri" w:cstheme="minorHAnsi"/>
          <w:bCs/>
          <w:iCs/>
        </w:rPr>
        <w:t>In</w:t>
      </w:r>
      <w:r w:rsidR="005A04BB" w:rsidRPr="00463D42">
        <w:rPr>
          <w:rFonts w:cstheme="minorHAnsi"/>
        </w:rPr>
        <w:t xml:space="preserve"> addition</w:t>
      </w:r>
      <w:r w:rsidR="009F75CF" w:rsidRPr="00463D42">
        <w:rPr>
          <w:rFonts w:cstheme="minorHAnsi"/>
        </w:rPr>
        <w:t xml:space="preserve"> </w:t>
      </w:r>
      <w:r w:rsidR="003A47A7" w:rsidRPr="00463D42">
        <w:rPr>
          <w:rFonts w:cstheme="minorHAnsi"/>
        </w:rPr>
        <w:t xml:space="preserve">to the propensity matched survival analysis, </w:t>
      </w:r>
      <w:r w:rsidR="0072586A" w:rsidRPr="00463D42">
        <w:rPr>
          <w:rFonts w:cstheme="minorHAnsi"/>
        </w:rPr>
        <w:t xml:space="preserve">an </w:t>
      </w:r>
      <w:r w:rsidR="003A47A7" w:rsidRPr="00463D42">
        <w:rPr>
          <w:rFonts w:cstheme="minorHAnsi"/>
        </w:rPr>
        <w:t xml:space="preserve">IPTW analysis was performed and </w:t>
      </w:r>
      <w:r w:rsidR="009F75CF" w:rsidRPr="00463D42">
        <w:rPr>
          <w:rFonts w:cstheme="minorHAnsi"/>
        </w:rPr>
        <w:t>descriptive statistics</w:t>
      </w:r>
      <w:r w:rsidR="003A47A7" w:rsidRPr="00463D42">
        <w:rPr>
          <w:rFonts w:cstheme="minorHAnsi"/>
        </w:rPr>
        <w:t xml:space="preserve"> were calculated</w:t>
      </w:r>
      <w:r w:rsidR="009F75CF" w:rsidRPr="00463D42">
        <w:rPr>
          <w:rFonts w:cstheme="minorHAnsi"/>
        </w:rPr>
        <w:t xml:space="preserve"> for Test 2 study data and compared to the published data distributions.  </w:t>
      </w:r>
    </w:p>
    <w:p w14:paraId="7B024F18" w14:textId="77777777" w:rsidR="009A3703" w:rsidRPr="00463D42" w:rsidRDefault="009A3703" w:rsidP="004127ED">
      <w:pPr>
        <w:spacing w:after="0" w:line="240" w:lineRule="auto"/>
        <w:jc w:val="both"/>
        <w:rPr>
          <w:rFonts w:cstheme="minorHAnsi"/>
        </w:rPr>
      </w:pPr>
    </w:p>
    <w:p w14:paraId="1068D03D" w14:textId="353630FE" w:rsidR="00501C1D" w:rsidRPr="00463D42" w:rsidRDefault="00501C1D" w:rsidP="004127ED">
      <w:pPr>
        <w:spacing w:after="0" w:line="240" w:lineRule="auto"/>
        <w:jc w:val="both"/>
        <w:rPr>
          <w:rFonts w:cstheme="minorHAnsi"/>
          <w:bCs/>
          <w:iCs/>
        </w:rPr>
      </w:pPr>
      <w:r w:rsidRPr="00463D42">
        <w:rPr>
          <w:rFonts w:cstheme="minorHAnsi"/>
          <w:bCs/>
          <w:iCs/>
        </w:rPr>
        <w:t xml:space="preserve">Missing data </w:t>
      </w:r>
      <w:r w:rsidR="00A600D4" w:rsidRPr="00463D42">
        <w:rPr>
          <w:rFonts w:cstheme="minorHAnsi"/>
          <w:bCs/>
          <w:iCs/>
        </w:rPr>
        <w:t xml:space="preserve">in both </w:t>
      </w:r>
      <w:r w:rsidR="00D8518C" w:rsidRPr="00463D42">
        <w:rPr>
          <w:rFonts w:cstheme="minorHAnsi"/>
          <w:bCs/>
          <w:iCs/>
        </w:rPr>
        <w:t>Test 1 and Test 2</w:t>
      </w:r>
      <w:r w:rsidR="00A600D4" w:rsidRPr="00463D42">
        <w:rPr>
          <w:rFonts w:cstheme="minorHAnsi"/>
          <w:bCs/>
          <w:iCs/>
        </w:rPr>
        <w:t xml:space="preserve"> </w:t>
      </w:r>
      <w:r w:rsidR="002C1B83" w:rsidRPr="00463D42">
        <w:rPr>
          <w:rFonts w:cstheme="minorHAnsi"/>
          <w:bCs/>
          <w:iCs/>
        </w:rPr>
        <w:t xml:space="preserve">were </w:t>
      </w:r>
      <w:r w:rsidRPr="00463D42">
        <w:rPr>
          <w:rFonts w:cstheme="minorHAnsi"/>
          <w:bCs/>
          <w:iCs/>
        </w:rPr>
        <w:t>handled using univariate imputation rules, assuming absence of a</w:t>
      </w:r>
      <w:r w:rsidR="004003B3" w:rsidRPr="00463D42">
        <w:rPr>
          <w:rFonts w:cstheme="minorHAnsi"/>
          <w:bCs/>
          <w:iCs/>
        </w:rPr>
        <w:t xml:space="preserve"> clinical comorbidity </w:t>
      </w:r>
      <w:r w:rsidRPr="00463D42">
        <w:rPr>
          <w:rFonts w:cstheme="minorHAnsi"/>
          <w:bCs/>
          <w:iCs/>
        </w:rPr>
        <w:t>for dichotomous variables</w:t>
      </w:r>
      <w:r w:rsidR="00A600D4" w:rsidRPr="00463D42">
        <w:rPr>
          <w:rFonts w:cstheme="minorHAnsi"/>
          <w:bCs/>
          <w:iCs/>
        </w:rPr>
        <w:t>.</w:t>
      </w:r>
    </w:p>
    <w:p w14:paraId="73070CF9" w14:textId="4DD19E2D" w:rsidR="00BE66B5" w:rsidRPr="00463D42" w:rsidRDefault="00BE66B5" w:rsidP="004127ED">
      <w:pPr>
        <w:spacing w:after="0" w:line="240" w:lineRule="auto"/>
        <w:jc w:val="both"/>
        <w:rPr>
          <w:rFonts w:cstheme="minorHAnsi"/>
          <w:bCs/>
          <w:iCs/>
        </w:rPr>
      </w:pPr>
    </w:p>
    <w:p w14:paraId="7D5B9684" w14:textId="77777777" w:rsidR="009A3703" w:rsidRPr="00463D42" w:rsidRDefault="009A3703" w:rsidP="004127ED">
      <w:pPr>
        <w:spacing w:after="0" w:line="240" w:lineRule="auto"/>
        <w:jc w:val="both"/>
        <w:rPr>
          <w:rFonts w:cstheme="minorHAnsi"/>
          <w:b/>
          <w:bCs/>
        </w:rPr>
      </w:pPr>
    </w:p>
    <w:p w14:paraId="4AE1A727" w14:textId="6DB914D9" w:rsidR="00564884" w:rsidRPr="00463D42" w:rsidRDefault="006F2544" w:rsidP="004127ED">
      <w:pPr>
        <w:spacing w:after="0" w:line="240" w:lineRule="auto"/>
        <w:jc w:val="both"/>
        <w:rPr>
          <w:rFonts w:cstheme="minorHAnsi"/>
        </w:rPr>
      </w:pPr>
      <w:r w:rsidRPr="00463D42">
        <w:rPr>
          <w:rFonts w:cstheme="minorHAnsi"/>
          <w:b/>
          <w:bCs/>
        </w:rPr>
        <w:t>Statistical Methodology</w:t>
      </w:r>
      <w:r w:rsidR="004003B3" w:rsidRPr="00463D42">
        <w:rPr>
          <w:rFonts w:cstheme="minorHAnsi"/>
          <w:b/>
          <w:bCs/>
        </w:rPr>
        <w:t xml:space="preserve">:  </w:t>
      </w:r>
      <w:r w:rsidRPr="00463D42">
        <w:rPr>
          <w:rFonts w:cstheme="minorHAnsi"/>
        </w:rPr>
        <w:t>In Test 1</w:t>
      </w:r>
      <w:r w:rsidR="00F13C1F" w:rsidRPr="00463D42">
        <w:rPr>
          <w:rFonts w:cstheme="minorHAnsi"/>
        </w:rPr>
        <w:t>, six</w:t>
      </w:r>
      <w:r w:rsidR="00384DCA" w:rsidRPr="00463D42">
        <w:rPr>
          <w:rFonts w:cstheme="minorHAnsi"/>
        </w:rPr>
        <w:t xml:space="preserve"> analytic methods </w:t>
      </w:r>
      <w:r w:rsidR="00F13C1F" w:rsidRPr="00463D42">
        <w:rPr>
          <w:rFonts w:cstheme="minorHAnsi"/>
        </w:rPr>
        <w:t>were executed</w:t>
      </w:r>
      <w:r w:rsidR="004B2BD6" w:rsidRPr="00463D42">
        <w:rPr>
          <w:rFonts w:cstheme="minorHAnsi"/>
        </w:rPr>
        <w:t xml:space="preserve"> </w:t>
      </w:r>
      <w:r w:rsidR="00384DCA" w:rsidRPr="00463D42">
        <w:rPr>
          <w:rFonts w:cstheme="minorHAnsi"/>
        </w:rPr>
        <w:t>against</w:t>
      </w:r>
      <w:r w:rsidR="004B2BD6" w:rsidRPr="00463D42">
        <w:rPr>
          <w:rFonts w:cstheme="minorHAnsi"/>
        </w:rPr>
        <w:t xml:space="preserve"> each of the </w:t>
      </w:r>
      <w:r w:rsidR="00F64677" w:rsidRPr="00463D42">
        <w:rPr>
          <w:rFonts w:cstheme="minorHAnsi"/>
        </w:rPr>
        <w:t>five</w:t>
      </w:r>
      <w:r w:rsidR="0072586A" w:rsidRPr="00463D42">
        <w:rPr>
          <w:rFonts w:cstheme="minorHAnsi"/>
        </w:rPr>
        <w:t xml:space="preserve"> </w:t>
      </w:r>
      <w:r w:rsidR="004B2BD6" w:rsidRPr="00463D42">
        <w:rPr>
          <w:rFonts w:cstheme="minorHAnsi"/>
        </w:rPr>
        <w:t>datasets</w:t>
      </w:r>
      <w:r w:rsidR="00F64677" w:rsidRPr="00463D42">
        <w:rPr>
          <w:rFonts w:cstheme="minorHAnsi"/>
        </w:rPr>
        <w:t>, for a total of</w:t>
      </w:r>
      <w:r w:rsidR="0072586A" w:rsidRPr="00463D42">
        <w:rPr>
          <w:rFonts w:cstheme="minorHAnsi"/>
        </w:rPr>
        <w:t xml:space="preserve"> </w:t>
      </w:r>
      <w:r w:rsidR="004B2BD6" w:rsidRPr="00463D42">
        <w:rPr>
          <w:rFonts w:cstheme="minorHAnsi"/>
        </w:rPr>
        <w:t>30 analys</w:t>
      </w:r>
      <w:r w:rsidR="00F64677" w:rsidRPr="00463D42">
        <w:rPr>
          <w:rFonts w:cstheme="minorHAnsi"/>
        </w:rPr>
        <w:t>e</w:t>
      </w:r>
      <w:r w:rsidR="004B2BD6" w:rsidRPr="00463D42">
        <w:rPr>
          <w:rFonts w:cstheme="minorHAnsi"/>
        </w:rPr>
        <w:t>s.</w:t>
      </w:r>
      <w:r w:rsidR="00B2652D" w:rsidRPr="00463D42">
        <w:rPr>
          <w:rFonts w:cstheme="minorHAnsi"/>
        </w:rPr>
        <w:t xml:space="preserve"> </w:t>
      </w:r>
      <w:r w:rsidR="00E565B1" w:rsidRPr="00463D42">
        <w:rPr>
          <w:rFonts w:cstheme="minorHAnsi"/>
        </w:rPr>
        <w:t xml:space="preserve">Analyses were configured independently on the local and cloud instances of DELTA, and confirmed to match before completing any analysis. </w:t>
      </w:r>
      <w:r w:rsidR="00F64677" w:rsidRPr="00463D42">
        <w:rPr>
          <w:rFonts w:cstheme="minorHAnsi"/>
        </w:rPr>
        <w:t>C</w:t>
      </w:r>
      <w:r w:rsidR="00B2652D" w:rsidRPr="00463D42">
        <w:rPr>
          <w:rFonts w:cstheme="minorHAnsi"/>
        </w:rPr>
        <w:t>ommon parameters shared by all analys</w:t>
      </w:r>
      <w:r w:rsidR="00F64677" w:rsidRPr="00463D42">
        <w:rPr>
          <w:rFonts w:cstheme="minorHAnsi"/>
        </w:rPr>
        <w:t>e</w:t>
      </w:r>
      <w:r w:rsidR="00B2652D" w:rsidRPr="00463D42">
        <w:rPr>
          <w:rFonts w:cstheme="minorHAnsi"/>
        </w:rPr>
        <w:t>s included</w:t>
      </w:r>
      <w:r w:rsidR="00564884" w:rsidRPr="00463D42">
        <w:rPr>
          <w:rFonts w:cstheme="minorHAnsi"/>
        </w:rPr>
        <w:t>:</w:t>
      </w:r>
    </w:p>
    <w:p w14:paraId="46771779" w14:textId="6A65A3EC" w:rsidR="00564884" w:rsidRPr="008913FA" w:rsidRDefault="00AF162C" w:rsidP="004127ED">
      <w:pPr>
        <w:pStyle w:val="ListParagraph"/>
        <w:numPr>
          <w:ilvl w:val="0"/>
          <w:numId w:val="10"/>
        </w:numPr>
        <w:spacing w:after="0" w:line="240" w:lineRule="auto"/>
        <w:jc w:val="both"/>
        <w:rPr>
          <w:rFonts w:cstheme="minorHAnsi"/>
        </w:rPr>
      </w:pPr>
      <w:r w:rsidRPr="008913FA">
        <w:rPr>
          <w:rFonts w:cstheme="minorHAnsi"/>
        </w:rPr>
        <w:t>I</w:t>
      </w:r>
      <w:r w:rsidR="00B2652D" w:rsidRPr="008913FA">
        <w:rPr>
          <w:rFonts w:cstheme="minorHAnsi"/>
        </w:rPr>
        <w:t xml:space="preserve">ndependent variables </w:t>
      </w:r>
      <w:r w:rsidR="00F64677" w:rsidRPr="008913FA">
        <w:rPr>
          <w:rFonts w:cstheme="minorHAnsi"/>
        </w:rPr>
        <w:t>(i.e.</w:t>
      </w:r>
      <w:r w:rsidR="00B2652D" w:rsidRPr="008913FA">
        <w:rPr>
          <w:rFonts w:cstheme="minorHAnsi"/>
        </w:rPr>
        <w:t xml:space="preserve"> covariates</w:t>
      </w:r>
      <w:r w:rsidR="00F64677" w:rsidRPr="008913FA">
        <w:rPr>
          <w:rFonts w:cstheme="minorHAnsi"/>
        </w:rPr>
        <w:t>),</w:t>
      </w:r>
      <w:r w:rsidR="00B2652D" w:rsidRPr="008913FA">
        <w:rPr>
          <w:rFonts w:cstheme="minorHAnsi"/>
        </w:rPr>
        <w:t xml:space="preserve"> defined as </w:t>
      </w:r>
      <w:r w:rsidR="006F2544" w:rsidRPr="008913FA">
        <w:rPr>
          <w:rFonts w:cstheme="minorHAnsi"/>
        </w:rPr>
        <w:t>the patient characteristics age, gender, BMI, diabetes, chronic lung disease, hypertension, peripheral arterial disease, dialysis, smoking history, prior percutaneous coronary intervention (PCI), symptoms at presentation, emergent status, aspirin exposure, warfarin exposure, number of affected vessels, and time under fluoroscopy</w:t>
      </w:r>
      <w:r w:rsidR="00564884" w:rsidRPr="008913FA">
        <w:rPr>
          <w:rFonts w:cstheme="minorHAnsi"/>
        </w:rPr>
        <w:t>.</w:t>
      </w:r>
    </w:p>
    <w:p w14:paraId="5261E759" w14:textId="3A21F28B" w:rsidR="00564884" w:rsidRPr="008913FA" w:rsidRDefault="00564884" w:rsidP="004127ED">
      <w:pPr>
        <w:pStyle w:val="ListParagraph"/>
        <w:numPr>
          <w:ilvl w:val="0"/>
          <w:numId w:val="10"/>
        </w:numPr>
        <w:spacing w:after="0" w:line="240" w:lineRule="auto"/>
        <w:jc w:val="both"/>
        <w:rPr>
          <w:rFonts w:cstheme="minorHAnsi"/>
        </w:rPr>
      </w:pPr>
      <w:r w:rsidRPr="008913FA">
        <w:rPr>
          <w:rFonts w:cstheme="minorHAnsi"/>
        </w:rPr>
        <w:t>D</w:t>
      </w:r>
      <w:r w:rsidR="00B2652D" w:rsidRPr="008913FA">
        <w:rPr>
          <w:rFonts w:cstheme="minorHAnsi"/>
        </w:rPr>
        <w:t>ichotomous</w:t>
      </w:r>
      <w:r w:rsidR="004B2BD6" w:rsidRPr="008913FA">
        <w:rPr>
          <w:rFonts w:cstheme="minorHAnsi"/>
        </w:rPr>
        <w:t xml:space="preserve"> outcomes</w:t>
      </w:r>
      <w:r w:rsidRPr="008913FA">
        <w:rPr>
          <w:rFonts w:cstheme="minorHAnsi"/>
        </w:rPr>
        <w:t>,</w:t>
      </w:r>
      <w:r w:rsidR="004B2BD6" w:rsidRPr="008913FA">
        <w:rPr>
          <w:rFonts w:cstheme="minorHAnsi"/>
        </w:rPr>
        <w:t xml:space="preserve"> </w:t>
      </w:r>
      <w:r w:rsidR="00B2652D" w:rsidRPr="008913FA">
        <w:rPr>
          <w:rFonts w:cstheme="minorHAnsi"/>
        </w:rPr>
        <w:t>includ</w:t>
      </w:r>
      <w:r w:rsidRPr="008913FA">
        <w:rPr>
          <w:rFonts w:cstheme="minorHAnsi"/>
        </w:rPr>
        <w:t xml:space="preserve">ing </w:t>
      </w:r>
      <w:r w:rsidR="004B2BD6" w:rsidRPr="008913FA">
        <w:rPr>
          <w:rFonts w:cstheme="minorHAnsi"/>
        </w:rPr>
        <w:t xml:space="preserve">mortality at 30 days, </w:t>
      </w:r>
      <w:r w:rsidRPr="008913FA">
        <w:rPr>
          <w:rFonts w:cstheme="minorHAnsi"/>
        </w:rPr>
        <w:t>r</w:t>
      </w:r>
      <w:r w:rsidR="004B2BD6" w:rsidRPr="008913FA">
        <w:rPr>
          <w:rFonts w:cstheme="minorHAnsi"/>
        </w:rPr>
        <w:t>eoperation</w:t>
      </w:r>
      <w:r w:rsidRPr="008913FA">
        <w:rPr>
          <w:rFonts w:cstheme="minorHAnsi"/>
        </w:rPr>
        <w:t>,</w:t>
      </w:r>
      <w:r w:rsidR="004B2BD6" w:rsidRPr="008913FA">
        <w:rPr>
          <w:rFonts w:cstheme="minorHAnsi"/>
        </w:rPr>
        <w:t xml:space="preserve"> and</w:t>
      </w:r>
      <w:r w:rsidR="00B2652D" w:rsidRPr="008913FA">
        <w:rPr>
          <w:rFonts w:cstheme="minorHAnsi"/>
        </w:rPr>
        <w:t xml:space="preserve"> </w:t>
      </w:r>
      <w:r w:rsidRPr="008913FA">
        <w:rPr>
          <w:rFonts w:cstheme="minorHAnsi"/>
        </w:rPr>
        <w:t>r</w:t>
      </w:r>
      <w:r w:rsidR="00B2652D" w:rsidRPr="008913FA">
        <w:rPr>
          <w:rFonts w:cstheme="minorHAnsi"/>
        </w:rPr>
        <w:t>eadmission</w:t>
      </w:r>
      <w:r w:rsidRPr="008913FA">
        <w:rPr>
          <w:rFonts w:cstheme="minorHAnsi"/>
        </w:rPr>
        <w:t>.</w:t>
      </w:r>
    </w:p>
    <w:p w14:paraId="61B36EE1" w14:textId="3383674C" w:rsidR="00564884" w:rsidRPr="008913FA" w:rsidRDefault="00564884" w:rsidP="004127ED">
      <w:pPr>
        <w:pStyle w:val="ListParagraph"/>
        <w:numPr>
          <w:ilvl w:val="0"/>
          <w:numId w:val="10"/>
        </w:numPr>
        <w:spacing w:after="0" w:line="240" w:lineRule="auto"/>
        <w:jc w:val="both"/>
        <w:rPr>
          <w:rFonts w:cstheme="minorHAnsi"/>
        </w:rPr>
      </w:pPr>
      <w:r w:rsidRPr="008913FA">
        <w:rPr>
          <w:rFonts w:cstheme="minorHAnsi"/>
        </w:rPr>
        <w:t xml:space="preserve">Dichotomous treatment exposure to device of interest, </w:t>
      </w:r>
      <w:r w:rsidR="00656535" w:rsidRPr="008913FA">
        <w:rPr>
          <w:rFonts w:cstheme="minorHAnsi"/>
        </w:rPr>
        <w:t>designated</w:t>
      </w:r>
      <w:r w:rsidRPr="008913FA">
        <w:rPr>
          <w:rFonts w:cstheme="minorHAnsi"/>
        </w:rPr>
        <w:t xml:space="preserve"> as “Device B”</w:t>
      </w:r>
    </w:p>
    <w:p w14:paraId="19043390" w14:textId="68AC4010" w:rsidR="00656535" w:rsidRPr="008913FA" w:rsidRDefault="00656535" w:rsidP="004127ED">
      <w:pPr>
        <w:pStyle w:val="ListParagraph"/>
        <w:numPr>
          <w:ilvl w:val="0"/>
          <w:numId w:val="10"/>
        </w:numPr>
        <w:spacing w:after="0" w:line="240" w:lineRule="auto"/>
        <w:jc w:val="both"/>
        <w:rPr>
          <w:rFonts w:cstheme="minorHAnsi"/>
        </w:rPr>
      </w:pPr>
      <w:r w:rsidRPr="008913FA">
        <w:rPr>
          <w:rFonts w:cstheme="minorHAnsi"/>
        </w:rPr>
        <w:t>The procedure date, used as a sequencer</w:t>
      </w:r>
      <w:r w:rsidR="0072586A" w:rsidRPr="008913FA">
        <w:rPr>
          <w:rFonts w:cstheme="minorHAnsi"/>
        </w:rPr>
        <w:t xml:space="preserve"> data field that provides the occurrence date for the treatment</w:t>
      </w:r>
      <w:r w:rsidRPr="008913FA">
        <w:rPr>
          <w:rFonts w:cstheme="minorHAnsi"/>
        </w:rPr>
        <w:t>.</w:t>
      </w:r>
      <w:r w:rsidR="004B2BD6" w:rsidRPr="008913FA">
        <w:rPr>
          <w:rFonts w:cstheme="minorHAnsi"/>
        </w:rPr>
        <w:t xml:space="preserve"> </w:t>
      </w:r>
    </w:p>
    <w:p w14:paraId="0FFA7771" w14:textId="05DED8FE" w:rsidR="006F2544" w:rsidRPr="00463D42" w:rsidRDefault="00B2652D" w:rsidP="004127ED">
      <w:pPr>
        <w:spacing w:after="0" w:line="240" w:lineRule="auto"/>
        <w:jc w:val="both"/>
        <w:rPr>
          <w:rFonts w:cstheme="minorHAnsi"/>
        </w:rPr>
      </w:pPr>
      <w:r w:rsidRPr="00463D42">
        <w:rPr>
          <w:rFonts w:cstheme="minorHAnsi"/>
        </w:rPr>
        <w:t>In addition</w:t>
      </w:r>
      <w:r w:rsidR="004B2BD6" w:rsidRPr="00463D42">
        <w:rPr>
          <w:rFonts w:cstheme="minorHAnsi"/>
        </w:rPr>
        <w:t xml:space="preserve"> </w:t>
      </w:r>
      <w:r w:rsidRPr="00463D42">
        <w:rPr>
          <w:rFonts w:cstheme="minorHAnsi"/>
        </w:rPr>
        <w:t>to the general parameters above, e</w:t>
      </w:r>
      <w:r w:rsidR="000E375D" w:rsidRPr="00463D42">
        <w:rPr>
          <w:rFonts w:cstheme="minorHAnsi"/>
        </w:rPr>
        <w:t>ach</w:t>
      </w:r>
      <w:r w:rsidR="00330B9B" w:rsidRPr="00463D42">
        <w:rPr>
          <w:rFonts w:cstheme="minorHAnsi"/>
        </w:rPr>
        <w:t xml:space="preserve"> </w:t>
      </w:r>
      <w:r w:rsidR="00C1343E" w:rsidRPr="00463D42">
        <w:rPr>
          <w:rFonts w:cstheme="minorHAnsi"/>
        </w:rPr>
        <w:t>analytic method requires further configuration, using DELTA based parameters</w:t>
      </w:r>
      <w:r w:rsidR="00384DCA" w:rsidRPr="00463D42">
        <w:rPr>
          <w:rFonts w:cstheme="minorHAnsi"/>
        </w:rPr>
        <w:t>, as described below.</w:t>
      </w:r>
    </w:p>
    <w:p w14:paraId="362F1597" w14:textId="244F4427" w:rsidR="000E375D" w:rsidRPr="00463D42" w:rsidRDefault="000E375D" w:rsidP="004127ED">
      <w:pPr>
        <w:spacing w:after="0" w:line="240" w:lineRule="auto"/>
        <w:jc w:val="both"/>
        <w:rPr>
          <w:rFonts w:cstheme="minorHAnsi"/>
        </w:rPr>
      </w:pPr>
    </w:p>
    <w:p w14:paraId="62539F66" w14:textId="33F66EC4" w:rsidR="000E375D" w:rsidRPr="00463D42" w:rsidRDefault="000E375D" w:rsidP="004127ED">
      <w:pPr>
        <w:spacing w:after="0" w:line="240" w:lineRule="auto"/>
        <w:jc w:val="both"/>
        <w:rPr>
          <w:rFonts w:cstheme="minorHAnsi"/>
        </w:rPr>
      </w:pPr>
      <w:r w:rsidRPr="00463D42">
        <w:rPr>
          <w:rFonts w:cstheme="minorHAnsi"/>
          <w:u w:val="single"/>
        </w:rPr>
        <w:t>LR and LR-AVS:</w:t>
      </w:r>
      <w:r w:rsidRPr="00463D42">
        <w:rPr>
          <w:rFonts w:cstheme="minorHAnsi"/>
        </w:rPr>
        <w:t xml:space="preserve"> Each analysis was configured to utilize approximately half of the available data when building predictive statistical models and the remaining half was for evaluating outcomes.</w:t>
      </w:r>
      <w:r w:rsidR="00E565B1" w:rsidRPr="00463D42">
        <w:rPr>
          <w:rFonts w:cstheme="minorHAnsi"/>
        </w:rPr>
        <w:t xml:space="preserve"> Automated variable selection (AVS) was enabled in LR-AVS and disabled in LR.</w:t>
      </w:r>
    </w:p>
    <w:p w14:paraId="66FE26BB" w14:textId="77777777" w:rsidR="000E375D" w:rsidRPr="00463D42" w:rsidRDefault="000E375D" w:rsidP="004127ED">
      <w:pPr>
        <w:spacing w:after="0" w:line="240" w:lineRule="auto"/>
        <w:jc w:val="both"/>
        <w:rPr>
          <w:rFonts w:cstheme="minorHAnsi"/>
        </w:rPr>
      </w:pPr>
    </w:p>
    <w:p w14:paraId="787A8ACD" w14:textId="41BE4745" w:rsidR="00E45983" w:rsidRPr="00463D42" w:rsidRDefault="000E375D" w:rsidP="004127ED">
      <w:pPr>
        <w:spacing w:after="0" w:line="240" w:lineRule="auto"/>
        <w:jc w:val="both"/>
        <w:rPr>
          <w:rFonts w:cstheme="minorHAnsi"/>
        </w:rPr>
      </w:pPr>
      <w:r w:rsidRPr="00463D42">
        <w:rPr>
          <w:rFonts w:cstheme="minorHAnsi"/>
          <w:u w:val="single"/>
        </w:rPr>
        <w:t>PSM:</w:t>
      </w:r>
      <w:r w:rsidRPr="00463D42">
        <w:rPr>
          <w:rFonts w:cstheme="minorHAnsi"/>
        </w:rPr>
        <w:t xml:space="preserve"> </w:t>
      </w:r>
      <w:r w:rsidR="00E45983" w:rsidRPr="00463D42">
        <w:rPr>
          <w:rFonts w:cstheme="minorHAnsi"/>
        </w:rPr>
        <w:t xml:space="preserve">A matching ratio of 1:1, without replacement, utilizing a random matching order and closest match type was configured, along with a caliper width of was 0.2 of the standard deviation of the logit of the PS. AVS was enabled and the treatment model based on a logit link function. </w:t>
      </w:r>
    </w:p>
    <w:p w14:paraId="63E14930" w14:textId="20BF15C9" w:rsidR="000E375D" w:rsidRPr="00463D42" w:rsidRDefault="000E375D" w:rsidP="004127ED">
      <w:pPr>
        <w:spacing w:after="0" w:line="240" w:lineRule="auto"/>
        <w:jc w:val="both"/>
        <w:rPr>
          <w:rFonts w:cstheme="minorHAnsi"/>
        </w:rPr>
      </w:pPr>
    </w:p>
    <w:p w14:paraId="559FE4C5" w14:textId="12F6AD5E" w:rsidR="000E375D" w:rsidRPr="00463D42" w:rsidRDefault="006F2544" w:rsidP="004127ED">
      <w:pPr>
        <w:spacing w:after="0" w:line="240" w:lineRule="auto"/>
        <w:jc w:val="both"/>
        <w:rPr>
          <w:rFonts w:cstheme="minorHAnsi"/>
        </w:rPr>
      </w:pPr>
      <w:r w:rsidRPr="00463D42">
        <w:rPr>
          <w:rFonts w:cstheme="minorHAnsi"/>
          <w:u w:val="single"/>
        </w:rPr>
        <w:t>IPTW</w:t>
      </w:r>
      <w:r w:rsidR="000E375D" w:rsidRPr="00463D42">
        <w:rPr>
          <w:rFonts w:cstheme="minorHAnsi"/>
          <w:u w:val="single"/>
        </w:rPr>
        <w:t>:</w:t>
      </w:r>
      <w:r w:rsidR="000E375D" w:rsidRPr="00463D42">
        <w:rPr>
          <w:rFonts w:cstheme="minorHAnsi"/>
        </w:rPr>
        <w:t xml:space="preserve"> Trimming was allowed at the 5</w:t>
      </w:r>
      <w:r w:rsidR="000E375D" w:rsidRPr="00463D42">
        <w:rPr>
          <w:rFonts w:cstheme="minorHAnsi"/>
          <w:vertAlign w:val="superscript"/>
        </w:rPr>
        <w:t>th</w:t>
      </w:r>
      <w:r w:rsidR="000E375D" w:rsidRPr="00463D42">
        <w:rPr>
          <w:rFonts w:cstheme="minorHAnsi"/>
        </w:rPr>
        <w:t xml:space="preserve"> and 95</w:t>
      </w:r>
      <w:r w:rsidR="000E375D" w:rsidRPr="00463D42">
        <w:rPr>
          <w:rFonts w:cstheme="minorHAnsi"/>
          <w:vertAlign w:val="superscript"/>
        </w:rPr>
        <w:t>th</w:t>
      </w:r>
      <w:r w:rsidR="000E375D" w:rsidRPr="00463D42">
        <w:rPr>
          <w:rFonts w:cstheme="minorHAnsi"/>
        </w:rPr>
        <w:t xml:space="preserve"> </w:t>
      </w:r>
      <w:r w:rsidR="00616D3D" w:rsidRPr="00463D42">
        <w:rPr>
          <w:rFonts w:cstheme="minorHAnsi"/>
        </w:rPr>
        <w:t>percentiles</w:t>
      </w:r>
      <w:r w:rsidR="00451649" w:rsidRPr="00463D42">
        <w:rPr>
          <w:rFonts w:cstheme="minorHAnsi"/>
        </w:rPr>
        <w:t xml:space="preserve"> and </w:t>
      </w:r>
      <w:r w:rsidR="000E375D" w:rsidRPr="00463D42">
        <w:rPr>
          <w:rFonts w:cstheme="minorHAnsi"/>
        </w:rPr>
        <w:t>stabi</w:t>
      </w:r>
      <w:r w:rsidR="00B2652D" w:rsidRPr="00463D42">
        <w:rPr>
          <w:rFonts w:cstheme="minorHAnsi"/>
        </w:rPr>
        <w:t xml:space="preserve">lization of weights was </w:t>
      </w:r>
      <w:r w:rsidR="00616D3D" w:rsidRPr="00463D42">
        <w:rPr>
          <w:rFonts w:cstheme="minorHAnsi"/>
        </w:rPr>
        <w:t>disabled</w:t>
      </w:r>
      <w:r w:rsidR="00451649" w:rsidRPr="00463D42">
        <w:rPr>
          <w:rFonts w:cstheme="minorHAnsi"/>
        </w:rPr>
        <w:t xml:space="preserve">. AVS was enabled and the </w:t>
      </w:r>
      <w:r w:rsidR="00236245" w:rsidRPr="00463D42">
        <w:rPr>
          <w:rFonts w:cstheme="minorHAnsi"/>
        </w:rPr>
        <w:t>treatment model based on a logit</w:t>
      </w:r>
      <w:r w:rsidR="00451649" w:rsidRPr="00463D42">
        <w:rPr>
          <w:rFonts w:cstheme="minorHAnsi"/>
        </w:rPr>
        <w:t xml:space="preserve"> link function.</w:t>
      </w:r>
    </w:p>
    <w:p w14:paraId="79F8CA7E" w14:textId="5EBBF6EC" w:rsidR="000E375D" w:rsidRPr="00463D42" w:rsidRDefault="000E375D" w:rsidP="004127ED">
      <w:pPr>
        <w:spacing w:after="0" w:line="240" w:lineRule="auto"/>
        <w:jc w:val="both"/>
        <w:rPr>
          <w:rFonts w:cstheme="minorHAnsi"/>
        </w:rPr>
      </w:pPr>
    </w:p>
    <w:p w14:paraId="4DC74F45" w14:textId="3BC10CB1" w:rsidR="005B30F9" w:rsidRPr="00463D42" w:rsidRDefault="000E375D" w:rsidP="004127ED">
      <w:pPr>
        <w:spacing w:after="0" w:line="240" w:lineRule="auto"/>
        <w:jc w:val="both"/>
        <w:rPr>
          <w:rFonts w:cstheme="minorHAnsi"/>
        </w:rPr>
      </w:pPr>
      <w:r w:rsidRPr="00463D42">
        <w:rPr>
          <w:rFonts w:cstheme="minorHAnsi"/>
          <w:u w:val="single"/>
        </w:rPr>
        <w:t>WBO</w:t>
      </w:r>
      <w:r w:rsidRPr="00463D42">
        <w:rPr>
          <w:rFonts w:cstheme="minorHAnsi"/>
        </w:rPr>
        <w:t xml:space="preserve">: </w:t>
      </w:r>
      <w:r w:rsidR="005B30F9" w:rsidRPr="00463D42">
        <w:rPr>
          <w:rFonts w:cstheme="minorHAnsi"/>
        </w:rPr>
        <w:t xml:space="preserve">AVS was enabled and the treatment </w:t>
      </w:r>
      <w:r w:rsidR="00AF162C" w:rsidRPr="00463D42">
        <w:rPr>
          <w:rFonts w:cstheme="minorHAnsi"/>
        </w:rPr>
        <w:t xml:space="preserve">was </w:t>
      </w:r>
      <w:r w:rsidR="005B30F9" w:rsidRPr="00463D42">
        <w:rPr>
          <w:rFonts w:cstheme="minorHAnsi"/>
        </w:rPr>
        <w:t>model based on a logi</w:t>
      </w:r>
      <w:r w:rsidR="001F392E" w:rsidRPr="00463D42">
        <w:rPr>
          <w:rFonts w:cstheme="minorHAnsi"/>
        </w:rPr>
        <w:t>t</w:t>
      </w:r>
      <w:r w:rsidR="005B30F9" w:rsidRPr="00463D42">
        <w:rPr>
          <w:rFonts w:cstheme="minorHAnsi"/>
        </w:rPr>
        <w:t xml:space="preserve"> link function.</w:t>
      </w:r>
    </w:p>
    <w:p w14:paraId="4D8FA93C" w14:textId="150349B3" w:rsidR="00B2652D" w:rsidRPr="00463D42" w:rsidRDefault="00B2652D" w:rsidP="004127ED">
      <w:pPr>
        <w:spacing w:after="0" w:line="240" w:lineRule="auto"/>
        <w:jc w:val="both"/>
        <w:rPr>
          <w:rFonts w:cstheme="minorHAnsi"/>
        </w:rPr>
      </w:pPr>
    </w:p>
    <w:p w14:paraId="1B494D1B" w14:textId="37E96929" w:rsidR="000E375D" w:rsidRPr="00463D42" w:rsidRDefault="00B2652D" w:rsidP="004127ED">
      <w:pPr>
        <w:spacing w:after="0" w:line="240" w:lineRule="auto"/>
        <w:jc w:val="both"/>
        <w:rPr>
          <w:rFonts w:cstheme="minorHAnsi"/>
        </w:rPr>
      </w:pPr>
      <w:r w:rsidRPr="00463D42">
        <w:rPr>
          <w:rFonts w:cstheme="minorHAnsi"/>
          <w:u w:val="single"/>
        </w:rPr>
        <w:t>SPRT</w:t>
      </w:r>
      <w:r w:rsidRPr="00463D42">
        <w:rPr>
          <w:rFonts w:cstheme="minorHAnsi"/>
        </w:rPr>
        <w:t xml:space="preserve">: </w:t>
      </w:r>
      <w:r w:rsidR="005B30F9" w:rsidRPr="00463D42">
        <w:rPr>
          <w:rFonts w:cstheme="minorHAnsi"/>
        </w:rPr>
        <w:t xml:space="preserve">The </w:t>
      </w:r>
      <w:r w:rsidRPr="00463D42">
        <w:rPr>
          <w:rFonts w:cstheme="minorHAnsi"/>
        </w:rPr>
        <w:t>alpha</w:t>
      </w:r>
      <w:r w:rsidR="005B30F9" w:rsidRPr="00463D42">
        <w:rPr>
          <w:rFonts w:cstheme="minorHAnsi"/>
        </w:rPr>
        <w:t xml:space="preserve"> and beta</w:t>
      </w:r>
      <w:r w:rsidRPr="00463D42">
        <w:rPr>
          <w:rFonts w:cstheme="minorHAnsi"/>
        </w:rPr>
        <w:t xml:space="preserve"> error</w:t>
      </w:r>
      <w:r w:rsidR="005B30F9" w:rsidRPr="00463D42">
        <w:rPr>
          <w:rFonts w:cstheme="minorHAnsi"/>
        </w:rPr>
        <w:t xml:space="preserve"> values were configured to</w:t>
      </w:r>
      <w:r w:rsidRPr="00463D42">
        <w:rPr>
          <w:rFonts w:cstheme="minorHAnsi"/>
        </w:rPr>
        <w:t xml:space="preserve"> 0.1</w:t>
      </w:r>
      <w:r w:rsidR="005B30F9" w:rsidRPr="00463D42">
        <w:rPr>
          <w:rFonts w:cstheme="minorHAnsi"/>
        </w:rPr>
        <w:t xml:space="preserve">, the </w:t>
      </w:r>
      <w:r w:rsidR="00E565B1" w:rsidRPr="00463D42">
        <w:rPr>
          <w:rFonts w:cstheme="minorHAnsi"/>
        </w:rPr>
        <w:t xml:space="preserve">odds ratio </w:t>
      </w:r>
      <w:r w:rsidR="005B30F9" w:rsidRPr="00463D42">
        <w:rPr>
          <w:rFonts w:cstheme="minorHAnsi"/>
        </w:rPr>
        <w:t>to</w:t>
      </w:r>
      <w:r w:rsidR="00E565B1" w:rsidRPr="00463D42">
        <w:rPr>
          <w:rFonts w:cstheme="minorHAnsi"/>
        </w:rPr>
        <w:t xml:space="preserve"> 1.5</w:t>
      </w:r>
      <w:r w:rsidR="005B30F9" w:rsidRPr="00463D42">
        <w:rPr>
          <w:rFonts w:cstheme="minorHAnsi"/>
        </w:rPr>
        <w:t>, and</w:t>
      </w:r>
      <w:r w:rsidR="00E565B1" w:rsidRPr="00463D42">
        <w:rPr>
          <w:rFonts w:cstheme="minorHAnsi"/>
        </w:rPr>
        <w:t xml:space="preserve"> AVS was enabled.</w:t>
      </w:r>
    </w:p>
    <w:p w14:paraId="18B6D982" w14:textId="77777777" w:rsidR="000E375D" w:rsidRPr="00463D42" w:rsidRDefault="000E375D" w:rsidP="004127ED">
      <w:pPr>
        <w:spacing w:after="0" w:line="240" w:lineRule="auto"/>
        <w:jc w:val="both"/>
        <w:rPr>
          <w:rFonts w:cstheme="minorHAnsi"/>
        </w:rPr>
      </w:pPr>
    </w:p>
    <w:p w14:paraId="0DEC42FE" w14:textId="7810A7FB" w:rsidR="0072586A" w:rsidRPr="00463D42" w:rsidRDefault="00E565B1" w:rsidP="004127ED">
      <w:pPr>
        <w:spacing w:after="0" w:line="240" w:lineRule="auto"/>
        <w:jc w:val="both"/>
        <w:rPr>
          <w:rFonts w:cstheme="minorHAnsi"/>
        </w:rPr>
      </w:pPr>
      <w:r w:rsidRPr="00463D42">
        <w:rPr>
          <w:rFonts w:cstheme="minorHAnsi"/>
        </w:rPr>
        <w:t xml:space="preserve">In </w:t>
      </w:r>
      <w:r w:rsidR="00330B9B" w:rsidRPr="00463D42">
        <w:rPr>
          <w:rFonts w:cstheme="minorHAnsi"/>
        </w:rPr>
        <w:t>T</w:t>
      </w:r>
      <w:r w:rsidRPr="00463D42">
        <w:rPr>
          <w:rFonts w:cstheme="minorHAnsi"/>
        </w:rPr>
        <w:t xml:space="preserve">est 2, </w:t>
      </w:r>
      <w:r w:rsidRPr="00463D42">
        <w:rPr>
          <w:rFonts w:eastAsia="Calibri" w:cstheme="minorHAnsi"/>
          <w:bCs/>
          <w:iCs/>
        </w:rPr>
        <w:t>t</w:t>
      </w:r>
      <w:r w:rsidR="006F2544" w:rsidRPr="00463D42">
        <w:rPr>
          <w:rFonts w:eastAsia="Calibri" w:cstheme="minorHAnsi"/>
          <w:bCs/>
          <w:iCs/>
        </w:rPr>
        <w:t xml:space="preserve">he </w:t>
      </w:r>
      <w:r w:rsidRPr="00463D42">
        <w:rPr>
          <w:rFonts w:eastAsia="Calibri" w:cstheme="minorHAnsi"/>
          <w:bCs/>
          <w:iCs/>
        </w:rPr>
        <w:t xml:space="preserve">covariates included </w:t>
      </w:r>
      <w:r w:rsidR="00E455CC" w:rsidRPr="00463D42">
        <w:rPr>
          <w:rFonts w:eastAsia="Calibri" w:cstheme="minorHAnsi"/>
          <w:bCs/>
          <w:iCs/>
        </w:rPr>
        <w:t xml:space="preserve">risk factors for </w:t>
      </w:r>
      <w:r w:rsidR="006F2544" w:rsidRPr="00463D42">
        <w:rPr>
          <w:rFonts w:eastAsia="Calibri" w:cstheme="minorHAnsi"/>
          <w:bCs/>
          <w:iCs/>
        </w:rPr>
        <w:t xml:space="preserve">mortality at one year, </w:t>
      </w:r>
      <w:r w:rsidR="006F2544" w:rsidRPr="00463D42">
        <w:rPr>
          <w:rFonts w:cstheme="minorHAnsi"/>
        </w:rPr>
        <w:t>based on a previously validated risk adjustment model for coronary stent procedures</w:t>
      </w:r>
      <w:r w:rsidR="005B29C3" w:rsidRPr="00463D42">
        <w:rPr>
          <w:rFonts w:cstheme="minorHAnsi"/>
        </w:rPr>
        <w:t xml:space="preserve">- </w:t>
      </w:r>
      <w:r w:rsidR="006F2544" w:rsidRPr="00463D42">
        <w:rPr>
          <w:rFonts w:cstheme="minorHAnsi"/>
        </w:rPr>
        <w:t xml:space="preserve">age &gt;65 years, gender, race, marital status, alcohol </w:t>
      </w:r>
      <w:r w:rsidR="006F2544" w:rsidRPr="00463D42">
        <w:rPr>
          <w:rFonts w:cstheme="minorHAnsi"/>
        </w:rPr>
        <w:lastRenderedPageBreak/>
        <w:t xml:space="preserve">use, illicit drug use, myocardial infarction, shock, chronic obstructive pulmonary disease, diabetes mellitus, end-stage renal disease on dialysis, and an ejection fraction less than 30%. </w:t>
      </w:r>
      <w:r w:rsidR="005B29C3" w:rsidRPr="00463D42">
        <w:rPr>
          <w:rFonts w:cstheme="minorHAnsi"/>
        </w:rPr>
        <w:t>Studies were additionally configured in DELTA as follows:</w:t>
      </w:r>
    </w:p>
    <w:p w14:paraId="6DDBB092" w14:textId="11832193" w:rsidR="00616D3D" w:rsidRPr="00463D42" w:rsidRDefault="00616D3D" w:rsidP="004127ED">
      <w:pPr>
        <w:spacing w:after="0" w:line="240" w:lineRule="auto"/>
        <w:jc w:val="both"/>
        <w:rPr>
          <w:rFonts w:cstheme="minorHAnsi"/>
        </w:rPr>
      </w:pPr>
    </w:p>
    <w:p w14:paraId="6EABC2D1" w14:textId="2EA9728E" w:rsidR="00616D3D" w:rsidRPr="00463D42" w:rsidRDefault="00616D3D" w:rsidP="004127ED">
      <w:pPr>
        <w:spacing w:after="0" w:line="240" w:lineRule="auto"/>
        <w:jc w:val="both"/>
        <w:rPr>
          <w:rFonts w:cstheme="minorHAnsi"/>
        </w:rPr>
      </w:pPr>
      <w:r w:rsidRPr="00463D42">
        <w:rPr>
          <w:rFonts w:cstheme="minorHAnsi"/>
          <w:u w:val="single"/>
        </w:rPr>
        <w:t>IPTW:</w:t>
      </w:r>
      <w:r w:rsidRPr="00463D42">
        <w:rPr>
          <w:rFonts w:cstheme="minorHAnsi"/>
        </w:rPr>
        <w:t xml:space="preserve"> Trimming was allowed at the 5</w:t>
      </w:r>
      <w:r w:rsidRPr="00463D42">
        <w:rPr>
          <w:rFonts w:cstheme="minorHAnsi"/>
          <w:vertAlign w:val="superscript"/>
        </w:rPr>
        <w:t>th</w:t>
      </w:r>
      <w:r w:rsidRPr="00463D42">
        <w:rPr>
          <w:rFonts w:cstheme="minorHAnsi"/>
        </w:rPr>
        <w:t xml:space="preserve"> and 95</w:t>
      </w:r>
      <w:r w:rsidRPr="00463D42">
        <w:rPr>
          <w:rFonts w:cstheme="minorHAnsi"/>
          <w:vertAlign w:val="superscript"/>
        </w:rPr>
        <w:t>th</w:t>
      </w:r>
      <w:r w:rsidRPr="00463D42">
        <w:rPr>
          <w:rFonts w:cstheme="minorHAnsi"/>
        </w:rPr>
        <w:t xml:space="preserve"> percentiles</w:t>
      </w:r>
      <w:r w:rsidR="00236245" w:rsidRPr="00463D42">
        <w:rPr>
          <w:rFonts w:cstheme="minorHAnsi"/>
        </w:rPr>
        <w:t xml:space="preserve"> and </w:t>
      </w:r>
      <w:r w:rsidRPr="00463D42">
        <w:rPr>
          <w:rFonts w:cstheme="minorHAnsi"/>
        </w:rPr>
        <w:t>stabilization of weights was enabled</w:t>
      </w:r>
      <w:r w:rsidR="00236245" w:rsidRPr="00463D42">
        <w:rPr>
          <w:rFonts w:cstheme="minorHAnsi"/>
        </w:rPr>
        <w:t>. AVS was enabled and the treatment model based on a logit link function.</w:t>
      </w:r>
    </w:p>
    <w:p w14:paraId="0CE74F98" w14:textId="11041793" w:rsidR="00E565B1" w:rsidRPr="00463D42" w:rsidRDefault="00616D3D" w:rsidP="004127ED">
      <w:pPr>
        <w:spacing w:after="0" w:line="240" w:lineRule="auto"/>
        <w:jc w:val="both"/>
        <w:rPr>
          <w:rFonts w:cstheme="minorHAnsi"/>
        </w:rPr>
      </w:pPr>
      <w:r w:rsidRPr="00463D42">
        <w:rPr>
          <w:rFonts w:cstheme="minorHAnsi"/>
          <w:u w:val="single"/>
        </w:rPr>
        <w:t>PSM-Survival</w:t>
      </w:r>
      <w:r w:rsidRPr="00463D42">
        <w:rPr>
          <w:rFonts w:cstheme="minorHAnsi"/>
        </w:rPr>
        <w:t xml:space="preserve">: Matching parameters </w:t>
      </w:r>
      <w:r w:rsidR="007464D2" w:rsidRPr="00463D42">
        <w:rPr>
          <w:rFonts w:cstheme="minorHAnsi"/>
        </w:rPr>
        <w:t>the same as those used in test 1. Additionally, t</w:t>
      </w:r>
      <w:r w:rsidRPr="00463D42">
        <w:rPr>
          <w:rFonts w:cstheme="minorHAnsi"/>
        </w:rPr>
        <w:t>he treatment of interest was</w:t>
      </w:r>
      <w:r w:rsidR="004B62FF" w:rsidRPr="00463D42">
        <w:rPr>
          <w:rFonts w:cstheme="minorHAnsi"/>
        </w:rPr>
        <w:t xml:space="preserve"> DES and the comparator was BMS,</w:t>
      </w:r>
      <w:r w:rsidRPr="00463D42">
        <w:rPr>
          <w:rFonts w:cstheme="minorHAnsi"/>
        </w:rPr>
        <w:t xml:space="preserve"> the outcome of interest was the occurrence </w:t>
      </w:r>
      <w:r w:rsidR="0072586A" w:rsidRPr="00463D42">
        <w:rPr>
          <w:rFonts w:cstheme="minorHAnsi"/>
        </w:rPr>
        <w:t xml:space="preserve">of </w:t>
      </w:r>
      <w:r w:rsidR="00C6191D" w:rsidRPr="00463D42">
        <w:rPr>
          <w:rFonts w:cstheme="minorHAnsi"/>
        </w:rPr>
        <w:t>mortality,</w:t>
      </w:r>
      <w:r w:rsidR="004B62FF" w:rsidRPr="00463D42">
        <w:rPr>
          <w:rFonts w:cstheme="minorHAnsi"/>
        </w:rPr>
        <w:t xml:space="preserve"> </w:t>
      </w:r>
      <w:r w:rsidRPr="00463D42">
        <w:rPr>
          <w:rFonts w:cstheme="minorHAnsi"/>
        </w:rPr>
        <w:t>and</w:t>
      </w:r>
      <w:r w:rsidR="00C6191D" w:rsidRPr="00463D42">
        <w:rPr>
          <w:rFonts w:cstheme="minorHAnsi"/>
        </w:rPr>
        <w:t xml:space="preserve"> </w:t>
      </w:r>
      <w:r w:rsidRPr="00463D42">
        <w:rPr>
          <w:rFonts w:cstheme="minorHAnsi"/>
        </w:rPr>
        <w:t>the survival time to event</w:t>
      </w:r>
      <w:r w:rsidR="004B62FF" w:rsidRPr="00463D42">
        <w:rPr>
          <w:rFonts w:cstheme="minorHAnsi"/>
        </w:rPr>
        <w:t xml:space="preserve"> was measured in months</w:t>
      </w:r>
      <w:r w:rsidRPr="00463D42">
        <w:rPr>
          <w:rFonts w:cstheme="minorHAnsi"/>
        </w:rPr>
        <w:t>.</w:t>
      </w:r>
    </w:p>
    <w:p w14:paraId="63CBE0E4" w14:textId="411C7A52" w:rsidR="009A3703" w:rsidRPr="00463D42" w:rsidRDefault="009A3703" w:rsidP="004127ED">
      <w:pPr>
        <w:spacing w:line="240" w:lineRule="auto"/>
        <w:jc w:val="both"/>
        <w:rPr>
          <w:rFonts w:cstheme="minorHAnsi"/>
          <w:b/>
        </w:rPr>
      </w:pPr>
    </w:p>
    <w:p w14:paraId="28DDCA26" w14:textId="20BF0DA4" w:rsidR="004003B3" w:rsidRPr="007E7F93" w:rsidRDefault="004003B3" w:rsidP="004127ED">
      <w:pPr>
        <w:pStyle w:val="Heading1"/>
        <w:jc w:val="both"/>
      </w:pPr>
      <w:bookmarkStart w:id="3" w:name="_Toc107395621"/>
      <w:r w:rsidRPr="007E7F93">
        <w:t>4.  Validation Study Results</w:t>
      </w:r>
      <w:r w:rsidR="005D74D4">
        <w:t>:</w:t>
      </w:r>
      <w:bookmarkEnd w:id="3"/>
      <w:r w:rsidRPr="007E7F93">
        <w:t xml:space="preserve">    </w:t>
      </w:r>
    </w:p>
    <w:p w14:paraId="5A2491E1" w14:textId="1C806F29" w:rsidR="004003B3" w:rsidRDefault="004003B3" w:rsidP="004127ED">
      <w:pPr>
        <w:spacing w:after="0" w:line="240" w:lineRule="auto"/>
        <w:jc w:val="both"/>
        <w:rPr>
          <w:rFonts w:cstheme="minorHAnsi"/>
        </w:rPr>
      </w:pPr>
      <w:bookmarkStart w:id="4" w:name="_Toc107395622"/>
      <w:r w:rsidRPr="00C42D78">
        <w:rPr>
          <w:rStyle w:val="Heading2Char"/>
        </w:rPr>
        <w:t>Test 1 - Synthetic Dataset Analyses:</w:t>
      </w:r>
      <w:bookmarkEnd w:id="4"/>
      <w:r w:rsidRPr="00463D42">
        <w:rPr>
          <w:rFonts w:cstheme="minorHAnsi"/>
          <w:b/>
        </w:rPr>
        <w:t xml:space="preserve">    </w:t>
      </w:r>
      <w:r w:rsidRPr="00463D42">
        <w:rPr>
          <w:rFonts w:cstheme="minorHAnsi"/>
        </w:rPr>
        <w:t xml:space="preserve">Descriptive statistics generated by DELTA for Test 1 closely matched the </w:t>
      </w:r>
      <w:r w:rsidR="00413716" w:rsidRPr="00463D42">
        <w:rPr>
          <w:rFonts w:cstheme="minorHAnsi"/>
        </w:rPr>
        <w:t xml:space="preserve">unblinded </w:t>
      </w:r>
      <w:r w:rsidRPr="00463D42">
        <w:rPr>
          <w:rFonts w:cstheme="minorHAnsi"/>
        </w:rPr>
        <w:t xml:space="preserve">source synthetic data distributions. </w:t>
      </w:r>
      <w:r w:rsidR="00413716" w:rsidRPr="00463D42">
        <w:rPr>
          <w:rFonts w:cstheme="minorHAnsi"/>
        </w:rPr>
        <w:t xml:space="preserve">  As </w:t>
      </w:r>
      <w:r w:rsidR="0072586A" w:rsidRPr="00463D42">
        <w:rPr>
          <w:rFonts w:cstheme="minorHAnsi"/>
        </w:rPr>
        <w:t>demonstrated in</w:t>
      </w:r>
      <w:r w:rsidR="00413716" w:rsidRPr="00463D42">
        <w:rPr>
          <w:rFonts w:cstheme="minorHAnsi"/>
        </w:rPr>
        <w:t xml:space="preserve"> Table </w:t>
      </w:r>
      <w:r w:rsidR="00463D42">
        <w:rPr>
          <w:rFonts w:cstheme="minorHAnsi"/>
        </w:rPr>
        <w:t>S</w:t>
      </w:r>
      <w:r w:rsidR="00413716" w:rsidRPr="00463D42">
        <w:rPr>
          <w:rFonts w:cstheme="minorHAnsi"/>
        </w:rPr>
        <w:t>1, the Cloud DELTA analysis was highly accurate</w:t>
      </w:r>
      <w:r w:rsidR="00794E47" w:rsidRPr="00463D42">
        <w:rPr>
          <w:rFonts w:cstheme="minorHAnsi"/>
        </w:rPr>
        <w:t>, matching</w:t>
      </w:r>
      <w:r w:rsidR="007A4F69">
        <w:rPr>
          <w:rFonts w:cstheme="minorHAnsi"/>
        </w:rPr>
        <w:t xml:space="preserve"> </w:t>
      </w:r>
      <w:r w:rsidR="004B2563">
        <w:rPr>
          <w:rFonts w:cstheme="minorHAnsi"/>
        </w:rPr>
        <w:t>21</w:t>
      </w:r>
      <w:r w:rsidR="00794E47" w:rsidRPr="00463D42">
        <w:rPr>
          <w:rFonts w:cstheme="minorHAnsi"/>
        </w:rPr>
        <w:t xml:space="preserve"> of 2</w:t>
      </w:r>
      <w:r w:rsidR="004B2563">
        <w:rPr>
          <w:rFonts w:cstheme="minorHAnsi"/>
        </w:rPr>
        <w:t>6</w:t>
      </w:r>
      <w:r w:rsidR="00794E47" w:rsidRPr="00463D42">
        <w:rPr>
          <w:rFonts w:cstheme="minorHAnsi"/>
        </w:rPr>
        <w:t xml:space="preserve"> covariates</w:t>
      </w:r>
      <w:r w:rsidR="004B2563">
        <w:rPr>
          <w:rFonts w:cstheme="minorHAnsi"/>
        </w:rPr>
        <w:t xml:space="preserve"> and outcomes</w:t>
      </w:r>
      <w:r w:rsidR="00794E47" w:rsidRPr="00463D42">
        <w:rPr>
          <w:rFonts w:cstheme="minorHAnsi"/>
        </w:rPr>
        <w:t xml:space="preserve"> with 100% accuracy and 99% for the remaining </w:t>
      </w:r>
      <w:r w:rsidR="004B2563">
        <w:rPr>
          <w:rFonts w:cstheme="minorHAnsi"/>
        </w:rPr>
        <w:t>five</w:t>
      </w:r>
      <w:r w:rsidR="00794E47" w:rsidRPr="00463D42">
        <w:rPr>
          <w:rFonts w:cstheme="minorHAnsi"/>
        </w:rPr>
        <w:t>.</w:t>
      </w:r>
    </w:p>
    <w:p w14:paraId="2C743835" w14:textId="2AFE8F7C" w:rsidR="00463D42" w:rsidRDefault="00463D42" w:rsidP="004127ED">
      <w:pPr>
        <w:spacing w:after="0" w:line="240" w:lineRule="auto"/>
        <w:jc w:val="both"/>
        <w:rPr>
          <w:rFonts w:cstheme="minorHAnsi"/>
        </w:rPr>
      </w:pPr>
    </w:p>
    <w:p w14:paraId="617E2A75" w14:textId="66CD39E6" w:rsidR="00463D42" w:rsidRPr="00463D42" w:rsidRDefault="00463D42" w:rsidP="004127ED">
      <w:pPr>
        <w:spacing w:line="240" w:lineRule="auto"/>
        <w:jc w:val="both"/>
        <w:rPr>
          <w:rFonts w:cstheme="minorHAnsi"/>
          <w:b/>
          <w:i/>
        </w:rPr>
      </w:pPr>
      <w:r w:rsidRPr="00463D42">
        <w:rPr>
          <w:rFonts w:cstheme="minorHAnsi"/>
          <w:b/>
          <w:i/>
        </w:rPr>
        <w:t xml:space="preserve">Table </w:t>
      </w:r>
      <w:r>
        <w:rPr>
          <w:rFonts w:cstheme="minorHAnsi"/>
          <w:b/>
          <w:i/>
        </w:rPr>
        <w:t>S</w:t>
      </w:r>
      <w:r w:rsidRPr="00463D42">
        <w:rPr>
          <w:rFonts w:cstheme="minorHAnsi"/>
          <w:b/>
          <w:i/>
        </w:rPr>
        <w:t>1:</w:t>
      </w:r>
      <w:r w:rsidRPr="00463D42">
        <w:rPr>
          <w:rFonts w:cstheme="minorHAnsi"/>
          <w:i/>
        </w:rPr>
        <w:t xml:space="preserve">   Accuracy of Cloud DELTA in determination of descriptive statistics for synthetic datasets.</w:t>
      </w:r>
    </w:p>
    <w:tbl>
      <w:tblPr>
        <w:tblW w:w="11082" w:type="dxa"/>
        <w:jc w:val="center"/>
        <w:tblLook w:val="04A0" w:firstRow="1" w:lastRow="0" w:firstColumn="1" w:lastColumn="0" w:noHBand="0" w:noVBand="1"/>
      </w:tblPr>
      <w:tblGrid>
        <w:gridCol w:w="1620"/>
        <w:gridCol w:w="657"/>
        <w:gridCol w:w="657"/>
        <w:gridCol w:w="581"/>
        <w:gridCol w:w="581"/>
        <w:gridCol w:w="581"/>
        <w:gridCol w:w="581"/>
        <w:gridCol w:w="581"/>
        <w:gridCol w:w="581"/>
        <w:gridCol w:w="581"/>
        <w:gridCol w:w="581"/>
        <w:gridCol w:w="500"/>
        <w:gridCol w:w="500"/>
        <w:gridCol w:w="500"/>
        <w:gridCol w:w="500"/>
        <w:gridCol w:w="500"/>
        <w:gridCol w:w="1000"/>
      </w:tblGrid>
      <w:tr w:rsidR="00D924D5" w:rsidRPr="00463D42" w14:paraId="1E3BF643" w14:textId="77777777" w:rsidTr="00463D42">
        <w:trPr>
          <w:trHeight w:val="225"/>
          <w:jc w:val="center"/>
        </w:trPr>
        <w:tc>
          <w:tcPr>
            <w:tcW w:w="1620" w:type="dxa"/>
            <w:tcBorders>
              <w:top w:val="single" w:sz="4" w:space="0" w:color="auto"/>
              <w:left w:val="single" w:sz="4" w:space="0" w:color="auto"/>
              <w:bottom w:val="nil"/>
              <w:right w:val="nil"/>
            </w:tcBorders>
            <w:shd w:val="clear" w:color="auto" w:fill="auto"/>
            <w:noWrap/>
            <w:hideMark/>
          </w:tcPr>
          <w:p w14:paraId="58735A77"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 </w:t>
            </w:r>
          </w:p>
        </w:tc>
        <w:tc>
          <w:tcPr>
            <w:tcW w:w="3057" w:type="dxa"/>
            <w:gridSpan w:val="5"/>
            <w:tcBorders>
              <w:top w:val="single" w:sz="4" w:space="0" w:color="auto"/>
              <w:left w:val="single" w:sz="4" w:space="0" w:color="auto"/>
              <w:bottom w:val="nil"/>
              <w:right w:val="single" w:sz="4" w:space="0" w:color="000000"/>
            </w:tcBorders>
            <w:shd w:val="clear" w:color="auto" w:fill="auto"/>
            <w:noWrap/>
            <w:hideMark/>
          </w:tcPr>
          <w:p w14:paraId="5C627898" w14:textId="77777777" w:rsidR="00D924D5" w:rsidRPr="00463D42" w:rsidRDefault="00D924D5" w:rsidP="004127ED">
            <w:pPr>
              <w:spacing w:after="0" w:line="240" w:lineRule="auto"/>
              <w:jc w:val="both"/>
              <w:rPr>
                <w:rFonts w:eastAsia="Times New Roman" w:cstheme="minorHAnsi"/>
                <w:b/>
                <w:bCs/>
                <w:color w:val="000000"/>
                <w:sz w:val="16"/>
                <w:szCs w:val="16"/>
              </w:rPr>
            </w:pPr>
            <w:r w:rsidRPr="00463D42">
              <w:rPr>
                <w:rFonts w:eastAsia="Times New Roman" w:cstheme="minorHAnsi"/>
                <w:b/>
                <w:bCs/>
                <w:color w:val="000000"/>
                <w:sz w:val="16"/>
                <w:szCs w:val="16"/>
              </w:rPr>
              <w:t>DELTA Results</w:t>
            </w:r>
          </w:p>
        </w:tc>
        <w:tc>
          <w:tcPr>
            <w:tcW w:w="2905" w:type="dxa"/>
            <w:gridSpan w:val="5"/>
            <w:tcBorders>
              <w:top w:val="single" w:sz="4" w:space="0" w:color="auto"/>
              <w:left w:val="nil"/>
              <w:bottom w:val="nil"/>
              <w:right w:val="single" w:sz="4" w:space="0" w:color="000000"/>
            </w:tcBorders>
            <w:shd w:val="clear" w:color="auto" w:fill="auto"/>
            <w:noWrap/>
            <w:hideMark/>
          </w:tcPr>
          <w:p w14:paraId="48B9589A" w14:textId="77777777" w:rsidR="00D924D5" w:rsidRPr="00463D42" w:rsidRDefault="00D924D5" w:rsidP="004127ED">
            <w:pPr>
              <w:spacing w:after="0" w:line="240" w:lineRule="auto"/>
              <w:jc w:val="both"/>
              <w:rPr>
                <w:rFonts w:eastAsia="Times New Roman" w:cstheme="minorHAnsi"/>
                <w:b/>
                <w:bCs/>
                <w:color w:val="000000"/>
                <w:sz w:val="16"/>
                <w:szCs w:val="16"/>
              </w:rPr>
            </w:pPr>
            <w:r w:rsidRPr="00463D42">
              <w:rPr>
                <w:rFonts w:eastAsia="Times New Roman" w:cstheme="minorHAnsi"/>
                <w:b/>
                <w:bCs/>
                <w:color w:val="000000"/>
                <w:sz w:val="16"/>
                <w:szCs w:val="16"/>
              </w:rPr>
              <w:t>VUMC Source Analysis</w:t>
            </w:r>
          </w:p>
        </w:tc>
        <w:tc>
          <w:tcPr>
            <w:tcW w:w="2500" w:type="dxa"/>
            <w:gridSpan w:val="5"/>
            <w:tcBorders>
              <w:top w:val="single" w:sz="4" w:space="0" w:color="auto"/>
              <w:left w:val="nil"/>
              <w:bottom w:val="nil"/>
              <w:right w:val="single" w:sz="4" w:space="0" w:color="000000"/>
            </w:tcBorders>
            <w:shd w:val="clear" w:color="auto" w:fill="auto"/>
            <w:noWrap/>
            <w:hideMark/>
          </w:tcPr>
          <w:p w14:paraId="0988EFAE" w14:textId="77777777" w:rsidR="00D924D5" w:rsidRPr="00463D42" w:rsidRDefault="00D924D5" w:rsidP="004127ED">
            <w:pPr>
              <w:spacing w:after="0" w:line="240" w:lineRule="auto"/>
              <w:jc w:val="both"/>
              <w:rPr>
                <w:rFonts w:eastAsia="Times New Roman" w:cstheme="minorHAnsi"/>
                <w:b/>
                <w:bCs/>
                <w:color w:val="000000"/>
                <w:sz w:val="16"/>
                <w:szCs w:val="16"/>
              </w:rPr>
            </w:pPr>
            <w:r w:rsidRPr="00463D42">
              <w:rPr>
                <w:rFonts w:eastAsia="Times New Roman" w:cstheme="minorHAnsi"/>
                <w:b/>
                <w:bCs/>
                <w:color w:val="000000"/>
                <w:sz w:val="16"/>
                <w:szCs w:val="16"/>
              </w:rPr>
              <w:t>Accuracy Calculation</w:t>
            </w:r>
          </w:p>
        </w:tc>
        <w:tc>
          <w:tcPr>
            <w:tcW w:w="1000" w:type="dxa"/>
            <w:tcBorders>
              <w:top w:val="single" w:sz="4" w:space="0" w:color="auto"/>
              <w:left w:val="nil"/>
              <w:bottom w:val="nil"/>
              <w:right w:val="single" w:sz="4" w:space="0" w:color="auto"/>
            </w:tcBorders>
            <w:shd w:val="clear" w:color="auto" w:fill="auto"/>
            <w:noWrap/>
            <w:hideMark/>
          </w:tcPr>
          <w:p w14:paraId="655F909E" w14:textId="77777777" w:rsidR="00D924D5" w:rsidRPr="00463D42" w:rsidRDefault="00D924D5" w:rsidP="004127ED">
            <w:pPr>
              <w:spacing w:after="0" w:line="240" w:lineRule="auto"/>
              <w:jc w:val="both"/>
              <w:rPr>
                <w:rFonts w:eastAsia="Times New Roman" w:cstheme="minorHAnsi"/>
                <w:b/>
                <w:bCs/>
                <w:color w:val="000000"/>
                <w:sz w:val="16"/>
                <w:szCs w:val="16"/>
              </w:rPr>
            </w:pPr>
            <w:r w:rsidRPr="00463D42">
              <w:rPr>
                <w:rFonts w:eastAsia="Times New Roman" w:cstheme="minorHAnsi"/>
                <w:b/>
                <w:bCs/>
                <w:color w:val="000000"/>
                <w:sz w:val="16"/>
                <w:szCs w:val="16"/>
              </w:rPr>
              <w:t>Summary</w:t>
            </w:r>
          </w:p>
        </w:tc>
      </w:tr>
      <w:tr w:rsidR="00D924D5" w:rsidRPr="00463D42" w14:paraId="3C18AD5A" w14:textId="77777777" w:rsidTr="00463D42">
        <w:trPr>
          <w:trHeight w:val="225"/>
          <w:jc w:val="center"/>
        </w:trPr>
        <w:tc>
          <w:tcPr>
            <w:tcW w:w="1620" w:type="dxa"/>
            <w:tcBorders>
              <w:top w:val="nil"/>
              <w:left w:val="single" w:sz="4" w:space="0" w:color="auto"/>
              <w:bottom w:val="nil"/>
              <w:right w:val="nil"/>
            </w:tcBorders>
            <w:shd w:val="clear" w:color="auto" w:fill="auto"/>
            <w:noWrap/>
            <w:hideMark/>
          </w:tcPr>
          <w:p w14:paraId="7D631B4A"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 </w:t>
            </w:r>
          </w:p>
        </w:tc>
        <w:tc>
          <w:tcPr>
            <w:tcW w:w="3057" w:type="dxa"/>
            <w:gridSpan w:val="5"/>
            <w:tcBorders>
              <w:top w:val="nil"/>
              <w:left w:val="single" w:sz="4" w:space="0" w:color="auto"/>
              <w:bottom w:val="nil"/>
              <w:right w:val="single" w:sz="4" w:space="0" w:color="000000"/>
            </w:tcBorders>
            <w:shd w:val="clear" w:color="auto" w:fill="auto"/>
            <w:noWrap/>
            <w:hideMark/>
          </w:tcPr>
          <w:p w14:paraId="5E1AD380" w14:textId="77777777" w:rsidR="00D924D5" w:rsidRPr="00463D42" w:rsidRDefault="00D924D5" w:rsidP="004127ED">
            <w:pPr>
              <w:spacing w:after="0" w:line="240" w:lineRule="auto"/>
              <w:jc w:val="both"/>
              <w:rPr>
                <w:rFonts w:eastAsia="Times New Roman" w:cstheme="minorHAnsi"/>
                <w:b/>
                <w:bCs/>
                <w:color w:val="000000"/>
                <w:sz w:val="16"/>
                <w:szCs w:val="16"/>
              </w:rPr>
            </w:pPr>
            <w:r w:rsidRPr="00463D42">
              <w:rPr>
                <w:rFonts w:eastAsia="Times New Roman" w:cstheme="minorHAnsi"/>
                <w:b/>
                <w:bCs/>
                <w:color w:val="000000"/>
                <w:sz w:val="16"/>
                <w:szCs w:val="16"/>
              </w:rPr>
              <w:t>Dataset</w:t>
            </w:r>
          </w:p>
        </w:tc>
        <w:tc>
          <w:tcPr>
            <w:tcW w:w="2905" w:type="dxa"/>
            <w:gridSpan w:val="5"/>
            <w:tcBorders>
              <w:top w:val="nil"/>
              <w:left w:val="nil"/>
              <w:bottom w:val="nil"/>
              <w:right w:val="single" w:sz="4" w:space="0" w:color="000000"/>
            </w:tcBorders>
            <w:shd w:val="clear" w:color="auto" w:fill="auto"/>
            <w:noWrap/>
            <w:hideMark/>
          </w:tcPr>
          <w:p w14:paraId="4630CBD0" w14:textId="77777777" w:rsidR="00D924D5" w:rsidRPr="00463D42" w:rsidRDefault="00D924D5" w:rsidP="004127ED">
            <w:pPr>
              <w:spacing w:after="0" w:line="240" w:lineRule="auto"/>
              <w:jc w:val="both"/>
              <w:rPr>
                <w:rFonts w:eastAsia="Times New Roman" w:cstheme="minorHAnsi"/>
                <w:b/>
                <w:bCs/>
                <w:color w:val="000000"/>
                <w:sz w:val="16"/>
                <w:szCs w:val="16"/>
              </w:rPr>
            </w:pPr>
            <w:r w:rsidRPr="00463D42">
              <w:rPr>
                <w:rFonts w:eastAsia="Times New Roman" w:cstheme="minorHAnsi"/>
                <w:b/>
                <w:bCs/>
                <w:color w:val="000000"/>
                <w:sz w:val="16"/>
                <w:szCs w:val="16"/>
              </w:rPr>
              <w:t>Dataset</w:t>
            </w:r>
          </w:p>
        </w:tc>
        <w:tc>
          <w:tcPr>
            <w:tcW w:w="2500" w:type="dxa"/>
            <w:gridSpan w:val="5"/>
            <w:tcBorders>
              <w:top w:val="nil"/>
              <w:left w:val="nil"/>
              <w:bottom w:val="nil"/>
              <w:right w:val="single" w:sz="4" w:space="0" w:color="000000"/>
            </w:tcBorders>
            <w:shd w:val="clear" w:color="auto" w:fill="auto"/>
            <w:noWrap/>
            <w:hideMark/>
          </w:tcPr>
          <w:p w14:paraId="5907BD22" w14:textId="77777777" w:rsidR="00D924D5" w:rsidRPr="00463D42" w:rsidRDefault="00D924D5" w:rsidP="004127ED">
            <w:pPr>
              <w:spacing w:after="0" w:line="240" w:lineRule="auto"/>
              <w:jc w:val="both"/>
              <w:rPr>
                <w:rFonts w:eastAsia="Times New Roman" w:cstheme="minorHAnsi"/>
                <w:b/>
                <w:bCs/>
                <w:color w:val="000000"/>
                <w:sz w:val="16"/>
                <w:szCs w:val="16"/>
              </w:rPr>
            </w:pPr>
            <w:r w:rsidRPr="00463D42">
              <w:rPr>
                <w:rFonts w:eastAsia="Times New Roman" w:cstheme="minorHAnsi"/>
                <w:b/>
                <w:bCs/>
                <w:color w:val="000000"/>
                <w:sz w:val="16"/>
                <w:szCs w:val="16"/>
              </w:rPr>
              <w:t>Dataset</w:t>
            </w:r>
          </w:p>
        </w:tc>
        <w:tc>
          <w:tcPr>
            <w:tcW w:w="1000" w:type="dxa"/>
            <w:tcBorders>
              <w:top w:val="nil"/>
              <w:left w:val="nil"/>
              <w:bottom w:val="nil"/>
              <w:right w:val="single" w:sz="4" w:space="0" w:color="auto"/>
            </w:tcBorders>
            <w:shd w:val="clear" w:color="auto" w:fill="auto"/>
            <w:noWrap/>
            <w:hideMark/>
          </w:tcPr>
          <w:p w14:paraId="18EFA1A3" w14:textId="77777777" w:rsidR="00D924D5" w:rsidRPr="00463D42" w:rsidRDefault="00D924D5" w:rsidP="004127ED">
            <w:pPr>
              <w:spacing w:after="0" w:line="240" w:lineRule="auto"/>
              <w:jc w:val="both"/>
              <w:rPr>
                <w:rFonts w:eastAsia="Times New Roman" w:cstheme="minorHAnsi"/>
                <w:b/>
                <w:bCs/>
                <w:color w:val="000000"/>
                <w:sz w:val="16"/>
                <w:szCs w:val="16"/>
              </w:rPr>
            </w:pPr>
            <w:r w:rsidRPr="00463D42">
              <w:rPr>
                <w:rFonts w:eastAsia="Times New Roman" w:cstheme="minorHAnsi"/>
                <w:b/>
                <w:bCs/>
                <w:color w:val="000000"/>
                <w:sz w:val="16"/>
                <w:szCs w:val="16"/>
              </w:rPr>
              <w:t>Accuracy</w:t>
            </w:r>
          </w:p>
        </w:tc>
      </w:tr>
      <w:tr w:rsidR="00D924D5" w:rsidRPr="00463D42" w14:paraId="0724DDAD" w14:textId="77777777" w:rsidTr="00463D42">
        <w:trPr>
          <w:trHeight w:val="210"/>
          <w:jc w:val="center"/>
        </w:trPr>
        <w:tc>
          <w:tcPr>
            <w:tcW w:w="1620" w:type="dxa"/>
            <w:tcBorders>
              <w:top w:val="nil"/>
              <w:left w:val="single" w:sz="4" w:space="0" w:color="auto"/>
              <w:bottom w:val="single" w:sz="4" w:space="0" w:color="auto"/>
              <w:right w:val="nil"/>
            </w:tcBorders>
            <w:shd w:val="clear" w:color="auto" w:fill="auto"/>
            <w:noWrap/>
            <w:hideMark/>
          </w:tcPr>
          <w:p w14:paraId="19BF25F2" w14:textId="77777777" w:rsidR="00D924D5" w:rsidRPr="00463D42" w:rsidRDefault="00D924D5" w:rsidP="004127ED">
            <w:pPr>
              <w:spacing w:after="0" w:line="240" w:lineRule="auto"/>
              <w:jc w:val="both"/>
              <w:rPr>
                <w:rFonts w:eastAsia="Times New Roman" w:cstheme="minorHAnsi"/>
                <w:b/>
                <w:bCs/>
                <w:color w:val="000000"/>
                <w:sz w:val="16"/>
                <w:szCs w:val="16"/>
              </w:rPr>
            </w:pPr>
            <w:r w:rsidRPr="00463D42">
              <w:rPr>
                <w:rFonts w:eastAsia="Times New Roman" w:cstheme="minorHAnsi"/>
                <w:b/>
                <w:bCs/>
                <w:color w:val="000000"/>
                <w:sz w:val="16"/>
                <w:szCs w:val="16"/>
              </w:rPr>
              <w:t>Covariates</w:t>
            </w:r>
          </w:p>
        </w:tc>
        <w:tc>
          <w:tcPr>
            <w:tcW w:w="657" w:type="dxa"/>
            <w:tcBorders>
              <w:top w:val="nil"/>
              <w:left w:val="single" w:sz="4" w:space="0" w:color="auto"/>
              <w:bottom w:val="single" w:sz="4" w:space="0" w:color="auto"/>
              <w:right w:val="nil"/>
            </w:tcBorders>
            <w:shd w:val="clear" w:color="auto" w:fill="auto"/>
            <w:noWrap/>
            <w:hideMark/>
          </w:tcPr>
          <w:p w14:paraId="551F7CFE" w14:textId="77777777" w:rsidR="00D924D5" w:rsidRPr="00463D42" w:rsidRDefault="00D924D5" w:rsidP="004127ED">
            <w:pPr>
              <w:spacing w:after="0" w:line="240" w:lineRule="auto"/>
              <w:jc w:val="both"/>
              <w:rPr>
                <w:rFonts w:eastAsia="Times New Roman" w:cstheme="minorHAnsi"/>
                <w:b/>
                <w:bCs/>
                <w:color w:val="000000"/>
                <w:sz w:val="16"/>
                <w:szCs w:val="16"/>
              </w:rPr>
            </w:pPr>
            <w:r w:rsidRPr="00463D42">
              <w:rPr>
                <w:rFonts w:eastAsia="Times New Roman" w:cstheme="minorHAnsi"/>
                <w:b/>
                <w:bCs/>
                <w:color w:val="000000"/>
                <w:sz w:val="16"/>
                <w:szCs w:val="16"/>
              </w:rPr>
              <w:t>1</w:t>
            </w:r>
          </w:p>
        </w:tc>
        <w:tc>
          <w:tcPr>
            <w:tcW w:w="657" w:type="dxa"/>
            <w:tcBorders>
              <w:top w:val="nil"/>
              <w:left w:val="nil"/>
              <w:bottom w:val="single" w:sz="4" w:space="0" w:color="auto"/>
              <w:right w:val="nil"/>
            </w:tcBorders>
            <w:shd w:val="clear" w:color="auto" w:fill="auto"/>
            <w:noWrap/>
            <w:hideMark/>
          </w:tcPr>
          <w:p w14:paraId="340B1270" w14:textId="77777777" w:rsidR="00D924D5" w:rsidRPr="00463D42" w:rsidRDefault="00D924D5" w:rsidP="004127ED">
            <w:pPr>
              <w:spacing w:after="0" w:line="240" w:lineRule="auto"/>
              <w:jc w:val="both"/>
              <w:rPr>
                <w:rFonts w:eastAsia="Times New Roman" w:cstheme="minorHAnsi"/>
                <w:b/>
                <w:bCs/>
                <w:color w:val="000000"/>
                <w:sz w:val="16"/>
                <w:szCs w:val="16"/>
              </w:rPr>
            </w:pPr>
            <w:r w:rsidRPr="00463D42">
              <w:rPr>
                <w:rFonts w:eastAsia="Times New Roman" w:cstheme="minorHAnsi"/>
                <w:b/>
                <w:bCs/>
                <w:color w:val="000000"/>
                <w:sz w:val="16"/>
                <w:szCs w:val="16"/>
              </w:rPr>
              <w:t>2</w:t>
            </w:r>
          </w:p>
        </w:tc>
        <w:tc>
          <w:tcPr>
            <w:tcW w:w="581" w:type="dxa"/>
            <w:tcBorders>
              <w:top w:val="nil"/>
              <w:left w:val="nil"/>
              <w:bottom w:val="single" w:sz="4" w:space="0" w:color="auto"/>
              <w:right w:val="nil"/>
            </w:tcBorders>
            <w:shd w:val="clear" w:color="auto" w:fill="auto"/>
            <w:noWrap/>
            <w:hideMark/>
          </w:tcPr>
          <w:p w14:paraId="27CF1753" w14:textId="77777777" w:rsidR="00D924D5" w:rsidRPr="00463D42" w:rsidRDefault="00D924D5" w:rsidP="004127ED">
            <w:pPr>
              <w:spacing w:after="0" w:line="240" w:lineRule="auto"/>
              <w:jc w:val="both"/>
              <w:rPr>
                <w:rFonts w:eastAsia="Times New Roman" w:cstheme="minorHAnsi"/>
                <w:b/>
                <w:bCs/>
                <w:color w:val="000000"/>
                <w:sz w:val="16"/>
                <w:szCs w:val="16"/>
              </w:rPr>
            </w:pPr>
            <w:r w:rsidRPr="00463D42">
              <w:rPr>
                <w:rFonts w:eastAsia="Times New Roman" w:cstheme="minorHAnsi"/>
                <w:b/>
                <w:bCs/>
                <w:color w:val="000000"/>
                <w:sz w:val="16"/>
                <w:szCs w:val="16"/>
              </w:rPr>
              <w:t>3</w:t>
            </w:r>
          </w:p>
        </w:tc>
        <w:tc>
          <w:tcPr>
            <w:tcW w:w="581" w:type="dxa"/>
            <w:tcBorders>
              <w:top w:val="nil"/>
              <w:left w:val="nil"/>
              <w:bottom w:val="single" w:sz="4" w:space="0" w:color="auto"/>
              <w:right w:val="nil"/>
            </w:tcBorders>
            <w:shd w:val="clear" w:color="auto" w:fill="auto"/>
            <w:noWrap/>
            <w:hideMark/>
          </w:tcPr>
          <w:p w14:paraId="4EBE8D50" w14:textId="77777777" w:rsidR="00D924D5" w:rsidRPr="00463D42" w:rsidRDefault="00D924D5" w:rsidP="004127ED">
            <w:pPr>
              <w:spacing w:after="0" w:line="240" w:lineRule="auto"/>
              <w:jc w:val="both"/>
              <w:rPr>
                <w:rFonts w:eastAsia="Times New Roman" w:cstheme="minorHAnsi"/>
                <w:b/>
                <w:bCs/>
                <w:color w:val="000000"/>
                <w:sz w:val="16"/>
                <w:szCs w:val="16"/>
              </w:rPr>
            </w:pPr>
            <w:r w:rsidRPr="00463D42">
              <w:rPr>
                <w:rFonts w:eastAsia="Times New Roman" w:cstheme="minorHAnsi"/>
                <w:b/>
                <w:bCs/>
                <w:color w:val="000000"/>
                <w:sz w:val="16"/>
                <w:szCs w:val="16"/>
              </w:rPr>
              <w:t>4</w:t>
            </w:r>
          </w:p>
        </w:tc>
        <w:tc>
          <w:tcPr>
            <w:tcW w:w="581" w:type="dxa"/>
            <w:tcBorders>
              <w:top w:val="nil"/>
              <w:left w:val="nil"/>
              <w:bottom w:val="single" w:sz="4" w:space="0" w:color="auto"/>
              <w:right w:val="single" w:sz="4" w:space="0" w:color="auto"/>
            </w:tcBorders>
            <w:shd w:val="clear" w:color="auto" w:fill="auto"/>
            <w:noWrap/>
            <w:hideMark/>
          </w:tcPr>
          <w:p w14:paraId="7F401ECF" w14:textId="77777777" w:rsidR="00D924D5" w:rsidRPr="00463D42" w:rsidRDefault="00D924D5" w:rsidP="004127ED">
            <w:pPr>
              <w:spacing w:after="0" w:line="240" w:lineRule="auto"/>
              <w:jc w:val="both"/>
              <w:rPr>
                <w:rFonts w:eastAsia="Times New Roman" w:cstheme="minorHAnsi"/>
                <w:b/>
                <w:bCs/>
                <w:color w:val="000000"/>
                <w:sz w:val="16"/>
                <w:szCs w:val="16"/>
              </w:rPr>
            </w:pPr>
            <w:r w:rsidRPr="00463D42">
              <w:rPr>
                <w:rFonts w:eastAsia="Times New Roman" w:cstheme="minorHAnsi"/>
                <w:b/>
                <w:bCs/>
                <w:color w:val="000000"/>
                <w:sz w:val="16"/>
                <w:szCs w:val="16"/>
              </w:rPr>
              <w:t>5</w:t>
            </w:r>
          </w:p>
        </w:tc>
        <w:tc>
          <w:tcPr>
            <w:tcW w:w="581" w:type="dxa"/>
            <w:tcBorders>
              <w:top w:val="nil"/>
              <w:left w:val="nil"/>
              <w:bottom w:val="single" w:sz="4" w:space="0" w:color="auto"/>
              <w:right w:val="nil"/>
            </w:tcBorders>
            <w:shd w:val="clear" w:color="auto" w:fill="auto"/>
            <w:noWrap/>
            <w:hideMark/>
          </w:tcPr>
          <w:p w14:paraId="59EAE8DA" w14:textId="77777777" w:rsidR="00D924D5" w:rsidRPr="00463D42" w:rsidRDefault="00D924D5" w:rsidP="004127ED">
            <w:pPr>
              <w:spacing w:after="0" w:line="240" w:lineRule="auto"/>
              <w:jc w:val="both"/>
              <w:rPr>
                <w:rFonts w:eastAsia="Times New Roman" w:cstheme="minorHAnsi"/>
                <w:b/>
                <w:bCs/>
                <w:color w:val="000000"/>
                <w:sz w:val="16"/>
                <w:szCs w:val="16"/>
              </w:rPr>
            </w:pPr>
            <w:r w:rsidRPr="00463D42">
              <w:rPr>
                <w:rFonts w:eastAsia="Times New Roman" w:cstheme="minorHAnsi"/>
                <w:b/>
                <w:bCs/>
                <w:color w:val="000000"/>
                <w:sz w:val="16"/>
                <w:szCs w:val="16"/>
              </w:rPr>
              <w:t>1</w:t>
            </w:r>
          </w:p>
        </w:tc>
        <w:tc>
          <w:tcPr>
            <w:tcW w:w="581" w:type="dxa"/>
            <w:tcBorders>
              <w:top w:val="nil"/>
              <w:left w:val="nil"/>
              <w:bottom w:val="single" w:sz="4" w:space="0" w:color="auto"/>
              <w:right w:val="nil"/>
            </w:tcBorders>
            <w:shd w:val="clear" w:color="auto" w:fill="auto"/>
            <w:noWrap/>
            <w:hideMark/>
          </w:tcPr>
          <w:p w14:paraId="23F3E490" w14:textId="77777777" w:rsidR="00D924D5" w:rsidRPr="00463D42" w:rsidRDefault="00D924D5" w:rsidP="004127ED">
            <w:pPr>
              <w:spacing w:after="0" w:line="240" w:lineRule="auto"/>
              <w:jc w:val="both"/>
              <w:rPr>
                <w:rFonts w:eastAsia="Times New Roman" w:cstheme="minorHAnsi"/>
                <w:b/>
                <w:bCs/>
                <w:color w:val="000000"/>
                <w:sz w:val="16"/>
                <w:szCs w:val="16"/>
              </w:rPr>
            </w:pPr>
            <w:r w:rsidRPr="00463D42">
              <w:rPr>
                <w:rFonts w:eastAsia="Times New Roman" w:cstheme="minorHAnsi"/>
                <w:b/>
                <w:bCs/>
                <w:color w:val="000000"/>
                <w:sz w:val="16"/>
                <w:szCs w:val="16"/>
              </w:rPr>
              <w:t>2</w:t>
            </w:r>
          </w:p>
        </w:tc>
        <w:tc>
          <w:tcPr>
            <w:tcW w:w="581" w:type="dxa"/>
            <w:tcBorders>
              <w:top w:val="nil"/>
              <w:left w:val="nil"/>
              <w:bottom w:val="single" w:sz="4" w:space="0" w:color="auto"/>
              <w:right w:val="nil"/>
            </w:tcBorders>
            <w:shd w:val="clear" w:color="auto" w:fill="auto"/>
            <w:noWrap/>
            <w:hideMark/>
          </w:tcPr>
          <w:p w14:paraId="5E943B55" w14:textId="77777777" w:rsidR="00D924D5" w:rsidRPr="00463D42" w:rsidRDefault="00D924D5" w:rsidP="004127ED">
            <w:pPr>
              <w:spacing w:after="0" w:line="240" w:lineRule="auto"/>
              <w:jc w:val="both"/>
              <w:rPr>
                <w:rFonts w:eastAsia="Times New Roman" w:cstheme="minorHAnsi"/>
                <w:b/>
                <w:bCs/>
                <w:color w:val="000000"/>
                <w:sz w:val="16"/>
                <w:szCs w:val="16"/>
              </w:rPr>
            </w:pPr>
            <w:r w:rsidRPr="00463D42">
              <w:rPr>
                <w:rFonts w:eastAsia="Times New Roman" w:cstheme="minorHAnsi"/>
                <w:b/>
                <w:bCs/>
                <w:color w:val="000000"/>
                <w:sz w:val="16"/>
                <w:szCs w:val="16"/>
              </w:rPr>
              <w:t>3</w:t>
            </w:r>
          </w:p>
        </w:tc>
        <w:tc>
          <w:tcPr>
            <w:tcW w:w="581" w:type="dxa"/>
            <w:tcBorders>
              <w:top w:val="nil"/>
              <w:left w:val="nil"/>
              <w:bottom w:val="single" w:sz="4" w:space="0" w:color="auto"/>
              <w:right w:val="nil"/>
            </w:tcBorders>
            <w:shd w:val="clear" w:color="auto" w:fill="auto"/>
            <w:noWrap/>
            <w:hideMark/>
          </w:tcPr>
          <w:p w14:paraId="77B50F9B" w14:textId="77777777" w:rsidR="00D924D5" w:rsidRPr="00463D42" w:rsidRDefault="00D924D5" w:rsidP="004127ED">
            <w:pPr>
              <w:spacing w:after="0" w:line="240" w:lineRule="auto"/>
              <w:jc w:val="both"/>
              <w:rPr>
                <w:rFonts w:eastAsia="Times New Roman" w:cstheme="minorHAnsi"/>
                <w:b/>
                <w:bCs/>
                <w:color w:val="000000"/>
                <w:sz w:val="16"/>
                <w:szCs w:val="16"/>
              </w:rPr>
            </w:pPr>
            <w:r w:rsidRPr="00463D42">
              <w:rPr>
                <w:rFonts w:eastAsia="Times New Roman" w:cstheme="minorHAnsi"/>
                <w:b/>
                <w:bCs/>
                <w:color w:val="000000"/>
                <w:sz w:val="16"/>
                <w:szCs w:val="16"/>
              </w:rPr>
              <w:t>4</w:t>
            </w:r>
          </w:p>
        </w:tc>
        <w:tc>
          <w:tcPr>
            <w:tcW w:w="581" w:type="dxa"/>
            <w:tcBorders>
              <w:top w:val="nil"/>
              <w:left w:val="nil"/>
              <w:bottom w:val="single" w:sz="4" w:space="0" w:color="auto"/>
              <w:right w:val="single" w:sz="4" w:space="0" w:color="auto"/>
            </w:tcBorders>
            <w:shd w:val="clear" w:color="auto" w:fill="auto"/>
            <w:noWrap/>
            <w:hideMark/>
          </w:tcPr>
          <w:p w14:paraId="7824A471" w14:textId="77777777" w:rsidR="00D924D5" w:rsidRPr="00463D42" w:rsidRDefault="00D924D5" w:rsidP="004127ED">
            <w:pPr>
              <w:spacing w:after="0" w:line="240" w:lineRule="auto"/>
              <w:jc w:val="both"/>
              <w:rPr>
                <w:rFonts w:eastAsia="Times New Roman" w:cstheme="minorHAnsi"/>
                <w:b/>
                <w:bCs/>
                <w:color w:val="000000"/>
                <w:sz w:val="16"/>
                <w:szCs w:val="16"/>
              </w:rPr>
            </w:pPr>
            <w:r w:rsidRPr="00463D42">
              <w:rPr>
                <w:rFonts w:eastAsia="Times New Roman" w:cstheme="minorHAnsi"/>
                <w:b/>
                <w:bCs/>
                <w:color w:val="000000"/>
                <w:sz w:val="16"/>
                <w:szCs w:val="16"/>
              </w:rPr>
              <w:t>5</w:t>
            </w:r>
          </w:p>
        </w:tc>
        <w:tc>
          <w:tcPr>
            <w:tcW w:w="500" w:type="dxa"/>
            <w:tcBorders>
              <w:top w:val="nil"/>
              <w:left w:val="nil"/>
              <w:bottom w:val="single" w:sz="4" w:space="0" w:color="auto"/>
              <w:right w:val="nil"/>
            </w:tcBorders>
            <w:shd w:val="clear" w:color="auto" w:fill="auto"/>
            <w:noWrap/>
            <w:hideMark/>
          </w:tcPr>
          <w:p w14:paraId="30C57C10" w14:textId="77777777" w:rsidR="00D924D5" w:rsidRPr="00463D42" w:rsidRDefault="00D924D5" w:rsidP="004127ED">
            <w:pPr>
              <w:spacing w:after="0" w:line="240" w:lineRule="auto"/>
              <w:jc w:val="both"/>
              <w:rPr>
                <w:rFonts w:eastAsia="Times New Roman" w:cstheme="minorHAnsi"/>
                <w:b/>
                <w:bCs/>
                <w:color w:val="000000"/>
                <w:sz w:val="16"/>
                <w:szCs w:val="16"/>
              </w:rPr>
            </w:pPr>
            <w:r w:rsidRPr="00463D42">
              <w:rPr>
                <w:rFonts w:eastAsia="Times New Roman" w:cstheme="minorHAnsi"/>
                <w:b/>
                <w:bCs/>
                <w:color w:val="000000"/>
                <w:sz w:val="16"/>
                <w:szCs w:val="16"/>
              </w:rPr>
              <w:t>1</w:t>
            </w:r>
          </w:p>
        </w:tc>
        <w:tc>
          <w:tcPr>
            <w:tcW w:w="500" w:type="dxa"/>
            <w:tcBorders>
              <w:top w:val="nil"/>
              <w:left w:val="nil"/>
              <w:bottom w:val="single" w:sz="4" w:space="0" w:color="auto"/>
              <w:right w:val="nil"/>
            </w:tcBorders>
            <w:shd w:val="clear" w:color="auto" w:fill="auto"/>
            <w:noWrap/>
            <w:hideMark/>
          </w:tcPr>
          <w:p w14:paraId="233532C7" w14:textId="77777777" w:rsidR="00D924D5" w:rsidRPr="00463D42" w:rsidRDefault="00D924D5" w:rsidP="004127ED">
            <w:pPr>
              <w:spacing w:after="0" w:line="240" w:lineRule="auto"/>
              <w:jc w:val="both"/>
              <w:rPr>
                <w:rFonts w:eastAsia="Times New Roman" w:cstheme="minorHAnsi"/>
                <w:b/>
                <w:bCs/>
                <w:color w:val="000000"/>
                <w:sz w:val="16"/>
                <w:szCs w:val="16"/>
              </w:rPr>
            </w:pPr>
            <w:r w:rsidRPr="00463D42">
              <w:rPr>
                <w:rFonts w:eastAsia="Times New Roman" w:cstheme="minorHAnsi"/>
                <w:b/>
                <w:bCs/>
                <w:color w:val="000000"/>
                <w:sz w:val="16"/>
                <w:szCs w:val="16"/>
              </w:rPr>
              <w:t>2</w:t>
            </w:r>
          </w:p>
        </w:tc>
        <w:tc>
          <w:tcPr>
            <w:tcW w:w="500" w:type="dxa"/>
            <w:tcBorders>
              <w:top w:val="nil"/>
              <w:left w:val="nil"/>
              <w:bottom w:val="single" w:sz="4" w:space="0" w:color="auto"/>
              <w:right w:val="nil"/>
            </w:tcBorders>
            <w:shd w:val="clear" w:color="auto" w:fill="auto"/>
            <w:noWrap/>
            <w:hideMark/>
          </w:tcPr>
          <w:p w14:paraId="4AE9C247" w14:textId="77777777" w:rsidR="00D924D5" w:rsidRPr="00463D42" w:rsidRDefault="00D924D5" w:rsidP="004127ED">
            <w:pPr>
              <w:spacing w:after="0" w:line="240" w:lineRule="auto"/>
              <w:jc w:val="both"/>
              <w:rPr>
                <w:rFonts w:eastAsia="Times New Roman" w:cstheme="minorHAnsi"/>
                <w:b/>
                <w:bCs/>
                <w:color w:val="000000"/>
                <w:sz w:val="16"/>
                <w:szCs w:val="16"/>
              </w:rPr>
            </w:pPr>
            <w:r w:rsidRPr="00463D42">
              <w:rPr>
                <w:rFonts w:eastAsia="Times New Roman" w:cstheme="minorHAnsi"/>
                <w:b/>
                <w:bCs/>
                <w:color w:val="000000"/>
                <w:sz w:val="16"/>
                <w:szCs w:val="16"/>
              </w:rPr>
              <w:t>3</w:t>
            </w:r>
          </w:p>
        </w:tc>
        <w:tc>
          <w:tcPr>
            <w:tcW w:w="500" w:type="dxa"/>
            <w:tcBorders>
              <w:top w:val="nil"/>
              <w:left w:val="nil"/>
              <w:bottom w:val="single" w:sz="4" w:space="0" w:color="auto"/>
              <w:right w:val="nil"/>
            </w:tcBorders>
            <w:shd w:val="clear" w:color="auto" w:fill="auto"/>
            <w:noWrap/>
            <w:hideMark/>
          </w:tcPr>
          <w:p w14:paraId="04CEEA4C" w14:textId="77777777" w:rsidR="00D924D5" w:rsidRPr="00463D42" w:rsidRDefault="00D924D5" w:rsidP="004127ED">
            <w:pPr>
              <w:spacing w:after="0" w:line="240" w:lineRule="auto"/>
              <w:jc w:val="both"/>
              <w:rPr>
                <w:rFonts w:eastAsia="Times New Roman" w:cstheme="minorHAnsi"/>
                <w:b/>
                <w:bCs/>
                <w:color w:val="000000"/>
                <w:sz w:val="16"/>
                <w:szCs w:val="16"/>
              </w:rPr>
            </w:pPr>
            <w:r w:rsidRPr="00463D42">
              <w:rPr>
                <w:rFonts w:eastAsia="Times New Roman" w:cstheme="minorHAnsi"/>
                <w:b/>
                <w:bCs/>
                <w:color w:val="000000"/>
                <w:sz w:val="16"/>
                <w:szCs w:val="16"/>
              </w:rPr>
              <w:t>4</w:t>
            </w:r>
          </w:p>
        </w:tc>
        <w:tc>
          <w:tcPr>
            <w:tcW w:w="500" w:type="dxa"/>
            <w:tcBorders>
              <w:top w:val="nil"/>
              <w:left w:val="nil"/>
              <w:bottom w:val="single" w:sz="4" w:space="0" w:color="auto"/>
              <w:right w:val="single" w:sz="4" w:space="0" w:color="auto"/>
            </w:tcBorders>
            <w:shd w:val="clear" w:color="auto" w:fill="auto"/>
            <w:noWrap/>
            <w:hideMark/>
          </w:tcPr>
          <w:p w14:paraId="10FF2A8C" w14:textId="77777777" w:rsidR="00D924D5" w:rsidRPr="00463D42" w:rsidRDefault="00D924D5" w:rsidP="004127ED">
            <w:pPr>
              <w:spacing w:after="0" w:line="240" w:lineRule="auto"/>
              <w:jc w:val="both"/>
              <w:rPr>
                <w:rFonts w:eastAsia="Times New Roman" w:cstheme="minorHAnsi"/>
                <w:b/>
                <w:bCs/>
                <w:color w:val="000000"/>
                <w:sz w:val="16"/>
                <w:szCs w:val="16"/>
              </w:rPr>
            </w:pPr>
            <w:r w:rsidRPr="00463D42">
              <w:rPr>
                <w:rFonts w:eastAsia="Times New Roman" w:cstheme="minorHAnsi"/>
                <w:b/>
                <w:bCs/>
                <w:color w:val="000000"/>
                <w:sz w:val="16"/>
                <w:szCs w:val="16"/>
              </w:rPr>
              <w:t>5</w:t>
            </w:r>
          </w:p>
        </w:tc>
        <w:tc>
          <w:tcPr>
            <w:tcW w:w="1000" w:type="dxa"/>
            <w:tcBorders>
              <w:top w:val="nil"/>
              <w:left w:val="nil"/>
              <w:bottom w:val="single" w:sz="4" w:space="0" w:color="auto"/>
              <w:right w:val="single" w:sz="4" w:space="0" w:color="auto"/>
            </w:tcBorders>
            <w:shd w:val="clear" w:color="auto" w:fill="auto"/>
            <w:noWrap/>
            <w:hideMark/>
          </w:tcPr>
          <w:p w14:paraId="280FF488" w14:textId="68D70FD7" w:rsidR="00D924D5" w:rsidRPr="00463D42" w:rsidRDefault="00D924D5" w:rsidP="004127ED">
            <w:pPr>
              <w:spacing w:after="0" w:line="240" w:lineRule="auto"/>
              <w:jc w:val="both"/>
              <w:rPr>
                <w:rFonts w:eastAsia="Times New Roman" w:cstheme="minorHAnsi"/>
                <w:b/>
                <w:bCs/>
                <w:color w:val="000000"/>
                <w:sz w:val="16"/>
                <w:szCs w:val="16"/>
              </w:rPr>
            </w:pPr>
          </w:p>
        </w:tc>
      </w:tr>
      <w:tr w:rsidR="00D924D5" w:rsidRPr="00463D42" w14:paraId="5C1CCDD5" w14:textId="77777777" w:rsidTr="00463D42">
        <w:trPr>
          <w:trHeight w:val="225"/>
          <w:jc w:val="center"/>
        </w:trPr>
        <w:tc>
          <w:tcPr>
            <w:tcW w:w="1620" w:type="dxa"/>
            <w:tcBorders>
              <w:top w:val="nil"/>
              <w:left w:val="single" w:sz="4" w:space="0" w:color="auto"/>
              <w:bottom w:val="nil"/>
              <w:right w:val="nil"/>
            </w:tcBorders>
            <w:shd w:val="clear" w:color="auto" w:fill="auto"/>
            <w:noWrap/>
            <w:hideMark/>
          </w:tcPr>
          <w:p w14:paraId="2C58E847"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Age (Mean)</w:t>
            </w:r>
          </w:p>
        </w:tc>
        <w:tc>
          <w:tcPr>
            <w:tcW w:w="657" w:type="dxa"/>
            <w:tcBorders>
              <w:top w:val="nil"/>
              <w:left w:val="single" w:sz="8" w:space="0" w:color="auto"/>
              <w:bottom w:val="nil"/>
              <w:right w:val="single" w:sz="4" w:space="0" w:color="auto"/>
            </w:tcBorders>
            <w:shd w:val="clear" w:color="auto" w:fill="auto"/>
            <w:noWrap/>
            <w:vAlign w:val="bottom"/>
            <w:hideMark/>
          </w:tcPr>
          <w:p w14:paraId="69D3A8A2"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66.23</w:t>
            </w:r>
          </w:p>
        </w:tc>
        <w:tc>
          <w:tcPr>
            <w:tcW w:w="657" w:type="dxa"/>
            <w:tcBorders>
              <w:top w:val="nil"/>
              <w:left w:val="nil"/>
              <w:bottom w:val="nil"/>
              <w:right w:val="nil"/>
            </w:tcBorders>
            <w:shd w:val="clear" w:color="auto" w:fill="auto"/>
            <w:noWrap/>
            <w:vAlign w:val="bottom"/>
            <w:hideMark/>
          </w:tcPr>
          <w:p w14:paraId="77F93B92"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66.29</w:t>
            </w:r>
          </w:p>
        </w:tc>
        <w:tc>
          <w:tcPr>
            <w:tcW w:w="581" w:type="dxa"/>
            <w:tcBorders>
              <w:top w:val="nil"/>
              <w:left w:val="single" w:sz="4" w:space="0" w:color="auto"/>
              <w:bottom w:val="nil"/>
              <w:right w:val="nil"/>
            </w:tcBorders>
            <w:shd w:val="clear" w:color="auto" w:fill="auto"/>
            <w:noWrap/>
            <w:vAlign w:val="bottom"/>
            <w:hideMark/>
          </w:tcPr>
          <w:p w14:paraId="2F6F3F62"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65.71</w:t>
            </w:r>
          </w:p>
        </w:tc>
        <w:tc>
          <w:tcPr>
            <w:tcW w:w="581" w:type="dxa"/>
            <w:tcBorders>
              <w:top w:val="nil"/>
              <w:left w:val="single" w:sz="4" w:space="0" w:color="auto"/>
              <w:bottom w:val="nil"/>
              <w:right w:val="nil"/>
            </w:tcBorders>
            <w:shd w:val="clear" w:color="auto" w:fill="auto"/>
            <w:noWrap/>
            <w:vAlign w:val="bottom"/>
            <w:hideMark/>
          </w:tcPr>
          <w:p w14:paraId="59DF6971"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65.51</w:t>
            </w:r>
          </w:p>
        </w:tc>
        <w:tc>
          <w:tcPr>
            <w:tcW w:w="581" w:type="dxa"/>
            <w:tcBorders>
              <w:top w:val="nil"/>
              <w:left w:val="single" w:sz="4" w:space="0" w:color="auto"/>
              <w:bottom w:val="nil"/>
              <w:right w:val="nil"/>
            </w:tcBorders>
            <w:shd w:val="clear" w:color="auto" w:fill="auto"/>
            <w:noWrap/>
            <w:vAlign w:val="bottom"/>
            <w:hideMark/>
          </w:tcPr>
          <w:p w14:paraId="6ADD01E5"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66.04</w:t>
            </w:r>
          </w:p>
        </w:tc>
        <w:tc>
          <w:tcPr>
            <w:tcW w:w="581" w:type="dxa"/>
            <w:tcBorders>
              <w:top w:val="nil"/>
              <w:left w:val="single" w:sz="4" w:space="0" w:color="auto"/>
              <w:bottom w:val="nil"/>
              <w:right w:val="nil"/>
            </w:tcBorders>
            <w:shd w:val="clear" w:color="auto" w:fill="auto"/>
            <w:noWrap/>
            <w:hideMark/>
          </w:tcPr>
          <w:p w14:paraId="3B9E92F8"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66.24</w:t>
            </w:r>
          </w:p>
        </w:tc>
        <w:tc>
          <w:tcPr>
            <w:tcW w:w="581" w:type="dxa"/>
            <w:tcBorders>
              <w:top w:val="nil"/>
              <w:left w:val="nil"/>
              <w:bottom w:val="nil"/>
              <w:right w:val="nil"/>
            </w:tcBorders>
            <w:shd w:val="clear" w:color="auto" w:fill="auto"/>
            <w:noWrap/>
            <w:hideMark/>
          </w:tcPr>
          <w:p w14:paraId="4D7919C5"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66.29</w:t>
            </w:r>
          </w:p>
        </w:tc>
        <w:tc>
          <w:tcPr>
            <w:tcW w:w="581" w:type="dxa"/>
            <w:tcBorders>
              <w:top w:val="nil"/>
              <w:left w:val="nil"/>
              <w:bottom w:val="nil"/>
              <w:right w:val="nil"/>
            </w:tcBorders>
            <w:shd w:val="clear" w:color="auto" w:fill="auto"/>
            <w:noWrap/>
            <w:hideMark/>
          </w:tcPr>
          <w:p w14:paraId="39DE8710"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65.78</w:t>
            </w:r>
          </w:p>
        </w:tc>
        <w:tc>
          <w:tcPr>
            <w:tcW w:w="581" w:type="dxa"/>
            <w:tcBorders>
              <w:top w:val="nil"/>
              <w:left w:val="nil"/>
              <w:bottom w:val="nil"/>
              <w:right w:val="nil"/>
            </w:tcBorders>
            <w:shd w:val="clear" w:color="auto" w:fill="auto"/>
            <w:noWrap/>
            <w:hideMark/>
          </w:tcPr>
          <w:p w14:paraId="28F04B41"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65.51</w:t>
            </w:r>
          </w:p>
        </w:tc>
        <w:tc>
          <w:tcPr>
            <w:tcW w:w="581" w:type="dxa"/>
            <w:tcBorders>
              <w:top w:val="nil"/>
              <w:left w:val="nil"/>
              <w:bottom w:val="nil"/>
              <w:right w:val="single" w:sz="4" w:space="0" w:color="auto"/>
            </w:tcBorders>
            <w:shd w:val="clear" w:color="auto" w:fill="auto"/>
            <w:noWrap/>
            <w:hideMark/>
          </w:tcPr>
          <w:p w14:paraId="2583B94F"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66.04</w:t>
            </w:r>
          </w:p>
        </w:tc>
        <w:tc>
          <w:tcPr>
            <w:tcW w:w="500" w:type="dxa"/>
            <w:tcBorders>
              <w:top w:val="nil"/>
              <w:left w:val="nil"/>
              <w:bottom w:val="nil"/>
              <w:right w:val="nil"/>
            </w:tcBorders>
            <w:shd w:val="clear" w:color="auto" w:fill="auto"/>
            <w:noWrap/>
            <w:hideMark/>
          </w:tcPr>
          <w:p w14:paraId="4968C41F" w14:textId="77777777" w:rsidR="00D924D5" w:rsidRPr="00463D42" w:rsidRDefault="00D924D5" w:rsidP="004127ED">
            <w:pPr>
              <w:spacing w:after="0" w:line="240" w:lineRule="auto"/>
              <w:jc w:val="both"/>
              <w:rPr>
                <w:rFonts w:eastAsia="Times New Roman" w:cstheme="minorHAnsi"/>
                <w:sz w:val="16"/>
                <w:szCs w:val="16"/>
              </w:rPr>
            </w:pPr>
            <w:r w:rsidRPr="00463D42">
              <w:rPr>
                <w:rFonts w:eastAsia="Times New Roman" w:cstheme="minorHAnsi"/>
                <w:sz w:val="16"/>
                <w:szCs w:val="16"/>
              </w:rPr>
              <w:t>1.00</w:t>
            </w:r>
          </w:p>
        </w:tc>
        <w:tc>
          <w:tcPr>
            <w:tcW w:w="500" w:type="dxa"/>
            <w:tcBorders>
              <w:top w:val="nil"/>
              <w:left w:val="nil"/>
              <w:bottom w:val="nil"/>
              <w:right w:val="nil"/>
            </w:tcBorders>
            <w:shd w:val="clear" w:color="auto" w:fill="auto"/>
            <w:noWrap/>
            <w:hideMark/>
          </w:tcPr>
          <w:p w14:paraId="5338AA7C"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nil"/>
            </w:tcBorders>
            <w:shd w:val="clear" w:color="auto" w:fill="auto"/>
            <w:noWrap/>
            <w:hideMark/>
          </w:tcPr>
          <w:p w14:paraId="3FF12CFD"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nil"/>
            </w:tcBorders>
            <w:shd w:val="clear" w:color="auto" w:fill="auto"/>
            <w:noWrap/>
            <w:hideMark/>
          </w:tcPr>
          <w:p w14:paraId="2257CCDD"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single" w:sz="4" w:space="0" w:color="auto"/>
            </w:tcBorders>
            <w:shd w:val="clear" w:color="auto" w:fill="auto"/>
            <w:noWrap/>
            <w:hideMark/>
          </w:tcPr>
          <w:p w14:paraId="1D5B03CB"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1000" w:type="dxa"/>
            <w:tcBorders>
              <w:top w:val="nil"/>
              <w:left w:val="nil"/>
              <w:bottom w:val="nil"/>
              <w:right w:val="single" w:sz="4" w:space="0" w:color="auto"/>
            </w:tcBorders>
            <w:shd w:val="clear" w:color="auto" w:fill="auto"/>
            <w:noWrap/>
            <w:hideMark/>
          </w:tcPr>
          <w:p w14:paraId="47AD3D7D"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1.000</w:t>
            </w:r>
          </w:p>
        </w:tc>
      </w:tr>
      <w:tr w:rsidR="00D924D5" w:rsidRPr="00463D42" w14:paraId="00588AAA" w14:textId="77777777" w:rsidTr="00463D42">
        <w:trPr>
          <w:trHeight w:val="225"/>
          <w:jc w:val="center"/>
        </w:trPr>
        <w:tc>
          <w:tcPr>
            <w:tcW w:w="1620" w:type="dxa"/>
            <w:tcBorders>
              <w:top w:val="nil"/>
              <w:left w:val="single" w:sz="4" w:space="0" w:color="auto"/>
              <w:bottom w:val="nil"/>
              <w:right w:val="nil"/>
            </w:tcBorders>
            <w:shd w:val="clear" w:color="auto" w:fill="auto"/>
            <w:noWrap/>
            <w:hideMark/>
          </w:tcPr>
          <w:p w14:paraId="58115405"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Age (SD)</w:t>
            </w:r>
          </w:p>
        </w:tc>
        <w:tc>
          <w:tcPr>
            <w:tcW w:w="657" w:type="dxa"/>
            <w:tcBorders>
              <w:top w:val="nil"/>
              <w:left w:val="single" w:sz="8" w:space="0" w:color="auto"/>
              <w:bottom w:val="nil"/>
              <w:right w:val="single" w:sz="4" w:space="0" w:color="auto"/>
            </w:tcBorders>
            <w:shd w:val="clear" w:color="auto" w:fill="auto"/>
            <w:noWrap/>
            <w:vAlign w:val="bottom"/>
            <w:hideMark/>
          </w:tcPr>
          <w:p w14:paraId="2BD13662"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14.99</w:t>
            </w:r>
          </w:p>
        </w:tc>
        <w:tc>
          <w:tcPr>
            <w:tcW w:w="657" w:type="dxa"/>
            <w:tcBorders>
              <w:top w:val="nil"/>
              <w:left w:val="nil"/>
              <w:bottom w:val="nil"/>
              <w:right w:val="nil"/>
            </w:tcBorders>
            <w:shd w:val="clear" w:color="auto" w:fill="auto"/>
            <w:noWrap/>
            <w:vAlign w:val="bottom"/>
            <w:hideMark/>
          </w:tcPr>
          <w:p w14:paraId="14201D07"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14.93</w:t>
            </w:r>
          </w:p>
        </w:tc>
        <w:tc>
          <w:tcPr>
            <w:tcW w:w="581" w:type="dxa"/>
            <w:tcBorders>
              <w:top w:val="nil"/>
              <w:left w:val="single" w:sz="4" w:space="0" w:color="auto"/>
              <w:bottom w:val="nil"/>
              <w:right w:val="nil"/>
            </w:tcBorders>
            <w:shd w:val="clear" w:color="auto" w:fill="auto"/>
            <w:noWrap/>
            <w:vAlign w:val="bottom"/>
            <w:hideMark/>
          </w:tcPr>
          <w:p w14:paraId="2F065DB3"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14.13</w:t>
            </w:r>
          </w:p>
        </w:tc>
        <w:tc>
          <w:tcPr>
            <w:tcW w:w="581" w:type="dxa"/>
            <w:tcBorders>
              <w:top w:val="nil"/>
              <w:left w:val="single" w:sz="4" w:space="0" w:color="auto"/>
              <w:bottom w:val="nil"/>
              <w:right w:val="nil"/>
            </w:tcBorders>
            <w:shd w:val="clear" w:color="auto" w:fill="auto"/>
            <w:noWrap/>
            <w:vAlign w:val="bottom"/>
            <w:hideMark/>
          </w:tcPr>
          <w:p w14:paraId="224572CC"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13.84</w:t>
            </w:r>
          </w:p>
        </w:tc>
        <w:tc>
          <w:tcPr>
            <w:tcW w:w="581" w:type="dxa"/>
            <w:tcBorders>
              <w:top w:val="nil"/>
              <w:left w:val="single" w:sz="4" w:space="0" w:color="auto"/>
              <w:bottom w:val="nil"/>
              <w:right w:val="nil"/>
            </w:tcBorders>
            <w:shd w:val="clear" w:color="auto" w:fill="auto"/>
            <w:noWrap/>
            <w:vAlign w:val="bottom"/>
            <w:hideMark/>
          </w:tcPr>
          <w:p w14:paraId="5D51BC9F"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14.76</w:t>
            </w:r>
          </w:p>
        </w:tc>
        <w:tc>
          <w:tcPr>
            <w:tcW w:w="581" w:type="dxa"/>
            <w:tcBorders>
              <w:top w:val="nil"/>
              <w:left w:val="single" w:sz="4" w:space="0" w:color="auto"/>
              <w:bottom w:val="nil"/>
              <w:right w:val="nil"/>
            </w:tcBorders>
            <w:shd w:val="clear" w:color="auto" w:fill="auto"/>
            <w:noWrap/>
            <w:hideMark/>
          </w:tcPr>
          <w:p w14:paraId="23BE08AA"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14.99</w:t>
            </w:r>
          </w:p>
        </w:tc>
        <w:tc>
          <w:tcPr>
            <w:tcW w:w="581" w:type="dxa"/>
            <w:tcBorders>
              <w:top w:val="nil"/>
              <w:left w:val="nil"/>
              <w:bottom w:val="nil"/>
              <w:right w:val="nil"/>
            </w:tcBorders>
            <w:shd w:val="clear" w:color="auto" w:fill="auto"/>
            <w:noWrap/>
            <w:hideMark/>
          </w:tcPr>
          <w:p w14:paraId="4C5F209F"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14.93</w:t>
            </w:r>
          </w:p>
        </w:tc>
        <w:tc>
          <w:tcPr>
            <w:tcW w:w="581" w:type="dxa"/>
            <w:tcBorders>
              <w:top w:val="nil"/>
              <w:left w:val="nil"/>
              <w:bottom w:val="nil"/>
              <w:right w:val="nil"/>
            </w:tcBorders>
            <w:shd w:val="clear" w:color="auto" w:fill="auto"/>
            <w:noWrap/>
            <w:hideMark/>
          </w:tcPr>
          <w:p w14:paraId="78735CCF"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14.13</w:t>
            </w:r>
          </w:p>
        </w:tc>
        <w:tc>
          <w:tcPr>
            <w:tcW w:w="581" w:type="dxa"/>
            <w:tcBorders>
              <w:top w:val="nil"/>
              <w:left w:val="nil"/>
              <w:bottom w:val="nil"/>
              <w:right w:val="nil"/>
            </w:tcBorders>
            <w:shd w:val="clear" w:color="auto" w:fill="auto"/>
            <w:noWrap/>
            <w:hideMark/>
          </w:tcPr>
          <w:p w14:paraId="7CBC645C"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13.84</w:t>
            </w:r>
          </w:p>
        </w:tc>
        <w:tc>
          <w:tcPr>
            <w:tcW w:w="581" w:type="dxa"/>
            <w:tcBorders>
              <w:top w:val="nil"/>
              <w:left w:val="nil"/>
              <w:bottom w:val="nil"/>
              <w:right w:val="single" w:sz="4" w:space="0" w:color="auto"/>
            </w:tcBorders>
            <w:shd w:val="clear" w:color="auto" w:fill="auto"/>
            <w:noWrap/>
            <w:hideMark/>
          </w:tcPr>
          <w:p w14:paraId="626324AA"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14.76</w:t>
            </w:r>
          </w:p>
        </w:tc>
        <w:tc>
          <w:tcPr>
            <w:tcW w:w="500" w:type="dxa"/>
            <w:tcBorders>
              <w:top w:val="nil"/>
              <w:left w:val="nil"/>
              <w:bottom w:val="nil"/>
              <w:right w:val="nil"/>
            </w:tcBorders>
            <w:shd w:val="clear" w:color="auto" w:fill="auto"/>
            <w:noWrap/>
            <w:hideMark/>
          </w:tcPr>
          <w:p w14:paraId="108288B8" w14:textId="77777777" w:rsidR="00D924D5" w:rsidRPr="00463D42" w:rsidRDefault="00D924D5" w:rsidP="004127ED">
            <w:pPr>
              <w:spacing w:after="0" w:line="240" w:lineRule="auto"/>
              <w:jc w:val="both"/>
              <w:rPr>
                <w:rFonts w:eastAsia="Times New Roman" w:cstheme="minorHAnsi"/>
                <w:sz w:val="16"/>
                <w:szCs w:val="16"/>
              </w:rPr>
            </w:pPr>
            <w:r w:rsidRPr="00463D42">
              <w:rPr>
                <w:rFonts w:eastAsia="Times New Roman" w:cstheme="minorHAnsi"/>
                <w:sz w:val="16"/>
                <w:szCs w:val="16"/>
              </w:rPr>
              <w:t>1.00</w:t>
            </w:r>
          </w:p>
        </w:tc>
        <w:tc>
          <w:tcPr>
            <w:tcW w:w="500" w:type="dxa"/>
            <w:tcBorders>
              <w:top w:val="nil"/>
              <w:left w:val="nil"/>
              <w:bottom w:val="nil"/>
              <w:right w:val="nil"/>
            </w:tcBorders>
            <w:shd w:val="clear" w:color="auto" w:fill="auto"/>
            <w:noWrap/>
            <w:hideMark/>
          </w:tcPr>
          <w:p w14:paraId="7AC3B117"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nil"/>
            </w:tcBorders>
            <w:shd w:val="clear" w:color="auto" w:fill="auto"/>
            <w:noWrap/>
            <w:hideMark/>
          </w:tcPr>
          <w:p w14:paraId="406DACAD"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nil"/>
            </w:tcBorders>
            <w:shd w:val="clear" w:color="auto" w:fill="auto"/>
            <w:noWrap/>
            <w:hideMark/>
          </w:tcPr>
          <w:p w14:paraId="4A864349"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single" w:sz="4" w:space="0" w:color="auto"/>
            </w:tcBorders>
            <w:shd w:val="clear" w:color="auto" w:fill="auto"/>
            <w:noWrap/>
            <w:hideMark/>
          </w:tcPr>
          <w:p w14:paraId="1BD02A94"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1000" w:type="dxa"/>
            <w:tcBorders>
              <w:top w:val="nil"/>
              <w:left w:val="nil"/>
              <w:bottom w:val="nil"/>
              <w:right w:val="single" w:sz="4" w:space="0" w:color="auto"/>
            </w:tcBorders>
            <w:shd w:val="clear" w:color="auto" w:fill="auto"/>
            <w:noWrap/>
            <w:hideMark/>
          </w:tcPr>
          <w:p w14:paraId="1BFE2830"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1.000</w:t>
            </w:r>
          </w:p>
        </w:tc>
      </w:tr>
      <w:tr w:rsidR="00D924D5" w:rsidRPr="00463D42" w14:paraId="7A4F5F1A" w14:textId="77777777" w:rsidTr="00463D42">
        <w:trPr>
          <w:trHeight w:val="225"/>
          <w:jc w:val="center"/>
        </w:trPr>
        <w:tc>
          <w:tcPr>
            <w:tcW w:w="1620" w:type="dxa"/>
            <w:tcBorders>
              <w:top w:val="nil"/>
              <w:left w:val="single" w:sz="4" w:space="0" w:color="auto"/>
              <w:bottom w:val="nil"/>
              <w:right w:val="nil"/>
            </w:tcBorders>
            <w:shd w:val="clear" w:color="auto" w:fill="auto"/>
            <w:noWrap/>
            <w:hideMark/>
          </w:tcPr>
          <w:p w14:paraId="5FCC4B56"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Female</w:t>
            </w:r>
          </w:p>
        </w:tc>
        <w:tc>
          <w:tcPr>
            <w:tcW w:w="657" w:type="dxa"/>
            <w:tcBorders>
              <w:top w:val="nil"/>
              <w:left w:val="single" w:sz="8" w:space="0" w:color="auto"/>
              <w:bottom w:val="nil"/>
              <w:right w:val="single" w:sz="4" w:space="0" w:color="auto"/>
            </w:tcBorders>
            <w:shd w:val="clear" w:color="auto" w:fill="auto"/>
            <w:noWrap/>
            <w:vAlign w:val="bottom"/>
            <w:hideMark/>
          </w:tcPr>
          <w:p w14:paraId="3B730932"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0.31</w:t>
            </w:r>
          </w:p>
        </w:tc>
        <w:tc>
          <w:tcPr>
            <w:tcW w:w="657" w:type="dxa"/>
            <w:tcBorders>
              <w:top w:val="nil"/>
              <w:left w:val="nil"/>
              <w:bottom w:val="nil"/>
              <w:right w:val="nil"/>
            </w:tcBorders>
            <w:shd w:val="clear" w:color="auto" w:fill="auto"/>
            <w:noWrap/>
            <w:vAlign w:val="bottom"/>
            <w:hideMark/>
          </w:tcPr>
          <w:p w14:paraId="47349B0E"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0.32</w:t>
            </w:r>
          </w:p>
        </w:tc>
        <w:tc>
          <w:tcPr>
            <w:tcW w:w="581" w:type="dxa"/>
            <w:tcBorders>
              <w:top w:val="nil"/>
              <w:left w:val="single" w:sz="4" w:space="0" w:color="auto"/>
              <w:bottom w:val="nil"/>
              <w:right w:val="nil"/>
            </w:tcBorders>
            <w:shd w:val="clear" w:color="auto" w:fill="auto"/>
            <w:noWrap/>
            <w:vAlign w:val="bottom"/>
            <w:hideMark/>
          </w:tcPr>
          <w:p w14:paraId="482D4466"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0.31</w:t>
            </w:r>
          </w:p>
        </w:tc>
        <w:tc>
          <w:tcPr>
            <w:tcW w:w="581" w:type="dxa"/>
            <w:tcBorders>
              <w:top w:val="nil"/>
              <w:left w:val="single" w:sz="4" w:space="0" w:color="auto"/>
              <w:bottom w:val="nil"/>
              <w:right w:val="nil"/>
            </w:tcBorders>
            <w:shd w:val="clear" w:color="auto" w:fill="auto"/>
            <w:noWrap/>
            <w:vAlign w:val="bottom"/>
            <w:hideMark/>
          </w:tcPr>
          <w:p w14:paraId="0BA5CE81"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0.31</w:t>
            </w:r>
          </w:p>
        </w:tc>
        <w:tc>
          <w:tcPr>
            <w:tcW w:w="581" w:type="dxa"/>
            <w:tcBorders>
              <w:top w:val="nil"/>
              <w:left w:val="single" w:sz="4" w:space="0" w:color="auto"/>
              <w:bottom w:val="nil"/>
              <w:right w:val="nil"/>
            </w:tcBorders>
            <w:shd w:val="clear" w:color="auto" w:fill="auto"/>
            <w:noWrap/>
            <w:vAlign w:val="bottom"/>
            <w:hideMark/>
          </w:tcPr>
          <w:p w14:paraId="72EFEF58"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0.31</w:t>
            </w:r>
          </w:p>
        </w:tc>
        <w:tc>
          <w:tcPr>
            <w:tcW w:w="581" w:type="dxa"/>
            <w:tcBorders>
              <w:top w:val="nil"/>
              <w:left w:val="single" w:sz="4" w:space="0" w:color="auto"/>
              <w:bottom w:val="nil"/>
              <w:right w:val="nil"/>
            </w:tcBorders>
            <w:shd w:val="clear" w:color="auto" w:fill="auto"/>
            <w:noWrap/>
            <w:hideMark/>
          </w:tcPr>
          <w:p w14:paraId="79BE03EB"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0.31</w:t>
            </w:r>
          </w:p>
        </w:tc>
        <w:tc>
          <w:tcPr>
            <w:tcW w:w="581" w:type="dxa"/>
            <w:tcBorders>
              <w:top w:val="nil"/>
              <w:left w:val="nil"/>
              <w:bottom w:val="nil"/>
              <w:right w:val="nil"/>
            </w:tcBorders>
            <w:shd w:val="clear" w:color="auto" w:fill="auto"/>
            <w:noWrap/>
            <w:hideMark/>
          </w:tcPr>
          <w:p w14:paraId="09A93F71"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0.32</w:t>
            </w:r>
          </w:p>
        </w:tc>
        <w:tc>
          <w:tcPr>
            <w:tcW w:w="581" w:type="dxa"/>
            <w:tcBorders>
              <w:top w:val="nil"/>
              <w:left w:val="nil"/>
              <w:bottom w:val="nil"/>
              <w:right w:val="nil"/>
            </w:tcBorders>
            <w:shd w:val="clear" w:color="auto" w:fill="auto"/>
            <w:noWrap/>
            <w:hideMark/>
          </w:tcPr>
          <w:p w14:paraId="3CF38946"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0.31</w:t>
            </w:r>
          </w:p>
        </w:tc>
        <w:tc>
          <w:tcPr>
            <w:tcW w:w="581" w:type="dxa"/>
            <w:tcBorders>
              <w:top w:val="nil"/>
              <w:left w:val="nil"/>
              <w:bottom w:val="nil"/>
              <w:right w:val="nil"/>
            </w:tcBorders>
            <w:shd w:val="clear" w:color="auto" w:fill="auto"/>
            <w:noWrap/>
            <w:hideMark/>
          </w:tcPr>
          <w:p w14:paraId="65E6173F"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0.31</w:t>
            </w:r>
          </w:p>
        </w:tc>
        <w:tc>
          <w:tcPr>
            <w:tcW w:w="581" w:type="dxa"/>
            <w:tcBorders>
              <w:top w:val="nil"/>
              <w:left w:val="nil"/>
              <w:bottom w:val="nil"/>
              <w:right w:val="single" w:sz="4" w:space="0" w:color="auto"/>
            </w:tcBorders>
            <w:shd w:val="clear" w:color="auto" w:fill="auto"/>
            <w:noWrap/>
            <w:hideMark/>
          </w:tcPr>
          <w:p w14:paraId="4716BD67"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0.31</w:t>
            </w:r>
          </w:p>
        </w:tc>
        <w:tc>
          <w:tcPr>
            <w:tcW w:w="500" w:type="dxa"/>
            <w:tcBorders>
              <w:top w:val="nil"/>
              <w:left w:val="nil"/>
              <w:bottom w:val="nil"/>
              <w:right w:val="nil"/>
            </w:tcBorders>
            <w:shd w:val="clear" w:color="auto" w:fill="auto"/>
            <w:noWrap/>
            <w:hideMark/>
          </w:tcPr>
          <w:p w14:paraId="4E6CF960" w14:textId="77777777" w:rsidR="00D924D5" w:rsidRPr="00463D42" w:rsidRDefault="00D924D5" w:rsidP="004127ED">
            <w:pPr>
              <w:spacing w:after="0" w:line="240" w:lineRule="auto"/>
              <w:jc w:val="both"/>
              <w:rPr>
                <w:rFonts w:eastAsia="Times New Roman" w:cstheme="minorHAnsi"/>
                <w:sz w:val="16"/>
                <w:szCs w:val="16"/>
              </w:rPr>
            </w:pPr>
            <w:r w:rsidRPr="00463D42">
              <w:rPr>
                <w:rFonts w:eastAsia="Times New Roman" w:cstheme="minorHAnsi"/>
                <w:sz w:val="16"/>
                <w:szCs w:val="16"/>
              </w:rPr>
              <w:t>1.00</w:t>
            </w:r>
          </w:p>
        </w:tc>
        <w:tc>
          <w:tcPr>
            <w:tcW w:w="500" w:type="dxa"/>
            <w:tcBorders>
              <w:top w:val="nil"/>
              <w:left w:val="nil"/>
              <w:bottom w:val="nil"/>
              <w:right w:val="nil"/>
            </w:tcBorders>
            <w:shd w:val="clear" w:color="auto" w:fill="auto"/>
            <w:noWrap/>
            <w:hideMark/>
          </w:tcPr>
          <w:p w14:paraId="45A7B35D"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nil"/>
            </w:tcBorders>
            <w:shd w:val="clear" w:color="auto" w:fill="auto"/>
            <w:noWrap/>
            <w:hideMark/>
          </w:tcPr>
          <w:p w14:paraId="4D98C84E"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nil"/>
            </w:tcBorders>
            <w:shd w:val="clear" w:color="auto" w:fill="auto"/>
            <w:noWrap/>
            <w:hideMark/>
          </w:tcPr>
          <w:p w14:paraId="79494A26"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single" w:sz="4" w:space="0" w:color="auto"/>
            </w:tcBorders>
            <w:shd w:val="clear" w:color="auto" w:fill="auto"/>
            <w:noWrap/>
            <w:hideMark/>
          </w:tcPr>
          <w:p w14:paraId="0BAE90A4"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1000" w:type="dxa"/>
            <w:tcBorders>
              <w:top w:val="nil"/>
              <w:left w:val="nil"/>
              <w:bottom w:val="nil"/>
              <w:right w:val="single" w:sz="4" w:space="0" w:color="auto"/>
            </w:tcBorders>
            <w:shd w:val="clear" w:color="auto" w:fill="auto"/>
            <w:noWrap/>
            <w:hideMark/>
          </w:tcPr>
          <w:p w14:paraId="42EF885E"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1.000</w:t>
            </w:r>
          </w:p>
        </w:tc>
      </w:tr>
      <w:tr w:rsidR="00D924D5" w:rsidRPr="00463D42" w14:paraId="4F5CDF74" w14:textId="77777777" w:rsidTr="00463D42">
        <w:trPr>
          <w:trHeight w:val="225"/>
          <w:jc w:val="center"/>
        </w:trPr>
        <w:tc>
          <w:tcPr>
            <w:tcW w:w="1620" w:type="dxa"/>
            <w:tcBorders>
              <w:top w:val="nil"/>
              <w:left w:val="single" w:sz="4" w:space="0" w:color="auto"/>
              <w:bottom w:val="nil"/>
              <w:right w:val="nil"/>
            </w:tcBorders>
            <w:shd w:val="clear" w:color="auto" w:fill="auto"/>
            <w:noWrap/>
            <w:hideMark/>
          </w:tcPr>
          <w:p w14:paraId="52006A4C"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BMI (Mean)</w:t>
            </w:r>
          </w:p>
        </w:tc>
        <w:tc>
          <w:tcPr>
            <w:tcW w:w="657" w:type="dxa"/>
            <w:tcBorders>
              <w:top w:val="nil"/>
              <w:left w:val="single" w:sz="8" w:space="0" w:color="auto"/>
              <w:bottom w:val="nil"/>
              <w:right w:val="single" w:sz="4" w:space="0" w:color="auto"/>
            </w:tcBorders>
            <w:shd w:val="clear" w:color="auto" w:fill="auto"/>
            <w:noWrap/>
            <w:vAlign w:val="bottom"/>
            <w:hideMark/>
          </w:tcPr>
          <w:p w14:paraId="74FAB734"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34.32</w:t>
            </w:r>
          </w:p>
        </w:tc>
        <w:tc>
          <w:tcPr>
            <w:tcW w:w="657" w:type="dxa"/>
            <w:tcBorders>
              <w:top w:val="nil"/>
              <w:left w:val="nil"/>
              <w:bottom w:val="nil"/>
              <w:right w:val="nil"/>
            </w:tcBorders>
            <w:shd w:val="clear" w:color="auto" w:fill="auto"/>
            <w:noWrap/>
            <w:vAlign w:val="bottom"/>
            <w:hideMark/>
          </w:tcPr>
          <w:p w14:paraId="51533EAD"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34.29</w:t>
            </w:r>
          </w:p>
        </w:tc>
        <w:tc>
          <w:tcPr>
            <w:tcW w:w="581" w:type="dxa"/>
            <w:tcBorders>
              <w:top w:val="nil"/>
              <w:left w:val="single" w:sz="4" w:space="0" w:color="auto"/>
              <w:bottom w:val="nil"/>
              <w:right w:val="nil"/>
            </w:tcBorders>
            <w:shd w:val="clear" w:color="auto" w:fill="auto"/>
            <w:noWrap/>
            <w:vAlign w:val="bottom"/>
            <w:hideMark/>
          </w:tcPr>
          <w:p w14:paraId="01984533"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34.27</w:t>
            </w:r>
          </w:p>
        </w:tc>
        <w:tc>
          <w:tcPr>
            <w:tcW w:w="581" w:type="dxa"/>
            <w:tcBorders>
              <w:top w:val="nil"/>
              <w:left w:val="single" w:sz="4" w:space="0" w:color="auto"/>
              <w:bottom w:val="nil"/>
              <w:right w:val="nil"/>
            </w:tcBorders>
            <w:shd w:val="clear" w:color="auto" w:fill="auto"/>
            <w:noWrap/>
            <w:vAlign w:val="bottom"/>
            <w:hideMark/>
          </w:tcPr>
          <w:p w14:paraId="49A35A8B"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34.27</w:t>
            </w:r>
          </w:p>
        </w:tc>
        <w:tc>
          <w:tcPr>
            <w:tcW w:w="581" w:type="dxa"/>
            <w:tcBorders>
              <w:top w:val="nil"/>
              <w:left w:val="single" w:sz="4" w:space="0" w:color="auto"/>
              <w:bottom w:val="nil"/>
              <w:right w:val="nil"/>
            </w:tcBorders>
            <w:shd w:val="clear" w:color="auto" w:fill="auto"/>
            <w:noWrap/>
            <w:vAlign w:val="bottom"/>
            <w:hideMark/>
          </w:tcPr>
          <w:p w14:paraId="1AD55600"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34.29</w:t>
            </w:r>
          </w:p>
        </w:tc>
        <w:tc>
          <w:tcPr>
            <w:tcW w:w="581" w:type="dxa"/>
            <w:tcBorders>
              <w:top w:val="nil"/>
              <w:left w:val="single" w:sz="4" w:space="0" w:color="auto"/>
              <w:bottom w:val="nil"/>
              <w:right w:val="nil"/>
            </w:tcBorders>
            <w:shd w:val="clear" w:color="auto" w:fill="auto"/>
            <w:noWrap/>
            <w:hideMark/>
          </w:tcPr>
          <w:p w14:paraId="0550F23B"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34.32</w:t>
            </w:r>
          </w:p>
        </w:tc>
        <w:tc>
          <w:tcPr>
            <w:tcW w:w="581" w:type="dxa"/>
            <w:tcBorders>
              <w:top w:val="nil"/>
              <w:left w:val="nil"/>
              <w:bottom w:val="nil"/>
              <w:right w:val="nil"/>
            </w:tcBorders>
            <w:shd w:val="clear" w:color="auto" w:fill="auto"/>
            <w:noWrap/>
            <w:hideMark/>
          </w:tcPr>
          <w:p w14:paraId="0D6965B4"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34.29</w:t>
            </w:r>
          </w:p>
        </w:tc>
        <w:tc>
          <w:tcPr>
            <w:tcW w:w="581" w:type="dxa"/>
            <w:tcBorders>
              <w:top w:val="nil"/>
              <w:left w:val="nil"/>
              <w:bottom w:val="nil"/>
              <w:right w:val="nil"/>
            </w:tcBorders>
            <w:shd w:val="clear" w:color="auto" w:fill="auto"/>
            <w:noWrap/>
            <w:hideMark/>
          </w:tcPr>
          <w:p w14:paraId="1F6F5A92"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34.27</w:t>
            </w:r>
          </w:p>
        </w:tc>
        <w:tc>
          <w:tcPr>
            <w:tcW w:w="581" w:type="dxa"/>
            <w:tcBorders>
              <w:top w:val="nil"/>
              <w:left w:val="nil"/>
              <w:bottom w:val="nil"/>
              <w:right w:val="nil"/>
            </w:tcBorders>
            <w:shd w:val="clear" w:color="auto" w:fill="auto"/>
            <w:noWrap/>
            <w:hideMark/>
          </w:tcPr>
          <w:p w14:paraId="0DF26504"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34.27</w:t>
            </w:r>
          </w:p>
        </w:tc>
        <w:tc>
          <w:tcPr>
            <w:tcW w:w="581" w:type="dxa"/>
            <w:tcBorders>
              <w:top w:val="nil"/>
              <w:left w:val="nil"/>
              <w:bottom w:val="nil"/>
              <w:right w:val="single" w:sz="4" w:space="0" w:color="auto"/>
            </w:tcBorders>
            <w:shd w:val="clear" w:color="auto" w:fill="auto"/>
            <w:noWrap/>
            <w:hideMark/>
          </w:tcPr>
          <w:p w14:paraId="2719F2FE"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34.29</w:t>
            </w:r>
          </w:p>
        </w:tc>
        <w:tc>
          <w:tcPr>
            <w:tcW w:w="500" w:type="dxa"/>
            <w:tcBorders>
              <w:top w:val="nil"/>
              <w:left w:val="nil"/>
              <w:bottom w:val="nil"/>
              <w:right w:val="nil"/>
            </w:tcBorders>
            <w:shd w:val="clear" w:color="auto" w:fill="auto"/>
            <w:noWrap/>
            <w:hideMark/>
          </w:tcPr>
          <w:p w14:paraId="298BB804" w14:textId="77777777" w:rsidR="00D924D5" w:rsidRPr="00463D42" w:rsidRDefault="00D924D5" w:rsidP="004127ED">
            <w:pPr>
              <w:spacing w:after="0" w:line="240" w:lineRule="auto"/>
              <w:jc w:val="both"/>
              <w:rPr>
                <w:rFonts w:eastAsia="Times New Roman" w:cstheme="minorHAnsi"/>
                <w:sz w:val="16"/>
                <w:szCs w:val="16"/>
              </w:rPr>
            </w:pPr>
            <w:r w:rsidRPr="00463D42">
              <w:rPr>
                <w:rFonts w:eastAsia="Times New Roman" w:cstheme="minorHAnsi"/>
                <w:sz w:val="16"/>
                <w:szCs w:val="16"/>
              </w:rPr>
              <w:t>1.00</w:t>
            </w:r>
          </w:p>
        </w:tc>
        <w:tc>
          <w:tcPr>
            <w:tcW w:w="500" w:type="dxa"/>
            <w:tcBorders>
              <w:top w:val="nil"/>
              <w:left w:val="nil"/>
              <w:bottom w:val="nil"/>
              <w:right w:val="nil"/>
            </w:tcBorders>
            <w:shd w:val="clear" w:color="auto" w:fill="auto"/>
            <w:noWrap/>
            <w:hideMark/>
          </w:tcPr>
          <w:p w14:paraId="701F3EB4"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nil"/>
            </w:tcBorders>
            <w:shd w:val="clear" w:color="auto" w:fill="auto"/>
            <w:noWrap/>
            <w:hideMark/>
          </w:tcPr>
          <w:p w14:paraId="79B563A4"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nil"/>
            </w:tcBorders>
            <w:shd w:val="clear" w:color="auto" w:fill="auto"/>
            <w:noWrap/>
            <w:hideMark/>
          </w:tcPr>
          <w:p w14:paraId="3EBC8C48"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single" w:sz="4" w:space="0" w:color="auto"/>
            </w:tcBorders>
            <w:shd w:val="clear" w:color="auto" w:fill="auto"/>
            <w:noWrap/>
            <w:hideMark/>
          </w:tcPr>
          <w:p w14:paraId="625E69D1"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1000" w:type="dxa"/>
            <w:tcBorders>
              <w:top w:val="nil"/>
              <w:left w:val="nil"/>
              <w:bottom w:val="nil"/>
              <w:right w:val="single" w:sz="4" w:space="0" w:color="auto"/>
            </w:tcBorders>
            <w:shd w:val="clear" w:color="auto" w:fill="auto"/>
            <w:noWrap/>
            <w:hideMark/>
          </w:tcPr>
          <w:p w14:paraId="5B0E5196"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1.000</w:t>
            </w:r>
          </w:p>
        </w:tc>
      </w:tr>
      <w:tr w:rsidR="00D924D5" w:rsidRPr="00463D42" w14:paraId="3AEC78F2" w14:textId="77777777" w:rsidTr="00463D42">
        <w:trPr>
          <w:trHeight w:val="225"/>
          <w:jc w:val="center"/>
        </w:trPr>
        <w:tc>
          <w:tcPr>
            <w:tcW w:w="1620" w:type="dxa"/>
            <w:tcBorders>
              <w:top w:val="nil"/>
              <w:left w:val="single" w:sz="4" w:space="0" w:color="auto"/>
              <w:bottom w:val="nil"/>
              <w:right w:val="nil"/>
            </w:tcBorders>
            <w:shd w:val="clear" w:color="auto" w:fill="auto"/>
            <w:noWrap/>
            <w:hideMark/>
          </w:tcPr>
          <w:p w14:paraId="38F53790"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BMI (SD)</w:t>
            </w:r>
          </w:p>
        </w:tc>
        <w:tc>
          <w:tcPr>
            <w:tcW w:w="657" w:type="dxa"/>
            <w:tcBorders>
              <w:top w:val="nil"/>
              <w:left w:val="single" w:sz="8" w:space="0" w:color="auto"/>
              <w:bottom w:val="nil"/>
              <w:right w:val="single" w:sz="4" w:space="0" w:color="auto"/>
            </w:tcBorders>
            <w:shd w:val="clear" w:color="auto" w:fill="auto"/>
            <w:vAlign w:val="center"/>
            <w:hideMark/>
          </w:tcPr>
          <w:p w14:paraId="326161A9"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4.17</w:t>
            </w:r>
          </w:p>
        </w:tc>
        <w:tc>
          <w:tcPr>
            <w:tcW w:w="657" w:type="dxa"/>
            <w:tcBorders>
              <w:top w:val="nil"/>
              <w:left w:val="nil"/>
              <w:bottom w:val="nil"/>
              <w:right w:val="nil"/>
            </w:tcBorders>
            <w:shd w:val="clear" w:color="auto" w:fill="auto"/>
            <w:vAlign w:val="center"/>
            <w:hideMark/>
          </w:tcPr>
          <w:p w14:paraId="5CEC5BC5"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4.12</w:t>
            </w:r>
          </w:p>
        </w:tc>
        <w:tc>
          <w:tcPr>
            <w:tcW w:w="581" w:type="dxa"/>
            <w:tcBorders>
              <w:top w:val="nil"/>
              <w:left w:val="single" w:sz="4" w:space="0" w:color="auto"/>
              <w:bottom w:val="nil"/>
              <w:right w:val="nil"/>
            </w:tcBorders>
            <w:shd w:val="clear" w:color="auto" w:fill="auto"/>
            <w:noWrap/>
            <w:vAlign w:val="bottom"/>
            <w:hideMark/>
          </w:tcPr>
          <w:p w14:paraId="72898A6D"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4.09</w:t>
            </w:r>
          </w:p>
        </w:tc>
        <w:tc>
          <w:tcPr>
            <w:tcW w:w="581" w:type="dxa"/>
            <w:tcBorders>
              <w:top w:val="nil"/>
              <w:left w:val="single" w:sz="4" w:space="0" w:color="auto"/>
              <w:bottom w:val="nil"/>
              <w:right w:val="nil"/>
            </w:tcBorders>
            <w:shd w:val="clear" w:color="auto" w:fill="auto"/>
            <w:noWrap/>
            <w:vAlign w:val="bottom"/>
            <w:hideMark/>
          </w:tcPr>
          <w:p w14:paraId="21906D16"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4.13</w:t>
            </w:r>
          </w:p>
        </w:tc>
        <w:tc>
          <w:tcPr>
            <w:tcW w:w="581" w:type="dxa"/>
            <w:tcBorders>
              <w:top w:val="nil"/>
              <w:left w:val="single" w:sz="4" w:space="0" w:color="auto"/>
              <w:bottom w:val="nil"/>
              <w:right w:val="nil"/>
            </w:tcBorders>
            <w:shd w:val="clear" w:color="auto" w:fill="auto"/>
            <w:noWrap/>
            <w:vAlign w:val="bottom"/>
            <w:hideMark/>
          </w:tcPr>
          <w:p w14:paraId="3CB5B7A3"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4.12</w:t>
            </w:r>
          </w:p>
        </w:tc>
        <w:tc>
          <w:tcPr>
            <w:tcW w:w="581" w:type="dxa"/>
            <w:tcBorders>
              <w:top w:val="nil"/>
              <w:left w:val="single" w:sz="4" w:space="0" w:color="auto"/>
              <w:bottom w:val="nil"/>
              <w:right w:val="nil"/>
            </w:tcBorders>
            <w:shd w:val="clear" w:color="auto" w:fill="auto"/>
            <w:noWrap/>
            <w:hideMark/>
          </w:tcPr>
          <w:p w14:paraId="2252CF78"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4.17</w:t>
            </w:r>
          </w:p>
        </w:tc>
        <w:tc>
          <w:tcPr>
            <w:tcW w:w="581" w:type="dxa"/>
            <w:tcBorders>
              <w:top w:val="nil"/>
              <w:left w:val="nil"/>
              <w:bottom w:val="nil"/>
              <w:right w:val="nil"/>
            </w:tcBorders>
            <w:shd w:val="clear" w:color="auto" w:fill="auto"/>
            <w:noWrap/>
            <w:hideMark/>
          </w:tcPr>
          <w:p w14:paraId="5DEDED9B"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4.12</w:t>
            </w:r>
          </w:p>
        </w:tc>
        <w:tc>
          <w:tcPr>
            <w:tcW w:w="581" w:type="dxa"/>
            <w:tcBorders>
              <w:top w:val="nil"/>
              <w:left w:val="nil"/>
              <w:bottom w:val="nil"/>
              <w:right w:val="nil"/>
            </w:tcBorders>
            <w:shd w:val="clear" w:color="auto" w:fill="auto"/>
            <w:noWrap/>
            <w:hideMark/>
          </w:tcPr>
          <w:p w14:paraId="0BC14A4C"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4.09</w:t>
            </w:r>
          </w:p>
        </w:tc>
        <w:tc>
          <w:tcPr>
            <w:tcW w:w="581" w:type="dxa"/>
            <w:tcBorders>
              <w:top w:val="nil"/>
              <w:left w:val="nil"/>
              <w:bottom w:val="nil"/>
              <w:right w:val="nil"/>
            </w:tcBorders>
            <w:shd w:val="clear" w:color="auto" w:fill="auto"/>
            <w:noWrap/>
            <w:hideMark/>
          </w:tcPr>
          <w:p w14:paraId="114C0A2C"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4.13</w:t>
            </w:r>
          </w:p>
        </w:tc>
        <w:tc>
          <w:tcPr>
            <w:tcW w:w="581" w:type="dxa"/>
            <w:tcBorders>
              <w:top w:val="nil"/>
              <w:left w:val="nil"/>
              <w:bottom w:val="nil"/>
              <w:right w:val="single" w:sz="4" w:space="0" w:color="auto"/>
            </w:tcBorders>
            <w:shd w:val="clear" w:color="auto" w:fill="auto"/>
            <w:noWrap/>
            <w:hideMark/>
          </w:tcPr>
          <w:p w14:paraId="2D2EF52E"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4.12</w:t>
            </w:r>
          </w:p>
        </w:tc>
        <w:tc>
          <w:tcPr>
            <w:tcW w:w="500" w:type="dxa"/>
            <w:tcBorders>
              <w:top w:val="nil"/>
              <w:left w:val="nil"/>
              <w:bottom w:val="nil"/>
              <w:right w:val="nil"/>
            </w:tcBorders>
            <w:shd w:val="clear" w:color="auto" w:fill="auto"/>
            <w:noWrap/>
            <w:hideMark/>
          </w:tcPr>
          <w:p w14:paraId="7D80AC37" w14:textId="77777777" w:rsidR="00D924D5" w:rsidRPr="00463D42" w:rsidRDefault="00D924D5" w:rsidP="004127ED">
            <w:pPr>
              <w:spacing w:after="0" w:line="240" w:lineRule="auto"/>
              <w:jc w:val="both"/>
              <w:rPr>
                <w:rFonts w:eastAsia="Times New Roman" w:cstheme="minorHAnsi"/>
                <w:sz w:val="16"/>
                <w:szCs w:val="16"/>
              </w:rPr>
            </w:pPr>
            <w:r w:rsidRPr="00463D42">
              <w:rPr>
                <w:rFonts w:eastAsia="Times New Roman" w:cstheme="minorHAnsi"/>
                <w:sz w:val="16"/>
                <w:szCs w:val="16"/>
              </w:rPr>
              <w:t>1.00</w:t>
            </w:r>
          </w:p>
        </w:tc>
        <w:tc>
          <w:tcPr>
            <w:tcW w:w="500" w:type="dxa"/>
            <w:tcBorders>
              <w:top w:val="nil"/>
              <w:left w:val="nil"/>
              <w:bottom w:val="nil"/>
              <w:right w:val="nil"/>
            </w:tcBorders>
            <w:shd w:val="clear" w:color="auto" w:fill="auto"/>
            <w:noWrap/>
            <w:hideMark/>
          </w:tcPr>
          <w:p w14:paraId="4C5BB743"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nil"/>
            </w:tcBorders>
            <w:shd w:val="clear" w:color="auto" w:fill="auto"/>
            <w:noWrap/>
            <w:hideMark/>
          </w:tcPr>
          <w:p w14:paraId="759253C9"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nil"/>
            </w:tcBorders>
            <w:shd w:val="clear" w:color="auto" w:fill="auto"/>
            <w:noWrap/>
            <w:hideMark/>
          </w:tcPr>
          <w:p w14:paraId="09A54D0B"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single" w:sz="4" w:space="0" w:color="auto"/>
            </w:tcBorders>
            <w:shd w:val="clear" w:color="auto" w:fill="auto"/>
            <w:noWrap/>
            <w:hideMark/>
          </w:tcPr>
          <w:p w14:paraId="25895EC3"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1000" w:type="dxa"/>
            <w:tcBorders>
              <w:top w:val="nil"/>
              <w:left w:val="nil"/>
              <w:bottom w:val="nil"/>
              <w:right w:val="single" w:sz="4" w:space="0" w:color="auto"/>
            </w:tcBorders>
            <w:shd w:val="clear" w:color="auto" w:fill="auto"/>
            <w:noWrap/>
            <w:hideMark/>
          </w:tcPr>
          <w:p w14:paraId="2205286C"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0.999</w:t>
            </w:r>
          </w:p>
        </w:tc>
      </w:tr>
      <w:tr w:rsidR="00D924D5" w:rsidRPr="00463D42" w14:paraId="56691EA5" w14:textId="77777777" w:rsidTr="00463D42">
        <w:trPr>
          <w:trHeight w:val="225"/>
          <w:jc w:val="center"/>
        </w:trPr>
        <w:tc>
          <w:tcPr>
            <w:tcW w:w="1620" w:type="dxa"/>
            <w:tcBorders>
              <w:top w:val="nil"/>
              <w:left w:val="single" w:sz="4" w:space="0" w:color="auto"/>
              <w:bottom w:val="nil"/>
              <w:right w:val="nil"/>
            </w:tcBorders>
            <w:shd w:val="clear" w:color="auto" w:fill="auto"/>
            <w:noWrap/>
            <w:hideMark/>
          </w:tcPr>
          <w:p w14:paraId="1CE8C138"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Diabetes</w:t>
            </w:r>
          </w:p>
        </w:tc>
        <w:tc>
          <w:tcPr>
            <w:tcW w:w="657" w:type="dxa"/>
            <w:tcBorders>
              <w:top w:val="nil"/>
              <w:left w:val="single" w:sz="8" w:space="0" w:color="auto"/>
              <w:bottom w:val="nil"/>
              <w:right w:val="single" w:sz="4" w:space="0" w:color="auto"/>
            </w:tcBorders>
            <w:shd w:val="clear" w:color="auto" w:fill="auto"/>
            <w:vAlign w:val="center"/>
            <w:hideMark/>
          </w:tcPr>
          <w:p w14:paraId="28494B00"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0.32</w:t>
            </w:r>
          </w:p>
        </w:tc>
        <w:tc>
          <w:tcPr>
            <w:tcW w:w="657" w:type="dxa"/>
            <w:tcBorders>
              <w:top w:val="nil"/>
              <w:left w:val="nil"/>
              <w:bottom w:val="nil"/>
              <w:right w:val="nil"/>
            </w:tcBorders>
            <w:shd w:val="clear" w:color="auto" w:fill="auto"/>
            <w:vAlign w:val="center"/>
            <w:hideMark/>
          </w:tcPr>
          <w:p w14:paraId="1ECF07AF"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0.33</w:t>
            </w:r>
          </w:p>
        </w:tc>
        <w:tc>
          <w:tcPr>
            <w:tcW w:w="581" w:type="dxa"/>
            <w:tcBorders>
              <w:top w:val="nil"/>
              <w:left w:val="single" w:sz="4" w:space="0" w:color="auto"/>
              <w:bottom w:val="nil"/>
              <w:right w:val="nil"/>
            </w:tcBorders>
            <w:shd w:val="clear" w:color="auto" w:fill="auto"/>
            <w:noWrap/>
            <w:vAlign w:val="bottom"/>
            <w:hideMark/>
          </w:tcPr>
          <w:p w14:paraId="07667F66"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0.33</w:t>
            </w:r>
          </w:p>
        </w:tc>
        <w:tc>
          <w:tcPr>
            <w:tcW w:w="581" w:type="dxa"/>
            <w:tcBorders>
              <w:top w:val="nil"/>
              <w:left w:val="single" w:sz="4" w:space="0" w:color="auto"/>
              <w:bottom w:val="nil"/>
              <w:right w:val="nil"/>
            </w:tcBorders>
            <w:shd w:val="clear" w:color="auto" w:fill="auto"/>
            <w:noWrap/>
            <w:vAlign w:val="bottom"/>
            <w:hideMark/>
          </w:tcPr>
          <w:p w14:paraId="02320FBA"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0.34</w:t>
            </w:r>
          </w:p>
        </w:tc>
        <w:tc>
          <w:tcPr>
            <w:tcW w:w="581" w:type="dxa"/>
            <w:tcBorders>
              <w:top w:val="nil"/>
              <w:left w:val="single" w:sz="4" w:space="0" w:color="auto"/>
              <w:bottom w:val="nil"/>
              <w:right w:val="nil"/>
            </w:tcBorders>
            <w:shd w:val="clear" w:color="auto" w:fill="auto"/>
            <w:noWrap/>
            <w:vAlign w:val="bottom"/>
            <w:hideMark/>
          </w:tcPr>
          <w:p w14:paraId="5591F15D"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0.33</w:t>
            </w:r>
          </w:p>
        </w:tc>
        <w:tc>
          <w:tcPr>
            <w:tcW w:w="581" w:type="dxa"/>
            <w:tcBorders>
              <w:top w:val="nil"/>
              <w:left w:val="single" w:sz="4" w:space="0" w:color="auto"/>
              <w:bottom w:val="nil"/>
              <w:right w:val="nil"/>
            </w:tcBorders>
            <w:shd w:val="clear" w:color="auto" w:fill="auto"/>
            <w:noWrap/>
            <w:hideMark/>
          </w:tcPr>
          <w:p w14:paraId="5AE56FBA"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0.32</w:t>
            </w:r>
          </w:p>
        </w:tc>
        <w:tc>
          <w:tcPr>
            <w:tcW w:w="581" w:type="dxa"/>
            <w:tcBorders>
              <w:top w:val="nil"/>
              <w:left w:val="nil"/>
              <w:bottom w:val="nil"/>
              <w:right w:val="nil"/>
            </w:tcBorders>
            <w:shd w:val="clear" w:color="auto" w:fill="auto"/>
            <w:noWrap/>
            <w:hideMark/>
          </w:tcPr>
          <w:p w14:paraId="2EFC157A"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0.33</w:t>
            </w:r>
          </w:p>
        </w:tc>
        <w:tc>
          <w:tcPr>
            <w:tcW w:w="581" w:type="dxa"/>
            <w:tcBorders>
              <w:top w:val="nil"/>
              <w:left w:val="nil"/>
              <w:bottom w:val="nil"/>
              <w:right w:val="nil"/>
            </w:tcBorders>
            <w:shd w:val="clear" w:color="auto" w:fill="auto"/>
            <w:noWrap/>
            <w:hideMark/>
          </w:tcPr>
          <w:p w14:paraId="17D0BA2C"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0.33</w:t>
            </w:r>
          </w:p>
        </w:tc>
        <w:tc>
          <w:tcPr>
            <w:tcW w:w="581" w:type="dxa"/>
            <w:tcBorders>
              <w:top w:val="nil"/>
              <w:left w:val="nil"/>
              <w:bottom w:val="nil"/>
              <w:right w:val="nil"/>
            </w:tcBorders>
            <w:shd w:val="clear" w:color="auto" w:fill="auto"/>
            <w:noWrap/>
            <w:hideMark/>
          </w:tcPr>
          <w:p w14:paraId="3D82DD16"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0.34</w:t>
            </w:r>
          </w:p>
        </w:tc>
        <w:tc>
          <w:tcPr>
            <w:tcW w:w="581" w:type="dxa"/>
            <w:tcBorders>
              <w:top w:val="nil"/>
              <w:left w:val="nil"/>
              <w:bottom w:val="nil"/>
              <w:right w:val="single" w:sz="4" w:space="0" w:color="auto"/>
            </w:tcBorders>
            <w:shd w:val="clear" w:color="auto" w:fill="auto"/>
            <w:noWrap/>
            <w:hideMark/>
          </w:tcPr>
          <w:p w14:paraId="60686A2F"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0.33</w:t>
            </w:r>
          </w:p>
        </w:tc>
        <w:tc>
          <w:tcPr>
            <w:tcW w:w="500" w:type="dxa"/>
            <w:tcBorders>
              <w:top w:val="nil"/>
              <w:left w:val="nil"/>
              <w:bottom w:val="nil"/>
              <w:right w:val="nil"/>
            </w:tcBorders>
            <w:shd w:val="clear" w:color="auto" w:fill="auto"/>
            <w:noWrap/>
            <w:hideMark/>
          </w:tcPr>
          <w:p w14:paraId="20BE7B12" w14:textId="77777777" w:rsidR="00D924D5" w:rsidRPr="00463D42" w:rsidRDefault="00D924D5" w:rsidP="004127ED">
            <w:pPr>
              <w:spacing w:after="0" w:line="240" w:lineRule="auto"/>
              <w:jc w:val="both"/>
              <w:rPr>
                <w:rFonts w:eastAsia="Times New Roman" w:cstheme="minorHAnsi"/>
                <w:sz w:val="16"/>
                <w:szCs w:val="16"/>
              </w:rPr>
            </w:pPr>
            <w:r w:rsidRPr="00463D42">
              <w:rPr>
                <w:rFonts w:eastAsia="Times New Roman" w:cstheme="minorHAnsi"/>
                <w:sz w:val="16"/>
                <w:szCs w:val="16"/>
              </w:rPr>
              <w:t>1.00</w:t>
            </w:r>
          </w:p>
        </w:tc>
        <w:tc>
          <w:tcPr>
            <w:tcW w:w="500" w:type="dxa"/>
            <w:tcBorders>
              <w:top w:val="nil"/>
              <w:left w:val="nil"/>
              <w:bottom w:val="nil"/>
              <w:right w:val="nil"/>
            </w:tcBorders>
            <w:shd w:val="clear" w:color="auto" w:fill="auto"/>
            <w:noWrap/>
            <w:hideMark/>
          </w:tcPr>
          <w:p w14:paraId="46842DE4"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nil"/>
            </w:tcBorders>
            <w:shd w:val="clear" w:color="auto" w:fill="auto"/>
            <w:noWrap/>
            <w:hideMark/>
          </w:tcPr>
          <w:p w14:paraId="57E16130"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nil"/>
            </w:tcBorders>
            <w:shd w:val="clear" w:color="auto" w:fill="auto"/>
            <w:noWrap/>
            <w:hideMark/>
          </w:tcPr>
          <w:p w14:paraId="7C5A54B6"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single" w:sz="4" w:space="0" w:color="auto"/>
            </w:tcBorders>
            <w:shd w:val="clear" w:color="auto" w:fill="auto"/>
            <w:noWrap/>
            <w:hideMark/>
          </w:tcPr>
          <w:p w14:paraId="3070C7FF"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1000" w:type="dxa"/>
            <w:tcBorders>
              <w:top w:val="nil"/>
              <w:left w:val="nil"/>
              <w:bottom w:val="nil"/>
              <w:right w:val="single" w:sz="4" w:space="0" w:color="auto"/>
            </w:tcBorders>
            <w:shd w:val="clear" w:color="auto" w:fill="auto"/>
            <w:noWrap/>
            <w:hideMark/>
          </w:tcPr>
          <w:p w14:paraId="71B56178"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1.000</w:t>
            </w:r>
          </w:p>
        </w:tc>
      </w:tr>
      <w:tr w:rsidR="00D924D5" w:rsidRPr="00463D42" w14:paraId="060BB55B" w14:textId="77777777" w:rsidTr="00463D42">
        <w:trPr>
          <w:trHeight w:val="225"/>
          <w:jc w:val="center"/>
        </w:trPr>
        <w:tc>
          <w:tcPr>
            <w:tcW w:w="1620" w:type="dxa"/>
            <w:tcBorders>
              <w:top w:val="nil"/>
              <w:left w:val="single" w:sz="4" w:space="0" w:color="auto"/>
              <w:bottom w:val="nil"/>
              <w:right w:val="nil"/>
            </w:tcBorders>
            <w:shd w:val="clear" w:color="auto" w:fill="auto"/>
            <w:noWrap/>
            <w:hideMark/>
          </w:tcPr>
          <w:p w14:paraId="19C98912"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CLD</w:t>
            </w:r>
          </w:p>
        </w:tc>
        <w:tc>
          <w:tcPr>
            <w:tcW w:w="657" w:type="dxa"/>
            <w:tcBorders>
              <w:top w:val="nil"/>
              <w:left w:val="single" w:sz="8" w:space="0" w:color="auto"/>
              <w:bottom w:val="nil"/>
              <w:right w:val="single" w:sz="4" w:space="0" w:color="auto"/>
            </w:tcBorders>
            <w:shd w:val="clear" w:color="auto" w:fill="auto"/>
            <w:vAlign w:val="center"/>
            <w:hideMark/>
          </w:tcPr>
          <w:p w14:paraId="639C24F2"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0.14</w:t>
            </w:r>
          </w:p>
        </w:tc>
        <w:tc>
          <w:tcPr>
            <w:tcW w:w="657" w:type="dxa"/>
            <w:tcBorders>
              <w:top w:val="nil"/>
              <w:left w:val="nil"/>
              <w:bottom w:val="nil"/>
              <w:right w:val="nil"/>
            </w:tcBorders>
            <w:shd w:val="clear" w:color="auto" w:fill="auto"/>
            <w:vAlign w:val="center"/>
            <w:hideMark/>
          </w:tcPr>
          <w:p w14:paraId="78423499"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0.14</w:t>
            </w:r>
          </w:p>
        </w:tc>
        <w:tc>
          <w:tcPr>
            <w:tcW w:w="581" w:type="dxa"/>
            <w:tcBorders>
              <w:top w:val="nil"/>
              <w:left w:val="single" w:sz="4" w:space="0" w:color="auto"/>
              <w:bottom w:val="nil"/>
              <w:right w:val="nil"/>
            </w:tcBorders>
            <w:shd w:val="clear" w:color="auto" w:fill="auto"/>
            <w:noWrap/>
            <w:vAlign w:val="bottom"/>
            <w:hideMark/>
          </w:tcPr>
          <w:p w14:paraId="1EE8C5E0"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0.13</w:t>
            </w:r>
          </w:p>
        </w:tc>
        <w:tc>
          <w:tcPr>
            <w:tcW w:w="581" w:type="dxa"/>
            <w:tcBorders>
              <w:top w:val="nil"/>
              <w:left w:val="single" w:sz="4" w:space="0" w:color="auto"/>
              <w:bottom w:val="nil"/>
              <w:right w:val="nil"/>
            </w:tcBorders>
            <w:shd w:val="clear" w:color="auto" w:fill="auto"/>
            <w:noWrap/>
            <w:vAlign w:val="bottom"/>
            <w:hideMark/>
          </w:tcPr>
          <w:p w14:paraId="62FBD241"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0.14</w:t>
            </w:r>
          </w:p>
        </w:tc>
        <w:tc>
          <w:tcPr>
            <w:tcW w:w="581" w:type="dxa"/>
            <w:tcBorders>
              <w:top w:val="nil"/>
              <w:left w:val="single" w:sz="4" w:space="0" w:color="auto"/>
              <w:bottom w:val="nil"/>
              <w:right w:val="nil"/>
            </w:tcBorders>
            <w:shd w:val="clear" w:color="auto" w:fill="auto"/>
            <w:noWrap/>
            <w:vAlign w:val="bottom"/>
            <w:hideMark/>
          </w:tcPr>
          <w:p w14:paraId="71BDE412"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0.14</w:t>
            </w:r>
          </w:p>
        </w:tc>
        <w:tc>
          <w:tcPr>
            <w:tcW w:w="581" w:type="dxa"/>
            <w:tcBorders>
              <w:top w:val="nil"/>
              <w:left w:val="single" w:sz="4" w:space="0" w:color="auto"/>
              <w:bottom w:val="nil"/>
              <w:right w:val="nil"/>
            </w:tcBorders>
            <w:shd w:val="clear" w:color="auto" w:fill="auto"/>
            <w:noWrap/>
            <w:hideMark/>
          </w:tcPr>
          <w:p w14:paraId="1CE38C4A"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0.14</w:t>
            </w:r>
          </w:p>
        </w:tc>
        <w:tc>
          <w:tcPr>
            <w:tcW w:w="581" w:type="dxa"/>
            <w:tcBorders>
              <w:top w:val="nil"/>
              <w:left w:val="nil"/>
              <w:bottom w:val="nil"/>
              <w:right w:val="nil"/>
            </w:tcBorders>
            <w:shd w:val="clear" w:color="auto" w:fill="auto"/>
            <w:noWrap/>
            <w:hideMark/>
          </w:tcPr>
          <w:p w14:paraId="6089AF33"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0.14</w:t>
            </w:r>
          </w:p>
        </w:tc>
        <w:tc>
          <w:tcPr>
            <w:tcW w:w="581" w:type="dxa"/>
            <w:tcBorders>
              <w:top w:val="nil"/>
              <w:left w:val="nil"/>
              <w:bottom w:val="nil"/>
              <w:right w:val="nil"/>
            </w:tcBorders>
            <w:shd w:val="clear" w:color="auto" w:fill="auto"/>
            <w:noWrap/>
            <w:hideMark/>
          </w:tcPr>
          <w:p w14:paraId="1D1319D6"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0.13</w:t>
            </w:r>
          </w:p>
        </w:tc>
        <w:tc>
          <w:tcPr>
            <w:tcW w:w="581" w:type="dxa"/>
            <w:tcBorders>
              <w:top w:val="nil"/>
              <w:left w:val="nil"/>
              <w:bottom w:val="nil"/>
              <w:right w:val="nil"/>
            </w:tcBorders>
            <w:shd w:val="clear" w:color="auto" w:fill="auto"/>
            <w:noWrap/>
            <w:hideMark/>
          </w:tcPr>
          <w:p w14:paraId="00D2E636"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0.14</w:t>
            </w:r>
          </w:p>
        </w:tc>
        <w:tc>
          <w:tcPr>
            <w:tcW w:w="581" w:type="dxa"/>
            <w:tcBorders>
              <w:top w:val="nil"/>
              <w:left w:val="nil"/>
              <w:bottom w:val="nil"/>
              <w:right w:val="single" w:sz="4" w:space="0" w:color="auto"/>
            </w:tcBorders>
            <w:shd w:val="clear" w:color="auto" w:fill="auto"/>
            <w:noWrap/>
            <w:hideMark/>
          </w:tcPr>
          <w:p w14:paraId="35D65353"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0.14</w:t>
            </w:r>
          </w:p>
        </w:tc>
        <w:tc>
          <w:tcPr>
            <w:tcW w:w="500" w:type="dxa"/>
            <w:tcBorders>
              <w:top w:val="nil"/>
              <w:left w:val="nil"/>
              <w:bottom w:val="nil"/>
              <w:right w:val="nil"/>
            </w:tcBorders>
            <w:shd w:val="clear" w:color="auto" w:fill="auto"/>
            <w:noWrap/>
            <w:hideMark/>
          </w:tcPr>
          <w:p w14:paraId="7A476959" w14:textId="77777777" w:rsidR="00D924D5" w:rsidRPr="00463D42" w:rsidRDefault="00D924D5" w:rsidP="004127ED">
            <w:pPr>
              <w:spacing w:after="0" w:line="240" w:lineRule="auto"/>
              <w:jc w:val="both"/>
              <w:rPr>
                <w:rFonts w:eastAsia="Times New Roman" w:cstheme="minorHAnsi"/>
                <w:sz w:val="16"/>
                <w:szCs w:val="16"/>
              </w:rPr>
            </w:pPr>
            <w:r w:rsidRPr="00463D42">
              <w:rPr>
                <w:rFonts w:eastAsia="Times New Roman" w:cstheme="minorHAnsi"/>
                <w:sz w:val="16"/>
                <w:szCs w:val="16"/>
              </w:rPr>
              <w:t>1.00</w:t>
            </w:r>
          </w:p>
        </w:tc>
        <w:tc>
          <w:tcPr>
            <w:tcW w:w="500" w:type="dxa"/>
            <w:tcBorders>
              <w:top w:val="nil"/>
              <w:left w:val="nil"/>
              <w:bottom w:val="nil"/>
              <w:right w:val="nil"/>
            </w:tcBorders>
            <w:shd w:val="clear" w:color="auto" w:fill="auto"/>
            <w:noWrap/>
            <w:hideMark/>
          </w:tcPr>
          <w:p w14:paraId="20A16A9A"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nil"/>
            </w:tcBorders>
            <w:shd w:val="clear" w:color="auto" w:fill="auto"/>
            <w:noWrap/>
            <w:hideMark/>
          </w:tcPr>
          <w:p w14:paraId="6B8365BE"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nil"/>
            </w:tcBorders>
            <w:shd w:val="clear" w:color="auto" w:fill="auto"/>
            <w:noWrap/>
            <w:hideMark/>
          </w:tcPr>
          <w:p w14:paraId="2AE31506"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single" w:sz="4" w:space="0" w:color="auto"/>
            </w:tcBorders>
            <w:shd w:val="clear" w:color="auto" w:fill="auto"/>
            <w:noWrap/>
            <w:hideMark/>
          </w:tcPr>
          <w:p w14:paraId="64AA4957"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1000" w:type="dxa"/>
            <w:tcBorders>
              <w:top w:val="nil"/>
              <w:left w:val="nil"/>
              <w:bottom w:val="nil"/>
              <w:right w:val="single" w:sz="4" w:space="0" w:color="auto"/>
            </w:tcBorders>
            <w:shd w:val="clear" w:color="auto" w:fill="auto"/>
            <w:noWrap/>
            <w:hideMark/>
          </w:tcPr>
          <w:p w14:paraId="73CC775A"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1.000</w:t>
            </w:r>
          </w:p>
        </w:tc>
      </w:tr>
      <w:tr w:rsidR="00D924D5" w:rsidRPr="00463D42" w14:paraId="2E883EFA" w14:textId="77777777" w:rsidTr="00463D42">
        <w:trPr>
          <w:trHeight w:val="225"/>
          <w:jc w:val="center"/>
        </w:trPr>
        <w:tc>
          <w:tcPr>
            <w:tcW w:w="1620" w:type="dxa"/>
            <w:tcBorders>
              <w:top w:val="nil"/>
              <w:left w:val="single" w:sz="4" w:space="0" w:color="auto"/>
              <w:bottom w:val="nil"/>
              <w:right w:val="nil"/>
            </w:tcBorders>
            <w:shd w:val="clear" w:color="auto" w:fill="auto"/>
            <w:noWrap/>
            <w:hideMark/>
          </w:tcPr>
          <w:p w14:paraId="0A3908B4" w14:textId="3057F76F"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Hypertension</w:t>
            </w:r>
          </w:p>
        </w:tc>
        <w:tc>
          <w:tcPr>
            <w:tcW w:w="657" w:type="dxa"/>
            <w:tcBorders>
              <w:top w:val="nil"/>
              <w:left w:val="single" w:sz="8" w:space="0" w:color="auto"/>
              <w:bottom w:val="nil"/>
              <w:right w:val="nil"/>
            </w:tcBorders>
            <w:shd w:val="clear" w:color="auto" w:fill="auto"/>
            <w:noWrap/>
            <w:vAlign w:val="bottom"/>
            <w:hideMark/>
          </w:tcPr>
          <w:p w14:paraId="490F8E0C"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0.72</w:t>
            </w:r>
          </w:p>
        </w:tc>
        <w:tc>
          <w:tcPr>
            <w:tcW w:w="657" w:type="dxa"/>
            <w:tcBorders>
              <w:top w:val="nil"/>
              <w:left w:val="single" w:sz="4" w:space="0" w:color="auto"/>
              <w:bottom w:val="nil"/>
              <w:right w:val="single" w:sz="4" w:space="0" w:color="auto"/>
            </w:tcBorders>
            <w:shd w:val="clear" w:color="auto" w:fill="auto"/>
            <w:noWrap/>
            <w:vAlign w:val="bottom"/>
            <w:hideMark/>
          </w:tcPr>
          <w:p w14:paraId="74C94616"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0.74</w:t>
            </w:r>
          </w:p>
        </w:tc>
        <w:tc>
          <w:tcPr>
            <w:tcW w:w="581" w:type="dxa"/>
            <w:tcBorders>
              <w:top w:val="nil"/>
              <w:left w:val="nil"/>
              <w:bottom w:val="nil"/>
              <w:right w:val="single" w:sz="4" w:space="0" w:color="auto"/>
            </w:tcBorders>
            <w:shd w:val="clear" w:color="auto" w:fill="auto"/>
            <w:noWrap/>
            <w:vAlign w:val="bottom"/>
            <w:hideMark/>
          </w:tcPr>
          <w:p w14:paraId="6892B120"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0.72</w:t>
            </w:r>
          </w:p>
        </w:tc>
        <w:tc>
          <w:tcPr>
            <w:tcW w:w="581" w:type="dxa"/>
            <w:tcBorders>
              <w:top w:val="nil"/>
              <w:left w:val="nil"/>
              <w:bottom w:val="nil"/>
              <w:right w:val="nil"/>
            </w:tcBorders>
            <w:shd w:val="clear" w:color="auto" w:fill="auto"/>
            <w:noWrap/>
            <w:vAlign w:val="bottom"/>
            <w:hideMark/>
          </w:tcPr>
          <w:p w14:paraId="5EA211A2"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0.75</w:t>
            </w:r>
          </w:p>
        </w:tc>
        <w:tc>
          <w:tcPr>
            <w:tcW w:w="581" w:type="dxa"/>
            <w:tcBorders>
              <w:top w:val="nil"/>
              <w:left w:val="single" w:sz="4" w:space="0" w:color="auto"/>
              <w:bottom w:val="nil"/>
              <w:right w:val="nil"/>
            </w:tcBorders>
            <w:shd w:val="clear" w:color="auto" w:fill="auto"/>
            <w:noWrap/>
            <w:vAlign w:val="bottom"/>
            <w:hideMark/>
          </w:tcPr>
          <w:p w14:paraId="0A8B5B1B"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0.73</w:t>
            </w:r>
          </w:p>
        </w:tc>
        <w:tc>
          <w:tcPr>
            <w:tcW w:w="581" w:type="dxa"/>
            <w:tcBorders>
              <w:top w:val="nil"/>
              <w:left w:val="single" w:sz="4" w:space="0" w:color="auto"/>
              <w:bottom w:val="nil"/>
              <w:right w:val="nil"/>
            </w:tcBorders>
            <w:shd w:val="clear" w:color="auto" w:fill="auto"/>
            <w:noWrap/>
            <w:hideMark/>
          </w:tcPr>
          <w:p w14:paraId="1F32D9D3"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0.72</w:t>
            </w:r>
          </w:p>
        </w:tc>
        <w:tc>
          <w:tcPr>
            <w:tcW w:w="581" w:type="dxa"/>
            <w:tcBorders>
              <w:top w:val="nil"/>
              <w:left w:val="nil"/>
              <w:bottom w:val="nil"/>
              <w:right w:val="nil"/>
            </w:tcBorders>
            <w:shd w:val="clear" w:color="auto" w:fill="auto"/>
            <w:noWrap/>
            <w:hideMark/>
          </w:tcPr>
          <w:p w14:paraId="7CDB4446"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0.74</w:t>
            </w:r>
          </w:p>
        </w:tc>
        <w:tc>
          <w:tcPr>
            <w:tcW w:w="581" w:type="dxa"/>
            <w:tcBorders>
              <w:top w:val="nil"/>
              <w:left w:val="nil"/>
              <w:bottom w:val="nil"/>
              <w:right w:val="nil"/>
            </w:tcBorders>
            <w:shd w:val="clear" w:color="auto" w:fill="auto"/>
            <w:noWrap/>
            <w:hideMark/>
          </w:tcPr>
          <w:p w14:paraId="02D71C5B"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0.72</w:t>
            </w:r>
          </w:p>
        </w:tc>
        <w:tc>
          <w:tcPr>
            <w:tcW w:w="581" w:type="dxa"/>
            <w:tcBorders>
              <w:top w:val="nil"/>
              <w:left w:val="nil"/>
              <w:bottom w:val="nil"/>
              <w:right w:val="nil"/>
            </w:tcBorders>
            <w:shd w:val="clear" w:color="auto" w:fill="auto"/>
            <w:noWrap/>
            <w:hideMark/>
          </w:tcPr>
          <w:p w14:paraId="11678A54"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0.75</w:t>
            </w:r>
          </w:p>
        </w:tc>
        <w:tc>
          <w:tcPr>
            <w:tcW w:w="581" w:type="dxa"/>
            <w:tcBorders>
              <w:top w:val="nil"/>
              <w:left w:val="nil"/>
              <w:bottom w:val="nil"/>
              <w:right w:val="single" w:sz="4" w:space="0" w:color="auto"/>
            </w:tcBorders>
            <w:shd w:val="clear" w:color="auto" w:fill="auto"/>
            <w:noWrap/>
            <w:hideMark/>
          </w:tcPr>
          <w:p w14:paraId="4C3285FE"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0.73</w:t>
            </w:r>
          </w:p>
        </w:tc>
        <w:tc>
          <w:tcPr>
            <w:tcW w:w="500" w:type="dxa"/>
            <w:tcBorders>
              <w:top w:val="nil"/>
              <w:left w:val="nil"/>
              <w:bottom w:val="nil"/>
              <w:right w:val="nil"/>
            </w:tcBorders>
            <w:shd w:val="clear" w:color="auto" w:fill="auto"/>
            <w:noWrap/>
            <w:hideMark/>
          </w:tcPr>
          <w:p w14:paraId="494B4B12" w14:textId="77777777" w:rsidR="00D924D5" w:rsidRPr="00463D42" w:rsidRDefault="00D924D5" w:rsidP="004127ED">
            <w:pPr>
              <w:spacing w:after="0" w:line="240" w:lineRule="auto"/>
              <w:jc w:val="both"/>
              <w:rPr>
                <w:rFonts w:eastAsia="Times New Roman" w:cstheme="minorHAnsi"/>
                <w:sz w:val="16"/>
                <w:szCs w:val="16"/>
              </w:rPr>
            </w:pPr>
            <w:r w:rsidRPr="00463D42">
              <w:rPr>
                <w:rFonts w:eastAsia="Times New Roman" w:cstheme="minorHAnsi"/>
                <w:sz w:val="16"/>
                <w:szCs w:val="16"/>
              </w:rPr>
              <w:t>1.00</w:t>
            </w:r>
          </w:p>
        </w:tc>
        <w:tc>
          <w:tcPr>
            <w:tcW w:w="500" w:type="dxa"/>
            <w:tcBorders>
              <w:top w:val="nil"/>
              <w:left w:val="nil"/>
              <w:bottom w:val="nil"/>
              <w:right w:val="nil"/>
            </w:tcBorders>
            <w:shd w:val="clear" w:color="auto" w:fill="auto"/>
            <w:noWrap/>
            <w:hideMark/>
          </w:tcPr>
          <w:p w14:paraId="688BDDA9"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nil"/>
            </w:tcBorders>
            <w:shd w:val="clear" w:color="auto" w:fill="auto"/>
            <w:noWrap/>
            <w:hideMark/>
          </w:tcPr>
          <w:p w14:paraId="58C37A5A"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nil"/>
            </w:tcBorders>
            <w:shd w:val="clear" w:color="auto" w:fill="auto"/>
            <w:noWrap/>
            <w:hideMark/>
          </w:tcPr>
          <w:p w14:paraId="5E39C65B"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single" w:sz="4" w:space="0" w:color="auto"/>
            </w:tcBorders>
            <w:shd w:val="clear" w:color="auto" w:fill="auto"/>
            <w:noWrap/>
            <w:hideMark/>
          </w:tcPr>
          <w:p w14:paraId="697B6DF8"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1000" w:type="dxa"/>
            <w:tcBorders>
              <w:top w:val="nil"/>
              <w:left w:val="nil"/>
              <w:bottom w:val="nil"/>
              <w:right w:val="single" w:sz="4" w:space="0" w:color="auto"/>
            </w:tcBorders>
            <w:shd w:val="clear" w:color="auto" w:fill="auto"/>
            <w:noWrap/>
            <w:hideMark/>
          </w:tcPr>
          <w:p w14:paraId="3F36A5ED"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1.000</w:t>
            </w:r>
          </w:p>
        </w:tc>
      </w:tr>
      <w:tr w:rsidR="00D924D5" w:rsidRPr="00463D42" w14:paraId="72BF12C4" w14:textId="77777777" w:rsidTr="00463D42">
        <w:trPr>
          <w:trHeight w:val="225"/>
          <w:jc w:val="center"/>
        </w:trPr>
        <w:tc>
          <w:tcPr>
            <w:tcW w:w="1620" w:type="dxa"/>
            <w:tcBorders>
              <w:top w:val="nil"/>
              <w:left w:val="single" w:sz="4" w:space="0" w:color="auto"/>
              <w:bottom w:val="nil"/>
              <w:right w:val="nil"/>
            </w:tcBorders>
            <w:shd w:val="clear" w:color="auto" w:fill="auto"/>
            <w:noWrap/>
            <w:hideMark/>
          </w:tcPr>
          <w:p w14:paraId="3BE4DA68"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Creatinine (Mean)</w:t>
            </w:r>
          </w:p>
        </w:tc>
        <w:tc>
          <w:tcPr>
            <w:tcW w:w="657" w:type="dxa"/>
            <w:tcBorders>
              <w:top w:val="nil"/>
              <w:left w:val="single" w:sz="8" w:space="0" w:color="auto"/>
              <w:bottom w:val="nil"/>
              <w:right w:val="single" w:sz="4" w:space="0" w:color="auto"/>
            </w:tcBorders>
            <w:shd w:val="clear" w:color="auto" w:fill="auto"/>
            <w:noWrap/>
            <w:vAlign w:val="bottom"/>
            <w:hideMark/>
          </w:tcPr>
          <w:p w14:paraId="559B9C99"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1.95</w:t>
            </w:r>
          </w:p>
        </w:tc>
        <w:tc>
          <w:tcPr>
            <w:tcW w:w="657" w:type="dxa"/>
            <w:tcBorders>
              <w:top w:val="nil"/>
              <w:left w:val="nil"/>
              <w:bottom w:val="nil"/>
              <w:right w:val="nil"/>
            </w:tcBorders>
            <w:shd w:val="clear" w:color="auto" w:fill="auto"/>
            <w:noWrap/>
            <w:vAlign w:val="bottom"/>
            <w:hideMark/>
          </w:tcPr>
          <w:p w14:paraId="4DD38B19"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1.96</w:t>
            </w:r>
          </w:p>
        </w:tc>
        <w:tc>
          <w:tcPr>
            <w:tcW w:w="581" w:type="dxa"/>
            <w:tcBorders>
              <w:top w:val="nil"/>
              <w:left w:val="single" w:sz="4" w:space="0" w:color="auto"/>
              <w:bottom w:val="nil"/>
              <w:right w:val="nil"/>
            </w:tcBorders>
            <w:shd w:val="clear" w:color="auto" w:fill="auto"/>
            <w:noWrap/>
            <w:vAlign w:val="bottom"/>
            <w:hideMark/>
          </w:tcPr>
          <w:p w14:paraId="478C1F0A"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1.96</w:t>
            </w:r>
          </w:p>
        </w:tc>
        <w:tc>
          <w:tcPr>
            <w:tcW w:w="581" w:type="dxa"/>
            <w:tcBorders>
              <w:top w:val="nil"/>
              <w:left w:val="single" w:sz="4" w:space="0" w:color="auto"/>
              <w:bottom w:val="nil"/>
              <w:right w:val="nil"/>
            </w:tcBorders>
            <w:shd w:val="clear" w:color="auto" w:fill="auto"/>
            <w:noWrap/>
            <w:vAlign w:val="bottom"/>
            <w:hideMark/>
          </w:tcPr>
          <w:p w14:paraId="658F9E1E"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1.96</w:t>
            </w:r>
          </w:p>
        </w:tc>
        <w:tc>
          <w:tcPr>
            <w:tcW w:w="581" w:type="dxa"/>
            <w:tcBorders>
              <w:top w:val="nil"/>
              <w:left w:val="single" w:sz="4" w:space="0" w:color="auto"/>
              <w:bottom w:val="nil"/>
              <w:right w:val="nil"/>
            </w:tcBorders>
            <w:shd w:val="clear" w:color="auto" w:fill="auto"/>
            <w:noWrap/>
            <w:vAlign w:val="bottom"/>
            <w:hideMark/>
          </w:tcPr>
          <w:p w14:paraId="51B1DCC8"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1.95</w:t>
            </w:r>
          </w:p>
        </w:tc>
        <w:tc>
          <w:tcPr>
            <w:tcW w:w="581" w:type="dxa"/>
            <w:tcBorders>
              <w:top w:val="nil"/>
              <w:left w:val="single" w:sz="4" w:space="0" w:color="auto"/>
              <w:bottom w:val="nil"/>
              <w:right w:val="nil"/>
            </w:tcBorders>
            <w:shd w:val="clear" w:color="auto" w:fill="auto"/>
            <w:noWrap/>
            <w:hideMark/>
          </w:tcPr>
          <w:p w14:paraId="2F6FD679"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1.95</w:t>
            </w:r>
          </w:p>
        </w:tc>
        <w:tc>
          <w:tcPr>
            <w:tcW w:w="581" w:type="dxa"/>
            <w:tcBorders>
              <w:top w:val="nil"/>
              <w:left w:val="nil"/>
              <w:bottom w:val="nil"/>
              <w:right w:val="nil"/>
            </w:tcBorders>
            <w:shd w:val="clear" w:color="auto" w:fill="auto"/>
            <w:noWrap/>
            <w:hideMark/>
          </w:tcPr>
          <w:p w14:paraId="7083B66C"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1.96</w:t>
            </w:r>
          </w:p>
        </w:tc>
        <w:tc>
          <w:tcPr>
            <w:tcW w:w="581" w:type="dxa"/>
            <w:tcBorders>
              <w:top w:val="nil"/>
              <w:left w:val="nil"/>
              <w:bottom w:val="nil"/>
              <w:right w:val="nil"/>
            </w:tcBorders>
            <w:shd w:val="clear" w:color="auto" w:fill="auto"/>
            <w:noWrap/>
            <w:hideMark/>
          </w:tcPr>
          <w:p w14:paraId="07FA3E9B"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1.96</w:t>
            </w:r>
          </w:p>
        </w:tc>
        <w:tc>
          <w:tcPr>
            <w:tcW w:w="581" w:type="dxa"/>
            <w:tcBorders>
              <w:top w:val="nil"/>
              <w:left w:val="nil"/>
              <w:bottom w:val="nil"/>
              <w:right w:val="nil"/>
            </w:tcBorders>
            <w:shd w:val="clear" w:color="auto" w:fill="auto"/>
            <w:noWrap/>
            <w:hideMark/>
          </w:tcPr>
          <w:p w14:paraId="26406D0B"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1.96</w:t>
            </w:r>
          </w:p>
        </w:tc>
        <w:tc>
          <w:tcPr>
            <w:tcW w:w="581" w:type="dxa"/>
            <w:tcBorders>
              <w:top w:val="nil"/>
              <w:left w:val="nil"/>
              <w:bottom w:val="nil"/>
              <w:right w:val="single" w:sz="4" w:space="0" w:color="auto"/>
            </w:tcBorders>
            <w:shd w:val="clear" w:color="auto" w:fill="auto"/>
            <w:noWrap/>
            <w:hideMark/>
          </w:tcPr>
          <w:p w14:paraId="10A40355"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1.96</w:t>
            </w:r>
          </w:p>
        </w:tc>
        <w:tc>
          <w:tcPr>
            <w:tcW w:w="500" w:type="dxa"/>
            <w:tcBorders>
              <w:top w:val="nil"/>
              <w:left w:val="nil"/>
              <w:bottom w:val="nil"/>
              <w:right w:val="nil"/>
            </w:tcBorders>
            <w:shd w:val="clear" w:color="auto" w:fill="auto"/>
            <w:noWrap/>
            <w:hideMark/>
          </w:tcPr>
          <w:p w14:paraId="7F20A087" w14:textId="77777777" w:rsidR="00D924D5" w:rsidRPr="00463D42" w:rsidRDefault="00D924D5" w:rsidP="004127ED">
            <w:pPr>
              <w:spacing w:after="0" w:line="240" w:lineRule="auto"/>
              <w:jc w:val="both"/>
              <w:rPr>
                <w:rFonts w:eastAsia="Times New Roman" w:cstheme="minorHAnsi"/>
                <w:sz w:val="16"/>
                <w:szCs w:val="16"/>
              </w:rPr>
            </w:pPr>
            <w:r w:rsidRPr="00463D42">
              <w:rPr>
                <w:rFonts w:eastAsia="Times New Roman" w:cstheme="minorHAnsi"/>
                <w:sz w:val="16"/>
                <w:szCs w:val="16"/>
              </w:rPr>
              <w:t>1.00</w:t>
            </w:r>
          </w:p>
        </w:tc>
        <w:tc>
          <w:tcPr>
            <w:tcW w:w="500" w:type="dxa"/>
            <w:tcBorders>
              <w:top w:val="nil"/>
              <w:left w:val="nil"/>
              <w:bottom w:val="nil"/>
              <w:right w:val="nil"/>
            </w:tcBorders>
            <w:shd w:val="clear" w:color="auto" w:fill="auto"/>
            <w:noWrap/>
            <w:hideMark/>
          </w:tcPr>
          <w:p w14:paraId="21BB5447"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nil"/>
            </w:tcBorders>
            <w:shd w:val="clear" w:color="auto" w:fill="auto"/>
            <w:noWrap/>
            <w:hideMark/>
          </w:tcPr>
          <w:p w14:paraId="2A9CFDBD"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nil"/>
            </w:tcBorders>
            <w:shd w:val="clear" w:color="auto" w:fill="auto"/>
            <w:noWrap/>
            <w:hideMark/>
          </w:tcPr>
          <w:p w14:paraId="63BEFC3F"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single" w:sz="4" w:space="0" w:color="auto"/>
            </w:tcBorders>
            <w:shd w:val="clear" w:color="auto" w:fill="auto"/>
            <w:noWrap/>
            <w:hideMark/>
          </w:tcPr>
          <w:p w14:paraId="30DFECC2"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1000" w:type="dxa"/>
            <w:tcBorders>
              <w:top w:val="nil"/>
              <w:left w:val="nil"/>
              <w:bottom w:val="nil"/>
              <w:right w:val="single" w:sz="4" w:space="0" w:color="auto"/>
            </w:tcBorders>
            <w:shd w:val="clear" w:color="auto" w:fill="auto"/>
            <w:noWrap/>
            <w:hideMark/>
          </w:tcPr>
          <w:p w14:paraId="198A8939"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0.998</w:t>
            </w:r>
          </w:p>
        </w:tc>
      </w:tr>
      <w:tr w:rsidR="00D924D5" w:rsidRPr="00463D42" w14:paraId="157492F4" w14:textId="77777777" w:rsidTr="00463D42">
        <w:trPr>
          <w:trHeight w:val="225"/>
          <w:jc w:val="center"/>
        </w:trPr>
        <w:tc>
          <w:tcPr>
            <w:tcW w:w="1620" w:type="dxa"/>
            <w:tcBorders>
              <w:top w:val="nil"/>
              <w:left w:val="single" w:sz="4" w:space="0" w:color="auto"/>
              <w:bottom w:val="nil"/>
              <w:right w:val="nil"/>
            </w:tcBorders>
            <w:shd w:val="clear" w:color="auto" w:fill="auto"/>
            <w:noWrap/>
            <w:hideMark/>
          </w:tcPr>
          <w:p w14:paraId="273FD8D9"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Creatinine (SD)</w:t>
            </w:r>
          </w:p>
        </w:tc>
        <w:tc>
          <w:tcPr>
            <w:tcW w:w="657" w:type="dxa"/>
            <w:tcBorders>
              <w:top w:val="nil"/>
              <w:left w:val="single" w:sz="8" w:space="0" w:color="auto"/>
              <w:bottom w:val="nil"/>
              <w:right w:val="single" w:sz="4" w:space="0" w:color="auto"/>
            </w:tcBorders>
            <w:shd w:val="clear" w:color="auto" w:fill="auto"/>
            <w:vAlign w:val="center"/>
            <w:hideMark/>
          </w:tcPr>
          <w:p w14:paraId="576EC92F"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0.64</w:t>
            </w:r>
          </w:p>
        </w:tc>
        <w:tc>
          <w:tcPr>
            <w:tcW w:w="657" w:type="dxa"/>
            <w:tcBorders>
              <w:top w:val="nil"/>
              <w:left w:val="nil"/>
              <w:bottom w:val="nil"/>
              <w:right w:val="nil"/>
            </w:tcBorders>
            <w:shd w:val="clear" w:color="auto" w:fill="auto"/>
            <w:vAlign w:val="center"/>
            <w:hideMark/>
          </w:tcPr>
          <w:p w14:paraId="5028ED6F"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0.65</w:t>
            </w:r>
          </w:p>
        </w:tc>
        <w:tc>
          <w:tcPr>
            <w:tcW w:w="581" w:type="dxa"/>
            <w:tcBorders>
              <w:top w:val="nil"/>
              <w:left w:val="single" w:sz="4" w:space="0" w:color="auto"/>
              <w:bottom w:val="nil"/>
              <w:right w:val="nil"/>
            </w:tcBorders>
            <w:shd w:val="clear" w:color="auto" w:fill="auto"/>
            <w:noWrap/>
            <w:vAlign w:val="bottom"/>
            <w:hideMark/>
          </w:tcPr>
          <w:p w14:paraId="4D29A19A"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0.64</w:t>
            </w:r>
          </w:p>
        </w:tc>
        <w:tc>
          <w:tcPr>
            <w:tcW w:w="581" w:type="dxa"/>
            <w:tcBorders>
              <w:top w:val="nil"/>
              <w:left w:val="single" w:sz="4" w:space="0" w:color="auto"/>
              <w:bottom w:val="nil"/>
              <w:right w:val="nil"/>
            </w:tcBorders>
            <w:shd w:val="clear" w:color="auto" w:fill="auto"/>
            <w:noWrap/>
            <w:vAlign w:val="bottom"/>
            <w:hideMark/>
          </w:tcPr>
          <w:p w14:paraId="51296876"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0.65</w:t>
            </w:r>
          </w:p>
        </w:tc>
        <w:tc>
          <w:tcPr>
            <w:tcW w:w="581" w:type="dxa"/>
            <w:tcBorders>
              <w:top w:val="nil"/>
              <w:left w:val="single" w:sz="4" w:space="0" w:color="auto"/>
              <w:bottom w:val="nil"/>
              <w:right w:val="nil"/>
            </w:tcBorders>
            <w:shd w:val="clear" w:color="auto" w:fill="auto"/>
            <w:noWrap/>
            <w:vAlign w:val="bottom"/>
            <w:hideMark/>
          </w:tcPr>
          <w:p w14:paraId="3C9956B3"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0.65</w:t>
            </w:r>
          </w:p>
        </w:tc>
        <w:tc>
          <w:tcPr>
            <w:tcW w:w="581" w:type="dxa"/>
            <w:tcBorders>
              <w:top w:val="nil"/>
              <w:left w:val="single" w:sz="4" w:space="0" w:color="auto"/>
              <w:bottom w:val="nil"/>
              <w:right w:val="nil"/>
            </w:tcBorders>
            <w:shd w:val="clear" w:color="auto" w:fill="auto"/>
            <w:noWrap/>
            <w:hideMark/>
          </w:tcPr>
          <w:p w14:paraId="619FF714"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0.64</w:t>
            </w:r>
          </w:p>
        </w:tc>
        <w:tc>
          <w:tcPr>
            <w:tcW w:w="581" w:type="dxa"/>
            <w:tcBorders>
              <w:top w:val="nil"/>
              <w:left w:val="nil"/>
              <w:bottom w:val="nil"/>
              <w:right w:val="nil"/>
            </w:tcBorders>
            <w:shd w:val="clear" w:color="auto" w:fill="auto"/>
            <w:noWrap/>
            <w:hideMark/>
          </w:tcPr>
          <w:p w14:paraId="50D6A33D"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0.65</w:t>
            </w:r>
          </w:p>
        </w:tc>
        <w:tc>
          <w:tcPr>
            <w:tcW w:w="581" w:type="dxa"/>
            <w:tcBorders>
              <w:top w:val="nil"/>
              <w:left w:val="nil"/>
              <w:bottom w:val="nil"/>
              <w:right w:val="nil"/>
            </w:tcBorders>
            <w:shd w:val="clear" w:color="auto" w:fill="auto"/>
            <w:noWrap/>
            <w:hideMark/>
          </w:tcPr>
          <w:p w14:paraId="5541475B"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0.64</w:t>
            </w:r>
          </w:p>
        </w:tc>
        <w:tc>
          <w:tcPr>
            <w:tcW w:w="581" w:type="dxa"/>
            <w:tcBorders>
              <w:top w:val="nil"/>
              <w:left w:val="nil"/>
              <w:bottom w:val="nil"/>
              <w:right w:val="nil"/>
            </w:tcBorders>
            <w:shd w:val="clear" w:color="auto" w:fill="auto"/>
            <w:noWrap/>
            <w:hideMark/>
          </w:tcPr>
          <w:p w14:paraId="445B52FD"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0.65</w:t>
            </w:r>
          </w:p>
        </w:tc>
        <w:tc>
          <w:tcPr>
            <w:tcW w:w="581" w:type="dxa"/>
            <w:tcBorders>
              <w:top w:val="nil"/>
              <w:left w:val="nil"/>
              <w:bottom w:val="nil"/>
              <w:right w:val="single" w:sz="4" w:space="0" w:color="auto"/>
            </w:tcBorders>
            <w:shd w:val="clear" w:color="auto" w:fill="auto"/>
            <w:noWrap/>
            <w:hideMark/>
          </w:tcPr>
          <w:p w14:paraId="7E8B8115"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0.65</w:t>
            </w:r>
          </w:p>
        </w:tc>
        <w:tc>
          <w:tcPr>
            <w:tcW w:w="500" w:type="dxa"/>
            <w:tcBorders>
              <w:top w:val="nil"/>
              <w:left w:val="nil"/>
              <w:bottom w:val="nil"/>
              <w:right w:val="nil"/>
            </w:tcBorders>
            <w:shd w:val="clear" w:color="auto" w:fill="auto"/>
            <w:noWrap/>
            <w:hideMark/>
          </w:tcPr>
          <w:p w14:paraId="48E40647" w14:textId="77777777" w:rsidR="00D924D5" w:rsidRPr="00463D42" w:rsidRDefault="00D924D5" w:rsidP="004127ED">
            <w:pPr>
              <w:spacing w:after="0" w:line="240" w:lineRule="auto"/>
              <w:jc w:val="both"/>
              <w:rPr>
                <w:rFonts w:eastAsia="Times New Roman" w:cstheme="minorHAnsi"/>
                <w:sz w:val="16"/>
                <w:szCs w:val="16"/>
              </w:rPr>
            </w:pPr>
            <w:r w:rsidRPr="00463D42">
              <w:rPr>
                <w:rFonts w:eastAsia="Times New Roman" w:cstheme="minorHAnsi"/>
                <w:sz w:val="16"/>
                <w:szCs w:val="16"/>
              </w:rPr>
              <w:t>1.00</w:t>
            </w:r>
          </w:p>
        </w:tc>
        <w:tc>
          <w:tcPr>
            <w:tcW w:w="500" w:type="dxa"/>
            <w:tcBorders>
              <w:top w:val="nil"/>
              <w:left w:val="nil"/>
              <w:bottom w:val="nil"/>
              <w:right w:val="nil"/>
            </w:tcBorders>
            <w:shd w:val="clear" w:color="auto" w:fill="auto"/>
            <w:noWrap/>
            <w:hideMark/>
          </w:tcPr>
          <w:p w14:paraId="6ED1B12D"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0.99</w:t>
            </w:r>
          </w:p>
        </w:tc>
        <w:tc>
          <w:tcPr>
            <w:tcW w:w="500" w:type="dxa"/>
            <w:tcBorders>
              <w:top w:val="nil"/>
              <w:left w:val="nil"/>
              <w:bottom w:val="nil"/>
              <w:right w:val="nil"/>
            </w:tcBorders>
            <w:shd w:val="clear" w:color="auto" w:fill="auto"/>
            <w:noWrap/>
            <w:hideMark/>
          </w:tcPr>
          <w:p w14:paraId="7D86EDF3"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nil"/>
            </w:tcBorders>
            <w:shd w:val="clear" w:color="auto" w:fill="auto"/>
            <w:noWrap/>
            <w:hideMark/>
          </w:tcPr>
          <w:p w14:paraId="3C6384FB"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single" w:sz="4" w:space="0" w:color="auto"/>
            </w:tcBorders>
            <w:shd w:val="clear" w:color="auto" w:fill="auto"/>
            <w:noWrap/>
            <w:hideMark/>
          </w:tcPr>
          <w:p w14:paraId="50F154D8"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1000" w:type="dxa"/>
            <w:tcBorders>
              <w:top w:val="nil"/>
              <w:left w:val="nil"/>
              <w:bottom w:val="nil"/>
              <w:right w:val="single" w:sz="4" w:space="0" w:color="auto"/>
            </w:tcBorders>
            <w:shd w:val="clear" w:color="auto" w:fill="auto"/>
            <w:noWrap/>
            <w:hideMark/>
          </w:tcPr>
          <w:p w14:paraId="5550BD22"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0.997</w:t>
            </w:r>
          </w:p>
        </w:tc>
      </w:tr>
      <w:tr w:rsidR="00D924D5" w:rsidRPr="00463D42" w14:paraId="794BFA5D" w14:textId="77777777" w:rsidTr="00463D42">
        <w:trPr>
          <w:trHeight w:val="225"/>
          <w:jc w:val="center"/>
        </w:trPr>
        <w:tc>
          <w:tcPr>
            <w:tcW w:w="1620" w:type="dxa"/>
            <w:tcBorders>
              <w:top w:val="nil"/>
              <w:left w:val="single" w:sz="4" w:space="0" w:color="auto"/>
              <w:bottom w:val="nil"/>
              <w:right w:val="nil"/>
            </w:tcBorders>
            <w:shd w:val="clear" w:color="auto" w:fill="auto"/>
            <w:noWrap/>
            <w:hideMark/>
          </w:tcPr>
          <w:p w14:paraId="343646B3"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PAD</w:t>
            </w:r>
          </w:p>
        </w:tc>
        <w:tc>
          <w:tcPr>
            <w:tcW w:w="657" w:type="dxa"/>
            <w:tcBorders>
              <w:top w:val="nil"/>
              <w:left w:val="single" w:sz="8" w:space="0" w:color="auto"/>
              <w:bottom w:val="nil"/>
              <w:right w:val="single" w:sz="4" w:space="0" w:color="auto"/>
            </w:tcBorders>
            <w:shd w:val="clear" w:color="auto" w:fill="auto"/>
            <w:vAlign w:val="center"/>
            <w:hideMark/>
          </w:tcPr>
          <w:p w14:paraId="21431360"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0.10</w:t>
            </w:r>
          </w:p>
        </w:tc>
        <w:tc>
          <w:tcPr>
            <w:tcW w:w="657" w:type="dxa"/>
            <w:tcBorders>
              <w:top w:val="nil"/>
              <w:left w:val="nil"/>
              <w:bottom w:val="nil"/>
              <w:right w:val="nil"/>
            </w:tcBorders>
            <w:shd w:val="clear" w:color="auto" w:fill="auto"/>
            <w:vAlign w:val="center"/>
            <w:hideMark/>
          </w:tcPr>
          <w:p w14:paraId="254B1541"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0.10</w:t>
            </w:r>
          </w:p>
        </w:tc>
        <w:tc>
          <w:tcPr>
            <w:tcW w:w="581" w:type="dxa"/>
            <w:tcBorders>
              <w:top w:val="nil"/>
              <w:left w:val="single" w:sz="4" w:space="0" w:color="auto"/>
              <w:bottom w:val="nil"/>
              <w:right w:val="nil"/>
            </w:tcBorders>
            <w:shd w:val="clear" w:color="auto" w:fill="auto"/>
            <w:noWrap/>
            <w:vAlign w:val="bottom"/>
            <w:hideMark/>
          </w:tcPr>
          <w:p w14:paraId="4C7B2E1D"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0.09</w:t>
            </w:r>
          </w:p>
        </w:tc>
        <w:tc>
          <w:tcPr>
            <w:tcW w:w="581" w:type="dxa"/>
            <w:tcBorders>
              <w:top w:val="nil"/>
              <w:left w:val="single" w:sz="4" w:space="0" w:color="auto"/>
              <w:bottom w:val="nil"/>
              <w:right w:val="nil"/>
            </w:tcBorders>
            <w:shd w:val="clear" w:color="auto" w:fill="auto"/>
            <w:noWrap/>
            <w:vAlign w:val="bottom"/>
            <w:hideMark/>
          </w:tcPr>
          <w:p w14:paraId="2CA4DDA9"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0.10</w:t>
            </w:r>
          </w:p>
        </w:tc>
        <w:tc>
          <w:tcPr>
            <w:tcW w:w="581" w:type="dxa"/>
            <w:tcBorders>
              <w:top w:val="nil"/>
              <w:left w:val="single" w:sz="4" w:space="0" w:color="auto"/>
              <w:bottom w:val="nil"/>
              <w:right w:val="nil"/>
            </w:tcBorders>
            <w:shd w:val="clear" w:color="auto" w:fill="auto"/>
            <w:noWrap/>
            <w:vAlign w:val="bottom"/>
            <w:hideMark/>
          </w:tcPr>
          <w:p w14:paraId="4BD86F0A"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0.10</w:t>
            </w:r>
          </w:p>
        </w:tc>
        <w:tc>
          <w:tcPr>
            <w:tcW w:w="581" w:type="dxa"/>
            <w:tcBorders>
              <w:top w:val="nil"/>
              <w:left w:val="single" w:sz="4" w:space="0" w:color="auto"/>
              <w:bottom w:val="nil"/>
              <w:right w:val="nil"/>
            </w:tcBorders>
            <w:shd w:val="clear" w:color="auto" w:fill="auto"/>
            <w:noWrap/>
            <w:hideMark/>
          </w:tcPr>
          <w:p w14:paraId="4928B9E2"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0.10</w:t>
            </w:r>
          </w:p>
        </w:tc>
        <w:tc>
          <w:tcPr>
            <w:tcW w:w="581" w:type="dxa"/>
            <w:tcBorders>
              <w:top w:val="nil"/>
              <w:left w:val="nil"/>
              <w:bottom w:val="nil"/>
              <w:right w:val="nil"/>
            </w:tcBorders>
            <w:shd w:val="clear" w:color="auto" w:fill="auto"/>
            <w:noWrap/>
            <w:hideMark/>
          </w:tcPr>
          <w:p w14:paraId="3A6FF87B"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0.10</w:t>
            </w:r>
          </w:p>
        </w:tc>
        <w:tc>
          <w:tcPr>
            <w:tcW w:w="581" w:type="dxa"/>
            <w:tcBorders>
              <w:top w:val="nil"/>
              <w:left w:val="nil"/>
              <w:bottom w:val="nil"/>
              <w:right w:val="nil"/>
            </w:tcBorders>
            <w:shd w:val="clear" w:color="auto" w:fill="auto"/>
            <w:noWrap/>
            <w:hideMark/>
          </w:tcPr>
          <w:p w14:paraId="749C574E"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0.09</w:t>
            </w:r>
          </w:p>
        </w:tc>
        <w:tc>
          <w:tcPr>
            <w:tcW w:w="581" w:type="dxa"/>
            <w:tcBorders>
              <w:top w:val="nil"/>
              <w:left w:val="nil"/>
              <w:bottom w:val="nil"/>
              <w:right w:val="nil"/>
            </w:tcBorders>
            <w:shd w:val="clear" w:color="auto" w:fill="auto"/>
            <w:noWrap/>
            <w:hideMark/>
          </w:tcPr>
          <w:p w14:paraId="2CCE3643"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0.10</w:t>
            </w:r>
          </w:p>
        </w:tc>
        <w:tc>
          <w:tcPr>
            <w:tcW w:w="581" w:type="dxa"/>
            <w:tcBorders>
              <w:top w:val="nil"/>
              <w:left w:val="nil"/>
              <w:bottom w:val="nil"/>
              <w:right w:val="single" w:sz="4" w:space="0" w:color="auto"/>
            </w:tcBorders>
            <w:shd w:val="clear" w:color="auto" w:fill="auto"/>
            <w:noWrap/>
            <w:hideMark/>
          </w:tcPr>
          <w:p w14:paraId="7E04639B"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0.10</w:t>
            </w:r>
          </w:p>
        </w:tc>
        <w:tc>
          <w:tcPr>
            <w:tcW w:w="500" w:type="dxa"/>
            <w:tcBorders>
              <w:top w:val="nil"/>
              <w:left w:val="nil"/>
              <w:bottom w:val="nil"/>
              <w:right w:val="nil"/>
            </w:tcBorders>
            <w:shd w:val="clear" w:color="auto" w:fill="auto"/>
            <w:noWrap/>
            <w:hideMark/>
          </w:tcPr>
          <w:p w14:paraId="096E2527" w14:textId="77777777" w:rsidR="00D924D5" w:rsidRPr="00463D42" w:rsidRDefault="00D924D5" w:rsidP="004127ED">
            <w:pPr>
              <w:spacing w:after="0" w:line="240" w:lineRule="auto"/>
              <w:jc w:val="both"/>
              <w:rPr>
                <w:rFonts w:eastAsia="Times New Roman" w:cstheme="minorHAnsi"/>
                <w:sz w:val="16"/>
                <w:szCs w:val="16"/>
              </w:rPr>
            </w:pPr>
            <w:r w:rsidRPr="00463D42">
              <w:rPr>
                <w:rFonts w:eastAsia="Times New Roman" w:cstheme="minorHAnsi"/>
                <w:sz w:val="16"/>
                <w:szCs w:val="16"/>
              </w:rPr>
              <w:t>1.00</w:t>
            </w:r>
          </w:p>
        </w:tc>
        <w:tc>
          <w:tcPr>
            <w:tcW w:w="500" w:type="dxa"/>
            <w:tcBorders>
              <w:top w:val="nil"/>
              <w:left w:val="nil"/>
              <w:bottom w:val="nil"/>
              <w:right w:val="nil"/>
            </w:tcBorders>
            <w:shd w:val="clear" w:color="auto" w:fill="auto"/>
            <w:noWrap/>
            <w:hideMark/>
          </w:tcPr>
          <w:p w14:paraId="6193F5C0"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nil"/>
            </w:tcBorders>
            <w:shd w:val="clear" w:color="auto" w:fill="auto"/>
            <w:noWrap/>
            <w:hideMark/>
          </w:tcPr>
          <w:p w14:paraId="0447A384"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nil"/>
            </w:tcBorders>
            <w:shd w:val="clear" w:color="auto" w:fill="auto"/>
            <w:noWrap/>
            <w:hideMark/>
          </w:tcPr>
          <w:p w14:paraId="4B58AD7C"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single" w:sz="4" w:space="0" w:color="auto"/>
            </w:tcBorders>
            <w:shd w:val="clear" w:color="auto" w:fill="auto"/>
            <w:noWrap/>
            <w:hideMark/>
          </w:tcPr>
          <w:p w14:paraId="2404402C"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1000" w:type="dxa"/>
            <w:tcBorders>
              <w:top w:val="nil"/>
              <w:left w:val="nil"/>
              <w:bottom w:val="nil"/>
              <w:right w:val="single" w:sz="4" w:space="0" w:color="auto"/>
            </w:tcBorders>
            <w:shd w:val="clear" w:color="auto" w:fill="auto"/>
            <w:noWrap/>
            <w:hideMark/>
          </w:tcPr>
          <w:p w14:paraId="521E8E75"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1.000</w:t>
            </w:r>
          </w:p>
        </w:tc>
      </w:tr>
      <w:tr w:rsidR="00D924D5" w:rsidRPr="00463D42" w14:paraId="443BC841" w14:textId="77777777" w:rsidTr="00463D42">
        <w:trPr>
          <w:trHeight w:val="225"/>
          <w:jc w:val="center"/>
        </w:trPr>
        <w:tc>
          <w:tcPr>
            <w:tcW w:w="1620" w:type="dxa"/>
            <w:tcBorders>
              <w:top w:val="nil"/>
              <w:left w:val="single" w:sz="4" w:space="0" w:color="auto"/>
              <w:bottom w:val="nil"/>
              <w:right w:val="nil"/>
            </w:tcBorders>
            <w:shd w:val="clear" w:color="auto" w:fill="auto"/>
            <w:noWrap/>
            <w:hideMark/>
          </w:tcPr>
          <w:p w14:paraId="72D0B625"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Emergent</w:t>
            </w:r>
          </w:p>
        </w:tc>
        <w:tc>
          <w:tcPr>
            <w:tcW w:w="657" w:type="dxa"/>
            <w:tcBorders>
              <w:top w:val="nil"/>
              <w:left w:val="single" w:sz="8" w:space="0" w:color="auto"/>
              <w:bottom w:val="nil"/>
              <w:right w:val="single" w:sz="4" w:space="0" w:color="auto"/>
            </w:tcBorders>
            <w:shd w:val="clear" w:color="auto" w:fill="auto"/>
            <w:vAlign w:val="center"/>
            <w:hideMark/>
          </w:tcPr>
          <w:p w14:paraId="4BE8AD17"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0.18</w:t>
            </w:r>
          </w:p>
        </w:tc>
        <w:tc>
          <w:tcPr>
            <w:tcW w:w="657" w:type="dxa"/>
            <w:tcBorders>
              <w:top w:val="nil"/>
              <w:left w:val="nil"/>
              <w:bottom w:val="nil"/>
              <w:right w:val="nil"/>
            </w:tcBorders>
            <w:shd w:val="clear" w:color="auto" w:fill="auto"/>
            <w:vAlign w:val="center"/>
            <w:hideMark/>
          </w:tcPr>
          <w:p w14:paraId="38452ABD"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0.18</w:t>
            </w:r>
          </w:p>
        </w:tc>
        <w:tc>
          <w:tcPr>
            <w:tcW w:w="581" w:type="dxa"/>
            <w:tcBorders>
              <w:top w:val="nil"/>
              <w:left w:val="single" w:sz="4" w:space="0" w:color="auto"/>
              <w:bottom w:val="nil"/>
              <w:right w:val="nil"/>
            </w:tcBorders>
            <w:shd w:val="clear" w:color="auto" w:fill="auto"/>
            <w:noWrap/>
            <w:vAlign w:val="bottom"/>
            <w:hideMark/>
          </w:tcPr>
          <w:p w14:paraId="50857744"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0.16</w:t>
            </w:r>
          </w:p>
        </w:tc>
        <w:tc>
          <w:tcPr>
            <w:tcW w:w="581" w:type="dxa"/>
            <w:tcBorders>
              <w:top w:val="nil"/>
              <w:left w:val="single" w:sz="4" w:space="0" w:color="auto"/>
              <w:bottom w:val="nil"/>
              <w:right w:val="nil"/>
            </w:tcBorders>
            <w:shd w:val="clear" w:color="auto" w:fill="auto"/>
            <w:noWrap/>
            <w:vAlign w:val="bottom"/>
            <w:hideMark/>
          </w:tcPr>
          <w:p w14:paraId="2B3D470B"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0.17</w:t>
            </w:r>
          </w:p>
        </w:tc>
        <w:tc>
          <w:tcPr>
            <w:tcW w:w="581" w:type="dxa"/>
            <w:tcBorders>
              <w:top w:val="nil"/>
              <w:left w:val="single" w:sz="4" w:space="0" w:color="auto"/>
              <w:bottom w:val="nil"/>
              <w:right w:val="nil"/>
            </w:tcBorders>
            <w:shd w:val="clear" w:color="auto" w:fill="auto"/>
            <w:noWrap/>
            <w:vAlign w:val="bottom"/>
            <w:hideMark/>
          </w:tcPr>
          <w:p w14:paraId="68DB3494"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0.17</w:t>
            </w:r>
          </w:p>
        </w:tc>
        <w:tc>
          <w:tcPr>
            <w:tcW w:w="581" w:type="dxa"/>
            <w:tcBorders>
              <w:top w:val="nil"/>
              <w:left w:val="single" w:sz="4" w:space="0" w:color="auto"/>
              <w:bottom w:val="nil"/>
              <w:right w:val="nil"/>
            </w:tcBorders>
            <w:shd w:val="clear" w:color="auto" w:fill="auto"/>
            <w:noWrap/>
            <w:hideMark/>
          </w:tcPr>
          <w:p w14:paraId="3C7D0BD3"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0.18</w:t>
            </w:r>
          </w:p>
        </w:tc>
        <w:tc>
          <w:tcPr>
            <w:tcW w:w="581" w:type="dxa"/>
            <w:tcBorders>
              <w:top w:val="nil"/>
              <w:left w:val="nil"/>
              <w:bottom w:val="nil"/>
              <w:right w:val="nil"/>
            </w:tcBorders>
            <w:shd w:val="clear" w:color="auto" w:fill="auto"/>
            <w:noWrap/>
            <w:hideMark/>
          </w:tcPr>
          <w:p w14:paraId="243B735F"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0.18</w:t>
            </w:r>
          </w:p>
        </w:tc>
        <w:tc>
          <w:tcPr>
            <w:tcW w:w="581" w:type="dxa"/>
            <w:tcBorders>
              <w:top w:val="nil"/>
              <w:left w:val="nil"/>
              <w:bottom w:val="nil"/>
              <w:right w:val="nil"/>
            </w:tcBorders>
            <w:shd w:val="clear" w:color="auto" w:fill="auto"/>
            <w:noWrap/>
            <w:hideMark/>
          </w:tcPr>
          <w:p w14:paraId="17C5D590"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0.16</w:t>
            </w:r>
          </w:p>
        </w:tc>
        <w:tc>
          <w:tcPr>
            <w:tcW w:w="581" w:type="dxa"/>
            <w:tcBorders>
              <w:top w:val="nil"/>
              <w:left w:val="nil"/>
              <w:bottom w:val="nil"/>
              <w:right w:val="nil"/>
            </w:tcBorders>
            <w:shd w:val="clear" w:color="auto" w:fill="auto"/>
            <w:noWrap/>
            <w:hideMark/>
          </w:tcPr>
          <w:p w14:paraId="1B9EA4D2"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0.17</w:t>
            </w:r>
          </w:p>
        </w:tc>
        <w:tc>
          <w:tcPr>
            <w:tcW w:w="581" w:type="dxa"/>
            <w:tcBorders>
              <w:top w:val="nil"/>
              <w:left w:val="nil"/>
              <w:bottom w:val="nil"/>
              <w:right w:val="single" w:sz="4" w:space="0" w:color="auto"/>
            </w:tcBorders>
            <w:shd w:val="clear" w:color="auto" w:fill="auto"/>
            <w:noWrap/>
            <w:hideMark/>
          </w:tcPr>
          <w:p w14:paraId="3025C5E9"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0.17</w:t>
            </w:r>
          </w:p>
        </w:tc>
        <w:tc>
          <w:tcPr>
            <w:tcW w:w="500" w:type="dxa"/>
            <w:tcBorders>
              <w:top w:val="nil"/>
              <w:left w:val="nil"/>
              <w:bottom w:val="nil"/>
              <w:right w:val="nil"/>
            </w:tcBorders>
            <w:shd w:val="clear" w:color="auto" w:fill="auto"/>
            <w:noWrap/>
            <w:hideMark/>
          </w:tcPr>
          <w:p w14:paraId="34264945" w14:textId="77777777" w:rsidR="00D924D5" w:rsidRPr="00463D42" w:rsidRDefault="00D924D5" w:rsidP="004127ED">
            <w:pPr>
              <w:spacing w:after="0" w:line="240" w:lineRule="auto"/>
              <w:jc w:val="both"/>
              <w:rPr>
                <w:rFonts w:eastAsia="Times New Roman" w:cstheme="minorHAnsi"/>
                <w:sz w:val="16"/>
                <w:szCs w:val="16"/>
              </w:rPr>
            </w:pPr>
            <w:r w:rsidRPr="00463D42">
              <w:rPr>
                <w:rFonts w:eastAsia="Times New Roman" w:cstheme="minorHAnsi"/>
                <w:sz w:val="16"/>
                <w:szCs w:val="16"/>
              </w:rPr>
              <w:t>1.00</w:t>
            </w:r>
          </w:p>
        </w:tc>
        <w:tc>
          <w:tcPr>
            <w:tcW w:w="500" w:type="dxa"/>
            <w:tcBorders>
              <w:top w:val="nil"/>
              <w:left w:val="nil"/>
              <w:bottom w:val="nil"/>
              <w:right w:val="nil"/>
            </w:tcBorders>
            <w:shd w:val="clear" w:color="auto" w:fill="auto"/>
            <w:noWrap/>
            <w:hideMark/>
          </w:tcPr>
          <w:p w14:paraId="3BD5BCCD"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nil"/>
            </w:tcBorders>
            <w:shd w:val="clear" w:color="auto" w:fill="auto"/>
            <w:noWrap/>
            <w:hideMark/>
          </w:tcPr>
          <w:p w14:paraId="11B8CB0F"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nil"/>
            </w:tcBorders>
            <w:shd w:val="clear" w:color="auto" w:fill="auto"/>
            <w:noWrap/>
            <w:hideMark/>
          </w:tcPr>
          <w:p w14:paraId="7952B5F8"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single" w:sz="4" w:space="0" w:color="auto"/>
            </w:tcBorders>
            <w:shd w:val="clear" w:color="auto" w:fill="auto"/>
            <w:noWrap/>
            <w:hideMark/>
          </w:tcPr>
          <w:p w14:paraId="751BDBC8"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1000" w:type="dxa"/>
            <w:tcBorders>
              <w:top w:val="nil"/>
              <w:left w:val="nil"/>
              <w:bottom w:val="nil"/>
              <w:right w:val="single" w:sz="4" w:space="0" w:color="auto"/>
            </w:tcBorders>
            <w:shd w:val="clear" w:color="auto" w:fill="auto"/>
            <w:noWrap/>
            <w:hideMark/>
          </w:tcPr>
          <w:p w14:paraId="48CB8F0D"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1.000</w:t>
            </w:r>
          </w:p>
        </w:tc>
      </w:tr>
      <w:tr w:rsidR="00D924D5" w:rsidRPr="00463D42" w14:paraId="29F482C9" w14:textId="77777777" w:rsidTr="00463D42">
        <w:trPr>
          <w:trHeight w:val="225"/>
          <w:jc w:val="center"/>
        </w:trPr>
        <w:tc>
          <w:tcPr>
            <w:tcW w:w="1620" w:type="dxa"/>
            <w:tcBorders>
              <w:top w:val="nil"/>
              <w:left w:val="single" w:sz="4" w:space="0" w:color="auto"/>
              <w:bottom w:val="nil"/>
              <w:right w:val="nil"/>
            </w:tcBorders>
            <w:shd w:val="clear" w:color="auto" w:fill="auto"/>
            <w:noWrap/>
            <w:hideMark/>
          </w:tcPr>
          <w:p w14:paraId="447E39FC"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Smoker</w:t>
            </w:r>
          </w:p>
        </w:tc>
        <w:tc>
          <w:tcPr>
            <w:tcW w:w="657" w:type="dxa"/>
            <w:tcBorders>
              <w:top w:val="nil"/>
              <w:left w:val="single" w:sz="8" w:space="0" w:color="auto"/>
              <w:bottom w:val="nil"/>
              <w:right w:val="single" w:sz="4" w:space="0" w:color="auto"/>
            </w:tcBorders>
            <w:shd w:val="clear" w:color="auto" w:fill="auto"/>
            <w:vAlign w:val="center"/>
            <w:hideMark/>
          </w:tcPr>
          <w:p w14:paraId="39834041"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0.48</w:t>
            </w:r>
          </w:p>
        </w:tc>
        <w:tc>
          <w:tcPr>
            <w:tcW w:w="657" w:type="dxa"/>
            <w:tcBorders>
              <w:top w:val="nil"/>
              <w:left w:val="nil"/>
              <w:bottom w:val="nil"/>
              <w:right w:val="nil"/>
            </w:tcBorders>
            <w:shd w:val="clear" w:color="auto" w:fill="auto"/>
            <w:vAlign w:val="center"/>
            <w:hideMark/>
          </w:tcPr>
          <w:p w14:paraId="7B44D0EE"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0.49</w:t>
            </w:r>
          </w:p>
        </w:tc>
        <w:tc>
          <w:tcPr>
            <w:tcW w:w="581" w:type="dxa"/>
            <w:tcBorders>
              <w:top w:val="nil"/>
              <w:left w:val="single" w:sz="4" w:space="0" w:color="auto"/>
              <w:bottom w:val="nil"/>
              <w:right w:val="nil"/>
            </w:tcBorders>
            <w:shd w:val="clear" w:color="auto" w:fill="auto"/>
            <w:noWrap/>
            <w:vAlign w:val="bottom"/>
            <w:hideMark/>
          </w:tcPr>
          <w:p w14:paraId="1A103A11"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0.48</w:t>
            </w:r>
          </w:p>
        </w:tc>
        <w:tc>
          <w:tcPr>
            <w:tcW w:w="581" w:type="dxa"/>
            <w:tcBorders>
              <w:top w:val="nil"/>
              <w:left w:val="single" w:sz="4" w:space="0" w:color="auto"/>
              <w:bottom w:val="nil"/>
              <w:right w:val="nil"/>
            </w:tcBorders>
            <w:shd w:val="clear" w:color="auto" w:fill="auto"/>
            <w:noWrap/>
            <w:vAlign w:val="bottom"/>
            <w:hideMark/>
          </w:tcPr>
          <w:p w14:paraId="7B905E89"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0.49</w:t>
            </w:r>
          </w:p>
        </w:tc>
        <w:tc>
          <w:tcPr>
            <w:tcW w:w="581" w:type="dxa"/>
            <w:tcBorders>
              <w:top w:val="nil"/>
              <w:left w:val="single" w:sz="4" w:space="0" w:color="auto"/>
              <w:bottom w:val="nil"/>
              <w:right w:val="nil"/>
            </w:tcBorders>
            <w:shd w:val="clear" w:color="auto" w:fill="auto"/>
            <w:noWrap/>
            <w:vAlign w:val="bottom"/>
            <w:hideMark/>
          </w:tcPr>
          <w:p w14:paraId="6C87AF18"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0.49</w:t>
            </w:r>
          </w:p>
        </w:tc>
        <w:tc>
          <w:tcPr>
            <w:tcW w:w="581" w:type="dxa"/>
            <w:tcBorders>
              <w:top w:val="nil"/>
              <w:left w:val="single" w:sz="4" w:space="0" w:color="auto"/>
              <w:bottom w:val="nil"/>
              <w:right w:val="nil"/>
            </w:tcBorders>
            <w:shd w:val="clear" w:color="auto" w:fill="auto"/>
            <w:noWrap/>
            <w:hideMark/>
          </w:tcPr>
          <w:p w14:paraId="2C551957"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0.48</w:t>
            </w:r>
          </w:p>
        </w:tc>
        <w:tc>
          <w:tcPr>
            <w:tcW w:w="581" w:type="dxa"/>
            <w:tcBorders>
              <w:top w:val="nil"/>
              <w:left w:val="nil"/>
              <w:bottom w:val="nil"/>
              <w:right w:val="nil"/>
            </w:tcBorders>
            <w:shd w:val="clear" w:color="auto" w:fill="auto"/>
            <w:noWrap/>
            <w:hideMark/>
          </w:tcPr>
          <w:p w14:paraId="57B9EE8E"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0.49</w:t>
            </w:r>
          </w:p>
        </w:tc>
        <w:tc>
          <w:tcPr>
            <w:tcW w:w="581" w:type="dxa"/>
            <w:tcBorders>
              <w:top w:val="nil"/>
              <w:left w:val="nil"/>
              <w:bottom w:val="nil"/>
              <w:right w:val="nil"/>
            </w:tcBorders>
            <w:shd w:val="clear" w:color="auto" w:fill="auto"/>
            <w:noWrap/>
            <w:hideMark/>
          </w:tcPr>
          <w:p w14:paraId="13019029"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0.48</w:t>
            </w:r>
          </w:p>
        </w:tc>
        <w:tc>
          <w:tcPr>
            <w:tcW w:w="581" w:type="dxa"/>
            <w:tcBorders>
              <w:top w:val="nil"/>
              <w:left w:val="nil"/>
              <w:bottom w:val="nil"/>
              <w:right w:val="nil"/>
            </w:tcBorders>
            <w:shd w:val="clear" w:color="auto" w:fill="auto"/>
            <w:noWrap/>
            <w:hideMark/>
          </w:tcPr>
          <w:p w14:paraId="3E042ED1"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0.49</w:t>
            </w:r>
          </w:p>
        </w:tc>
        <w:tc>
          <w:tcPr>
            <w:tcW w:w="581" w:type="dxa"/>
            <w:tcBorders>
              <w:top w:val="nil"/>
              <w:left w:val="nil"/>
              <w:bottom w:val="nil"/>
              <w:right w:val="single" w:sz="4" w:space="0" w:color="auto"/>
            </w:tcBorders>
            <w:shd w:val="clear" w:color="auto" w:fill="auto"/>
            <w:noWrap/>
            <w:hideMark/>
          </w:tcPr>
          <w:p w14:paraId="4184CB10"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0.49</w:t>
            </w:r>
          </w:p>
        </w:tc>
        <w:tc>
          <w:tcPr>
            <w:tcW w:w="500" w:type="dxa"/>
            <w:tcBorders>
              <w:top w:val="nil"/>
              <w:left w:val="nil"/>
              <w:bottom w:val="nil"/>
              <w:right w:val="nil"/>
            </w:tcBorders>
            <w:shd w:val="clear" w:color="auto" w:fill="auto"/>
            <w:noWrap/>
            <w:hideMark/>
          </w:tcPr>
          <w:p w14:paraId="1E6EF510" w14:textId="77777777" w:rsidR="00D924D5" w:rsidRPr="00463D42" w:rsidRDefault="00D924D5" w:rsidP="004127ED">
            <w:pPr>
              <w:spacing w:after="0" w:line="240" w:lineRule="auto"/>
              <w:jc w:val="both"/>
              <w:rPr>
                <w:rFonts w:eastAsia="Times New Roman" w:cstheme="minorHAnsi"/>
                <w:sz w:val="16"/>
                <w:szCs w:val="16"/>
              </w:rPr>
            </w:pPr>
            <w:r w:rsidRPr="00463D42">
              <w:rPr>
                <w:rFonts w:eastAsia="Times New Roman" w:cstheme="minorHAnsi"/>
                <w:sz w:val="16"/>
                <w:szCs w:val="16"/>
              </w:rPr>
              <w:t>1.00</w:t>
            </w:r>
          </w:p>
        </w:tc>
        <w:tc>
          <w:tcPr>
            <w:tcW w:w="500" w:type="dxa"/>
            <w:tcBorders>
              <w:top w:val="nil"/>
              <w:left w:val="nil"/>
              <w:bottom w:val="nil"/>
              <w:right w:val="nil"/>
            </w:tcBorders>
            <w:shd w:val="clear" w:color="auto" w:fill="auto"/>
            <w:noWrap/>
            <w:hideMark/>
          </w:tcPr>
          <w:p w14:paraId="21BC2EE5"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nil"/>
            </w:tcBorders>
            <w:shd w:val="clear" w:color="auto" w:fill="auto"/>
            <w:noWrap/>
            <w:hideMark/>
          </w:tcPr>
          <w:p w14:paraId="4B5FD6FD"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nil"/>
            </w:tcBorders>
            <w:shd w:val="clear" w:color="auto" w:fill="auto"/>
            <w:noWrap/>
            <w:hideMark/>
          </w:tcPr>
          <w:p w14:paraId="36C792E9"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single" w:sz="4" w:space="0" w:color="auto"/>
            </w:tcBorders>
            <w:shd w:val="clear" w:color="auto" w:fill="auto"/>
            <w:noWrap/>
            <w:hideMark/>
          </w:tcPr>
          <w:p w14:paraId="215BB6CF"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1000" w:type="dxa"/>
            <w:tcBorders>
              <w:top w:val="nil"/>
              <w:left w:val="nil"/>
              <w:bottom w:val="nil"/>
              <w:right w:val="single" w:sz="4" w:space="0" w:color="auto"/>
            </w:tcBorders>
            <w:shd w:val="clear" w:color="auto" w:fill="auto"/>
            <w:noWrap/>
            <w:hideMark/>
          </w:tcPr>
          <w:p w14:paraId="5680E596"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1.000</w:t>
            </w:r>
          </w:p>
        </w:tc>
      </w:tr>
      <w:tr w:rsidR="00D924D5" w:rsidRPr="00463D42" w14:paraId="3DD2024A" w14:textId="77777777" w:rsidTr="00463D42">
        <w:trPr>
          <w:trHeight w:val="225"/>
          <w:jc w:val="center"/>
        </w:trPr>
        <w:tc>
          <w:tcPr>
            <w:tcW w:w="1620" w:type="dxa"/>
            <w:tcBorders>
              <w:top w:val="nil"/>
              <w:left w:val="single" w:sz="4" w:space="0" w:color="auto"/>
              <w:bottom w:val="nil"/>
              <w:right w:val="nil"/>
            </w:tcBorders>
            <w:shd w:val="clear" w:color="auto" w:fill="auto"/>
            <w:noWrap/>
            <w:hideMark/>
          </w:tcPr>
          <w:p w14:paraId="244A23F3"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Dialysis</w:t>
            </w:r>
          </w:p>
        </w:tc>
        <w:tc>
          <w:tcPr>
            <w:tcW w:w="657" w:type="dxa"/>
            <w:tcBorders>
              <w:top w:val="nil"/>
              <w:left w:val="single" w:sz="8" w:space="0" w:color="auto"/>
              <w:bottom w:val="nil"/>
              <w:right w:val="single" w:sz="4" w:space="0" w:color="auto"/>
            </w:tcBorders>
            <w:shd w:val="clear" w:color="auto" w:fill="auto"/>
            <w:vAlign w:val="center"/>
            <w:hideMark/>
          </w:tcPr>
          <w:p w14:paraId="4B51ED54"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0.02</w:t>
            </w:r>
          </w:p>
        </w:tc>
        <w:tc>
          <w:tcPr>
            <w:tcW w:w="657" w:type="dxa"/>
            <w:tcBorders>
              <w:top w:val="nil"/>
              <w:left w:val="nil"/>
              <w:bottom w:val="nil"/>
              <w:right w:val="nil"/>
            </w:tcBorders>
            <w:shd w:val="clear" w:color="auto" w:fill="auto"/>
            <w:vAlign w:val="center"/>
            <w:hideMark/>
          </w:tcPr>
          <w:p w14:paraId="210A975E"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0.02</w:t>
            </w:r>
          </w:p>
        </w:tc>
        <w:tc>
          <w:tcPr>
            <w:tcW w:w="581" w:type="dxa"/>
            <w:tcBorders>
              <w:top w:val="nil"/>
              <w:left w:val="single" w:sz="4" w:space="0" w:color="auto"/>
              <w:bottom w:val="nil"/>
              <w:right w:val="nil"/>
            </w:tcBorders>
            <w:shd w:val="clear" w:color="auto" w:fill="auto"/>
            <w:noWrap/>
            <w:vAlign w:val="bottom"/>
            <w:hideMark/>
          </w:tcPr>
          <w:p w14:paraId="2E5DC18C"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0.02</w:t>
            </w:r>
          </w:p>
        </w:tc>
        <w:tc>
          <w:tcPr>
            <w:tcW w:w="581" w:type="dxa"/>
            <w:tcBorders>
              <w:top w:val="nil"/>
              <w:left w:val="single" w:sz="4" w:space="0" w:color="auto"/>
              <w:bottom w:val="nil"/>
              <w:right w:val="nil"/>
            </w:tcBorders>
            <w:shd w:val="clear" w:color="auto" w:fill="auto"/>
            <w:noWrap/>
            <w:vAlign w:val="bottom"/>
            <w:hideMark/>
          </w:tcPr>
          <w:p w14:paraId="5DD6EDE0"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0.02</w:t>
            </w:r>
          </w:p>
        </w:tc>
        <w:tc>
          <w:tcPr>
            <w:tcW w:w="581" w:type="dxa"/>
            <w:tcBorders>
              <w:top w:val="nil"/>
              <w:left w:val="single" w:sz="4" w:space="0" w:color="auto"/>
              <w:bottom w:val="nil"/>
              <w:right w:val="nil"/>
            </w:tcBorders>
            <w:shd w:val="clear" w:color="auto" w:fill="auto"/>
            <w:noWrap/>
            <w:vAlign w:val="bottom"/>
            <w:hideMark/>
          </w:tcPr>
          <w:p w14:paraId="1970984C"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0.02</w:t>
            </w:r>
          </w:p>
        </w:tc>
        <w:tc>
          <w:tcPr>
            <w:tcW w:w="581" w:type="dxa"/>
            <w:tcBorders>
              <w:top w:val="nil"/>
              <w:left w:val="single" w:sz="4" w:space="0" w:color="auto"/>
              <w:bottom w:val="nil"/>
              <w:right w:val="nil"/>
            </w:tcBorders>
            <w:shd w:val="clear" w:color="auto" w:fill="auto"/>
            <w:noWrap/>
            <w:hideMark/>
          </w:tcPr>
          <w:p w14:paraId="0F8F60FF"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0.02</w:t>
            </w:r>
          </w:p>
        </w:tc>
        <w:tc>
          <w:tcPr>
            <w:tcW w:w="581" w:type="dxa"/>
            <w:tcBorders>
              <w:top w:val="nil"/>
              <w:left w:val="nil"/>
              <w:bottom w:val="nil"/>
              <w:right w:val="nil"/>
            </w:tcBorders>
            <w:shd w:val="clear" w:color="auto" w:fill="auto"/>
            <w:noWrap/>
            <w:hideMark/>
          </w:tcPr>
          <w:p w14:paraId="0A88D1C2"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0.02</w:t>
            </w:r>
          </w:p>
        </w:tc>
        <w:tc>
          <w:tcPr>
            <w:tcW w:w="581" w:type="dxa"/>
            <w:tcBorders>
              <w:top w:val="nil"/>
              <w:left w:val="nil"/>
              <w:bottom w:val="nil"/>
              <w:right w:val="nil"/>
            </w:tcBorders>
            <w:shd w:val="clear" w:color="auto" w:fill="auto"/>
            <w:noWrap/>
            <w:hideMark/>
          </w:tcPr>
          <w:p w14:paraId="3DE3BF04"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0.02</w:t>
            </w:r>
          </w:p>
        </w:tc>
        <w:tc>
          <w:tcPr>
            <w:tcW w:w="581" w:type="dxa"/>
            <w:tcBorders>
              <w:top w:val="nil"/>
              <w:left w:val="nil"/>
              <w:bottom w:val="nil"/>
              <w:right w:val="nil"/>
            </w:tcBorders>
            <w:shd w:val="clear" w:color="auto" w:fill="auto"/>
            <w:noWrap/>
            <w:hideMark/>
          </w:tcPr>
          <w:p w14:paraId="6523D77D"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0.02</w:t>
            </w:r>
          </w:p>
        </w:tc>
        <w:tc>
          <w:tcPr>
            <w:tcW w:w="581" w:type="dxa"/>
            <w:tcBorders>
              <w:top w:val="nil"/>
              <w:left w:val="nil"/>
              <w:bottom w:val="nil"/>
              <w:right w:val="single" w:sz="4" w:space="0" w:color="auto"/>
            </w:tcBorders>
            <w:shd w:val="clear" w:color="auto" w:fill="auto"/>
            <w:noWrap/>
            <w:hideMark/>
          </w:tcPr>
          <w:p w14:paraId="2B0ECADA"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0.02</w:t>
            </w:r>
          </w:p>
        </w:tc>
        <w:tc>
          <w:tcPr>
            <w:tcW w:w="500" w:type="dxa"/>
            <w:tcBorders>
              <w:top w:val="nil"/>
              <w:left w:val="nil"/>
              <w:bottom w:val="nil"/>
              <w:right w:val="nil"/>
            </w:tcBorders>
            <w:shd w:val="clear" w:color="auto" w:fill="auto"/>
            <w:noWrap/>
            <w:hideMark/>
          </w:tcPr>
          <w:p w14:paraId="7188CB02" w14:textId="77777777" w:rsidR="00D924D5" w:rsidRPr="00463D42" w:rsidRDefault="00D924D5" w:rsidP="004127ED">
            <w:pPr>
              <w:spacing w:after="0" w:line="240" w:lineRule="auto"/>
              <w:jc w:val="both"/>
              <w:rPr>
                <w:rFonts w:eastAsia="Times New Roman" w:cstheme="minorHAnsi"/>
                <w:sz w:val="16"/>
                <w:szCs w:val="16"/>
              </w:rPr>
            </w:pPr>
            <w:r w:rsidRPr="00463D42">
              <w:rPr>
                <w:rFonts w:eastAsia="Times New Roman" w:cstheme="minorHAnsi"/>
                <w:sz w:val="16"/>
                <w:szCs w:val="16"/>
              </w:rPr>
              <w:t>1.00</w:t>
            </w:r>
          </w:p>
        </w:tc>
        <w:tc>
          <w:tcPr>
            <w:tcW w:w="500" w:type="dxa"/>
            <w:tcBorders>
              <w:top w:val="nil"/>
              <w:left w:val="nil"/>
              <w:bottom w:val="nil"/>
              <w:right w:val="nil"/>
            </w:tcBorders>
            <w:shd w:val="clear" w:color="auto" w:fill="auto"/>
            <w:noWrap/>
            <w:hideMark/>
          </w:tcPr>
          <w:p w14:paraId="27E10650"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nil"/>
            </w:tcBorders>
            <w:shd w:val="clear" w:color="auto" w:fill="auto"/>
            <w:noWrap/>
            <w:hideMark/>
          </w:tcPr>
          <w:p w14:paraId="7EBBE4D4"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nil"/>
            </w:tcBorders>
            <w:shd w:val="clear" w:color="auto" w:fill="auto"/>
            <w:noWrap/>
            <w:hideMark/>
          </w:tcPr>
          <w:p w14:paraId="09469AF2"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single" w:sz="4" w:space="0" w:color="auto"/>
            </w:tcBorders>
            <w:shd w:val="clear" w:color="auto" w:fill="auto"/>
            <w:noWrap/>
            <w:hideMark/>
          </w:tcPr>
          <w:p w14:paraId="74B2E830"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1000" w:type="dxa"/>
            <w:tcBorders>
              <w:top w:val="nil"/>
              <w:left w:val="nil"/>
              <w:bottom w:val="nil"/>
              <w:right w:val="single" w:sz="4" w:space="0" w:color="auto"/>
            </w:tcBorders>
            <w:shd w:val="clear" w:color="auto" w:fill="auto"/>
            <w:noWrap/>
            <w:hideMark/>
          </w:tcPr>
          <w:p w14:paraId="0E827513"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1.000</w:t>
            </w:r>
          </w:p>
        </w:tc>
      </w:tr>
      <w:tr w:rsidR="00D924D5" w:rsidRPr="00463D42" w14:paraId="27BAFE54" w14:textId="77777777" w:rsidTr="00463D42">
        <w:trPr>
          <w:trHeight w:val="225"/>
          <w:jc w:val="center"/>
        </w:trPr>
        <w:tc>
          <w:tcPr>
            <w:tcW w:w="1620" w:type="dxa"/>
            <w:tcBorders>
              <w:top w:val="nil"/>
              <w:left w:val="single" w:sz="4" w:space="0" w:color="auto"/>
              <w:bottom w:val="nil"/>
              <w:right w:val="nil"/>
            </w:tcBorders>
            <w:shd w:val="clear" w:color="auto" w:fill="auto"/>
            <w:noWrap/>
            <w:hideMark/>
          </w:tcPr>
          <w:p w14:paraId="3CAEA70D"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NSTEMI Present</w:t>
            </w:r>
          </w:p>
        </w:tc>
        <w:tc>
          <w:tcPr>
            <w:tcW w:w="657" w:type="dxa"/>
            <w:tcBorders>
              <w:top w:val="nil"/>
              <w:left w:val="single" w:sz="8" w:space="0" w:color="auto"/>
              <w:bottom w:val="nil"/>
              <w:right w:val="single" w:sz="4" w:space="0" w:color="auto"/>
            </w:tcBorders>
            <w:shd w:val="clear" w:color="auto" w:fill="auto"/>
            <w:vAlign w:val="center"/>
            <w:hideMark/>
          </w:tcPr>
          <w:p w14:paraId="134B7338"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0.19</w:t>
            </w:r>
          </w:p>
        </w:tc>
        <w:tc>
          <w:tcPr>
            <w:tcW w:w="657" w:type="dxa"/>
            <w:tcBorders>
              <w:top w:val="nil"/>
              <w:left w:val="nil"/>
              <w:bottom w:val="nil"/>
              <w:right w:val="nil"/>
            </w:tcBorders>
            <w:shd w:val="clear" w:color="auto" w:fill="auto"/>
            <w:vAlign w:val="center"/>
            <w:hideMark/>
          </w:tcPr>
          <w:p w14:paraId="508FE87C"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0.19</w:t>
            </w:r>
          </w:p>
        </w:tc>
        <w:tc>
          <w:tcPr>
            <w:tcW w:w="581" w:type="dxa"/>
            <w:tcBorders>
              <w:top w:val="nil"/>
              <w:left w:val="single" w:sz="4" w:space="0" w:color="auto"/>
              <w:bottom w:val="nil"/>
              <w:right w:val="nil"/>
            </w:tcBorders>
            <w:shd w:val="clear" w:color="auto" w:fill="auto"/>
            <w:noWrap/>
            <w:vAlign w:val="bottom"/>
            <w:hideMark/>
          </w:tcPr>
          <w:p w14:paraId="3BD6BF47"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0.19</w:t>
            </w:r>
          </w:p>
        </w:tc>
        <w:tc>
          <w:tcPr>
            <w:tcW w:w="581" w:type="dxa"/>
            <w:tcBorders>
              <w:top w:val="nil"/>
              <w:left w:val="single" w:sz="4" w:space="0" w:color="auto"/>
              <w:bottom w:val="nil"/>
              <w:right w:val="nil"/>
            </w:tcBorders>
            <w:shd w:val="clear" w:color="auto" w:fill="auto"/>
            <w:noWrap/>
            <w:vAlign w:val="bottom"/>
            <w:hideMark/>
          </w:tcPr>
          <w:p w14:paraId="3874E5A7"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0.18</w:t>
            </w:r>
          </w:p>
        </w:tc>
        <w:tc>
          <w:tcPr>
            <w:tcW w:w="581" w:type="dxa"/>
            <w:tcBorders>
              <w:top w:val="nil"/>
              <w:left w:val="single" w:sz="4" w:space="0" w:color="auto"/>
              <w:bottom w:val="nil"/>
              <w:right w:val="nil"/>
            </w:tcBorders>
            <w:shd w:val="clear" w:color="auto" w:fill="auto"/>
            <w:noWrap/>
            <w:vAlign w:val="bottom"/>
            <w:hideMark/>
          </w:tcPr>
          <w:p w14:paraId="779B0FDB"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0.19</w:t>
            </w:r>
          </w:p>
        </w:tc>
        <w:tc>
          <w:tcPr>
            <w:tcW w:w="581" w:type="dxa"/>
            <w:tcBorders>
              <w:top w:val="nil"/>
              <w:left w:val="single" w:sz="4" w:space="0" w:color="auto"/>
              <w:bottom w:val="nil"/>
              <w:right w:val="nil"/>
            </w:tcBorders>
            <w:shd w:val="clear" w:color="auto" w:fill="auto"/>
            <w:noWrap/>
            <w:hideMark/>
          </w:tcPr>
          <w:p w14:paraId="12BC3CBF"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0.19</w:t>
            </w:r>
          </w:p>
        </w:tc>
        <w:tc>
          <w:tcPr>
            <w:tcW w:w="581" w:type="dxa"/>
            <w:tcBorders>
              <w:top w:val="nil"/>
              <w:left w:val="nil"/>
              <w:bottom w:val="nil"/>
              <w:right w:val="nil"/>
            </w:tcBorders>
            <w:shd w:val="clear" w:color="auto" w:fill="auto"/>
            <w:noWrap/>
            <w:hideMark/>
          </w:tcPr>
          <w:p w14:paraId="5A732C59"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0.19</w:t>
            </w:r>
          </w:p>
        </w:tc>
        <w:tc>
          <w:tcPr>
            <w:tcW w:w="581" w:type="dxa"/>
            <w:tcBorders>
              <w:top w:val="nil"/>
              <w:left w:val="nil"/>
              <w:bottom w:val="nil"/>
              <w:right w:val="nil"/>
            </w:tcBorders>
            <w:shd w:val="clear" w:color="auto" w:fill="auto"/>
            <w:noWrap/>
            <w:hideMark/>
          </w:tcPr>
          <w:p w14:paraId="0F793EAE"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0.19</w:t>
            </w:r>
          </w:p>
        </w:tc>
        <w:tc>
          <w:tcPr>
            <w:tcW w:w="581" w:type="dxa"/>
            <w:tcBorders>
              <w:top w:val="nil"/>
              <w:left w:val="nil"/>
              <w:bottom w:val="nil"/>
              <w:right w:val="nil"/>
            </w:tcBorders>
            <w:shd w:val="clear" w:color="auto" w:fill="auto"/>
            <w:noWrap/>
            <w:hideMark/>
          </w:tcPr>
          <w:p w14:paraId="396665B7"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0.18</w:t>
            </w:r>
          </w:p>
        </w:tc>
        <w:tc>
          <w:tcPr>
            <w:tcW w:w="581" w:type="dxa"/>
            <w:tcBorders>
              <w:top w:val="nil"/>
              <w:left w:val="nil"/>
              <w:bottom w:val="nil"/>
              <w:right w:val="single" w:sz="4" w:space="0" w:color="auto"/>
            </w:tcBorders>
            <w:shd w:val="clear" w:color="auto" w:fill="auto"/>
            <w:noWrap/>
            <w:hideMark/>
          </w:tcPr>
          <w:p w14:paraId="2858E26B"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0.19</w:t>
            </w:r>
          </w:p>
        </w:tc>
        <w:tc>
          <w:tcPr>
            <w:tcW w:w="500" w:type="dxa"/>
            <w:tcBorders>
              <w:top w:val="nil"/>
              <w:left w:val="nil"/>
              <w:bottom w:val="nil"/>
              <w:right w:val="nil"/>
            </w:tcBorders>
            <w:shd w:val="clear" w:color="auto" w:fill="auto"/>
            <w:noWrap/>
            <w:hideMark/>
          </w:tcPr>
          <w:p w14:paraId="74F2DA8A" w14:textId="77777777" w:rsidR="00D924D5" w:rsidRPr="00463D42" w:rsidRDefault="00D924D5" w:rsidP="004127ED">
            <w:pPr>
              <w:spacing w:after="0" w:line="240" w:lineRule="auto"/>
              <w:jc w:val="both"/>
              <w:rPr>
                <w:rFonts w:eastAsia="Times New Roman" w:cstheme="minorHAnsi"/>
                <w:sz w:val="16"/>
                <w:szCs w:val="16"/>
              </w:rPr>
            </w:pPr>
            <w:r w:rsidRPr="00463D42">
              <w:rPr>
                <w:rFonts w:eastAsia="Times New Roman" w:cstheme="minorHAnsi"/>
                <w:sz w:val="16"/>
                <w:szCs w:val="16"/>
              </w:rPr>
              <w:t>1.00</w:t>
            </w:r>
          </w:p>
        </w:tc>
        <w:tc>
          <w:tcPr>
            <w:tcW w:w="500" w:type="dxa"/>
            <w:tcBorders>
              <w:top w:val="nil"/>
              <w:left w:val="nil"/>
              <w:bottom w:val="nil"/>
              <w:right w:val="nil"/>
            </w:tcBorders>
            <w:shd w:val="clear" w:color="auto" w:fill="auto"/>
            <w:noWrap/>
            <w:hideMark/>
          </w:tcPr>
          <w:p w14:paraId="23B6DEC4"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nil"/>
            </w:tcBorders>
            <w:shd w:val="clear" w:color="auto" w:fill="auto"/>
            <w:noWrap/>
            <w:hideMark/>
          </w:tcPr>
          <w:p w14:paraId="398CB7C8"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nil"/>
            </w:tcBorders>
            <w:shd w:val="clear" w:color="auto" w:fill="auto"/>
            <w:noWrap/>
            <w:hideMark/>
          </w:tcPr>
          <w:p w14:paraId="66733E6F"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single" w:sz="4" w:space="0" w:color="auto"/>
            </w:tcBorders>
            <w:shd w:val="clear" w:color="auto" w:fill="auto"/>
            <w:noWrap/>
            <w:hideMark/>
          </w:tcPr>
          <w:p w14:paraId="6E2F0CCD"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1000" w:type="dxa"/>
            <w:tcBorders>
              <w:top w:val="nil"/>
              <w:left w:val="nil"/>
              <w:bottom w:val="nil"/>
              <w:right w:val="single" w:sz="4" w:space="0" w:color="auto"/>
            </w:tcBorders>
            <w:shd w:val="clear" w:color="auto" w:fill="auto"/>
            <w:noWrap/>
            <w:hideMark/>
          </w:tcPr>
          <w:p w14:paraId="1E0B0491"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1.000</w:t>
            </w:r>
          </w:p>
        </w:tc>
      </w:tr>
      <w:tr w:rsidR="00D924D5" w:rsidRPr="00463D42" w14:paraId="0B1B5949" w14:textId="77777777" w:rsidTr="00463D42">
        <w:trPr>
          <w:trHeight w:val="225"/>
          <w:jc w:val="center"/>
        </w:trPr>
        <w:tc>
          <w:tcPr>
            <w:tcW w:w="1620" w:type="dxa"/>
            <w:tcBorders>
              <w:top w:val="nil"/>
              <w:left w:val="single" w:sz="4" w:space="0" w:color="auto"/>
              <w:bottom w:val="nil"/>
              <w:right w:val="nil"/>
            </w:tcBorders>
            <w:shd w:val="clear" w:color="auto" w:fill="auto"/>
            <w:noWrap/>
            <w:hideMark/>
          </w:tcPr>
          <w:p w14:paraId="4BBB9337"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Prior PCI</w:t>
            </w:r>
          </w:p>
        </w:tc>
        <w:tc>
          <w:tcPr>
            <w:tcW w:w="657" w:type="dxa"/>
            <w:tcBorders>
              <w:top w:val="nil"/>
              <w:left w:val="single" w:sz="8" w:space="0" w:color="auto"/>
              <w:bottom w:val="nil"/>
              <w:right w:val="single" w:sz="4" w:space="0" w:color="auto"/>
            </w:tcBorders>
            <w:shd w:val="clear" w:color="auto" w:fill="auto"/>
            <w:vAlign w:val="center"/>
            <w:hideMark/>
          </w:tcPr>
          <w:p w14:paraId="760B6F62"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0.22</w:t>
            </w:r>
          </w:p>
        </w:tc>
        <w:tc>
          <w:tcPr>
            <w:tcW w:w="657" w:type="dxa"/>
            <w:tcBorders>
              <w:top w:val="nil"/>
              <w:left w:val="nil"/>
              <w:bottom w:val="nil"/>
              <w:right w:val="nil"/>
            </w:tcBorders>
            <w:shd w:val="clear" w:color="auto" w:fill="auto"/>
            <w:vAlign w:val="center"/>
            <w:hideMark/>
          </w:tcPr>
          <w:p w14:paraId="2FBCEA9A"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0.22</w:t>
            </w:r>
          </w:p>
        </w:tc>
        <w:tc>
          <w:tcPr>
            <w:tcW w:w="581" w:type="dxa"/>
            <w:tcBorders>
              <w:top w:val="nil"/>
              <w:left w:val="single" w:sz="4" w:space="0" w:color="auto"/>
              <w:bottom w:val="nil"/>
              <w:right w:val="nil"/>
            </w:tcBorders>
            <w:shd w:val="clear" w:color="auto" w:fill="auto"/>
            <w:noWrap/>
            <w:vAlign w:val="bottom"/>
            <w:hideMark/>
          </w:tcPr>
          <w:p w14:paraId="7D80F447"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0.23</w:t>
            </w:r>
          </w:p>
        </w:tc>
        <w:tc>
          <w:tcPr>
            <w:tcW w:w="581" w:type="dxa"/>
            <w:tcBorders>
              <w:top w:val="nil"/>
              <w:left w:val="single" w:sz="4" w:space="0" w:color="auto"/>
              <w:bottom w:val="nil"/>
              <w:right w:val="nil"/>
            </w:tcBorders>
            <w:shd w:val="clear" w:color="auto" w:fill="auto"/>
            <w:noWrap/>
            <w:vAlign w:val="bottom"/>
            <w:hideMark/>
          </w:tcPr>
          <w:p w14:paraId="57283BEE"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0.24</w:t>
            </w:r>
          </w:p>
        </w:tc>
        <w:tc>
          <w:tcPr>
            <w:tcW w:w="581" w:type="dxa"/>
            <w:tcBorders>
              <w:top w:val="nil"/>
              <w:left w:val="single" w:sz="4" w:space="0" w:color="auto"/>
              <w:bottom w:val="nil"/>
              <w:right w:val="nil"/>
            </w:tcBorders>
            <w:shd w:val="clear" w:color="auto" w:fill="auto"/>
            <w:noWrap/>
            <w:vAlign w:val="bottom"/>
            <w:hideMark/>
          </w:tcPr>
          <w:p w14:paraId="3D900848"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0.22</w:t>
            </w:r>
          </w:p>
        </w:tc>
        <w:tc>
          <w:tcPr>
            <w:tcW w:w="581" w:type="dxa"/>
            <w:tcBorders>
              <w:top w:val="nil"/>
              <w:left w:val="single" w:sz="4" w:space="0" w:color="auto"/>
              <w:bottom w:val="nil"/>
              <w:right w:val="nil"/>
            </w:tcBorders>
            <w:shd w:val="clear" w:color="auto" w:fill="auto"/>
            <w:noWrap/>
            <w:hideMark/>
          </w:tcPr>
          <w:p w14:paraId="599A7E6F"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0.22</w:t>
            </w:r>
          </w:p>
        </w:tc>
        <w:tc>
          <w:tcPr>
            <w:tcW w:w="581" w:type="dxa"/>
            <w:tcBorders>
              <w:top w:val="nil"/>
              <w:left w:val="nil"/>
              <w:bottom w:val="nil"/>
              <w:right w:val="nil"/>
            </w:tcBorders>
            <w:shd w:val="clear" w:color="auto" w:fill="auto"/>
            <w:noWrap/>
            <w:hideMark/>
          </w:tcPr>
          <w:p w14:paraId="16F13EB8"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0.22</w:t>
            </w:r>
          </w:p>
        </w:tc>
        <w:tc>
          <w:tcPr>
            <w:tcW w:w="581" w:type="dxa"/>
            <w:tcBorders>
              <w:top w:val="nil"/>
              <w:left w:val="nil"/>
              <w:bottom w:val="nil"/>
              <w:right w:val="nil"/>
            </w:tcBorders>
            <w:shd w:val="clear" w:color="auto" w:fill="auto"/>
            <w:noWrap/>
            <w:hideMark/>
          </w:tcPr>
          <w:p w14:paraId="3FFFDCE1"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0.23</w:t>
            </w:r>
          </w:p>
        </w:tc>
        <w:tc>
          <w:tcPr>
            <w:tcW w:w="581" w:type="dxa"/>
            <w:tcBorders>
              <w:top w:val="nil"/>
              <w:left w:val="nil"/>
              <w:bottom w:val="nil"/>
              <w:right w:val="nil"/>
            </w:tcBorders>
            <w:shd w:val="clear" w:color="auto" w:fill="auto"/>
            <w:noWrap/>
            <w:hideMark/>
          </w:tcPr>
          <w:p w14:paraId="55C97AE1"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0.24</w:t>
            </w:r>
          </w:p>
        </w:tc>
        <w:tc>
          <w:tcPr>
            <w:tcW w:w="581" w:type="dxa"/>
            <w:tcBorders>
              <w:top w:val="nil"/>
              <w:left w:val="nil"/>
              <w:bottom w:val="nil"/>
              <w:right w:val="single" w:sz="4" w:space="0" w:color="auto"/>
            </w:tcBorders>
            <w:shd w:val="clear" w:color="auto" w:fill="auto"/>
            <w:noWrap/>
            <w:hideMark/>
          </w:tcPr>
          <w:p w14:paraId="2D7BED18"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0.22</w:t>
            </w:r>
          </w:p>
        </w:tc>
        <w:tc>
          <w:tcPr>
            <w:tcW w:w="500" w:type="dxa"/>
            <w:tcBorders>
              <w:top w:val="nil"/>
              <w:left w:val="nil"/>
              <w:bottom w:val="nil"/>
              <w:right w:val="nil"/>
            </w:tcBorders>
            <w:shd w:val="clear" w:color="auto" w:fill="auto"/>
            <w:noWrap/>
            <w:hideMark/>
          </w:tcPr>
          <w:p w14:paraId="06438604" w14:textId="77777777" w:rsidR="00D924D5" w:rsidRPr="00463D42" w:rsidRDefault="00D924D5" w:rsidP="004127ED">
            <w:pPr>
              <w:spacing w:after="0" w:line="240" w:lineRule="auto"/>
              <w:jc w:val="both"/>
              <w:rPr>
                <w:rFonts w:eastAsia="Times New Roman" w:cstheme="minorHAnsi"/>
                <w:sz w:val="16"/>
                <w:szCs w:val="16"/>
              </w:rPr>
            </w:pPr>
            <w:r w:rsidRPr="00463D42">
              <w:rPr>
                <w:rFonts w:eastAsia="Times New Roman" w:cstheme="minorHAnsi"/>
                <w:sz w:val="16"/>
                <w:szCs w:val="16"/>
              </w:rPr>
              <w:t>1.00</w:t>
            </w:r>
          </w:p>
        </w:tc>
        <w:tc>
          <w:tcPr>
            <w:tcW w:w="500" w:type="dxa"/>
            <w:tcBorders>
              <w:top w:val="nil"/>
              <w:left w:val="nil"/>
              <w:bottom w:val="nil"/>
              <w:right w:val="nil"/>
            </w:tcBorders>
            <w:shd w:val="clear" w:color="auto" w:fill="auto"/>
            <w:noWrap/>
            <w:hideMark/>
          </w:tcPr>
          <w:p w14:paraId="67790830"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nil"/>
            </w:tcBorders>
            <w:shd w:val="clear" w:color="auto" w:fill="auto"/>
            <w:noWrap/>
            <w:hideMark/>
          </w:tcPr>
          <w:p w14:paraId="293C173E"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nil"/>
            </w:tcBorders>
            <w:shd w:val="clear" w:color="auto" w:fill="auto"/>
            <w:noWrap/>
            <w:hideMark/>
          </w:tcPr>
          <w:p w14:paraId="01547E64"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single" w:sz="4" w:space="0" w:color="auto"/>
            </w:tcBorders>
            <w:shd w:val="clear" w:color="auto" w:fill="auto"/>
            <w:noWrap/>
            <w:hideMark/>
          </w:tcPr>
          <w:p w14:paraId="21818624"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1000" w:type="dxa"/>
            <w:tcBorders>
              <w:top w:val="nil"/>
              <w:left w:val="nil"/>
              <w:bottom w:val="nil"/>
              <w:right w:val="single" w:sz="4" w:space="0" w:color="auto"/>
            </w:tcBorders>
            <w:shd w:val="clear" w:color="auto" w:fill="auto"/>
            <w:noWrap/>
            <w:hideMark/>
          </w:tcPr>
          <w:p w14:paraId="0103D552"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1.000</w:t>
            </w:r>
          </w:p>
        </w:tc>
      </w:tr>
      <w:tr w:rsidR="00D924D5" w:rsidRPr="00463D42" w14:paraId="64A70DA5" w14:textId="77777777" w:rsidTr="00463D42">
        <w:trPr>
          <w:trHeight w:val="225"/>
          <w:jc w:val="center"/>
        </w:trPr>
        <w:tc>
          <w:tcPr>
            <w:tcW w:w="1620" w:type="dxa"/>
            <w:tcBorders>
              <w:top w:val="nil"/>
              <w:left w:val="single" w:sz="4" w:space="0" w:color="auto"/>
              <w:bottom w:val="nil"/>
              <w:right w:val="nil"/>
            </w:tcBorders>
            <w:shd w:val="clear" w:color="auto" w:fill="auto"/>
            <w:noWrap/>
            <w:hideMark/>
          </w:tcPr>
          <w:p w14:paraId="333D00FA"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Aspirin</w:t>
            </w:r>
          </w:p>
        </w:tc>
        <w:tc>
          <w:tcPr>
            <w:tcW w:w="657" w:type="dxa"/>
            <w:tcBorders>
              <w:top w:val="nil"/>
              <w:left w:val="single" w:sz="8" w:space="0" w:color="auto"/>
              <w:bottom w:val="nil"/>
              <w:right w:val="single" w:sz="4" w:space="0" w:color="auto"/>
            </w:tcBorders>
            <w:shd w:val="clear" w:color="auto" w:fill="auto"/>
            <w:vAlign w:val="center"/>
            <w:hideMark/>
          </w:tcPr>
          <w:p w14:paraId="465B4E09"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0.67</w:t>
            </w:r>
          </w:p>
        </w:tc>
        <w:tc>
          <w:tcPr>
            <w:tcW w:w="657" w:type="dxa"/>
            <w:tcBorders>
              <w:top w:val="nil"/>
              <w:left w:val="nil"/>
              <w:bottom w:val="nil"/>
              <w:right w:val="nil"/>
            </w:tcBorders>
            <w:shd w:val="clear" w:color="auto" w:fill="auto"/>
            <w:vAlign w:val="center"/>
            <w:hideMark/>
          </w:tcPr>
          <w:p w14:paraId="37CD9998"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0.68</w:t>
            </w:r>
          </w:p>
        </w:tc>
        <w:tc>
          <w:tcPr>
            <w:tcW w:w="581" w:type="dxa"/>
            <w:tcBorders>
              <w:top w:val="nil"/>
              <w:left w:val="single" w:sz="4" w:space="0" w:color="auto"/>
              <w:bottom w:val="nil"/>
              <w:right w:val="nil"/>
            </w:tcBorders>
            <w:shd w:val="clear" w:color="auto" w:fill="auto"/>
            <w:noWrap/>
            <w:vAlign w:val="bottom"/>
            <w:hideMark/>
          </w:tcPr>
          <w:p w14:paraId="658A2C64"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0.67</w:t>
            </w:r>
          </w:p>
        </w:tc>
        <w:tc>
          <w:tcPr>
            <w:tcW w:w="581" w:type="dxa"/>
            <w:tcBorders>
              <w:top w:val="nil"/>
              <w:left w:val="single" w:sz="4" w:space="0" w:color="auto"/>
              <w:bottom w:val="nil"/>
              <w:right w:val="nil"/>
            </w:tcBorders>
            <w:shd w:val="clear" w:color="auto" w:fill="auto"/>
            <w:noWrap/>
            <w:vAlign w:val="bottom"/>
            <w:hideMark/>
          </w:tcPr>
          <w:p w14:paraId="00D5DFCF"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0.70</w:t>
            </w:r>
          </w:p>
        </w:tc>
        <w:tc>
          <w:tcPr>
            <w:tcW w:w="581" w:type="dxa"/>
            <w:tcBorders>
              <w:top w:val="nil"/>
              <w:left w:val="single" w:sz="4" w:space="0" w:color="auto"/>
              <w:bottom w:val="nil"/>
              <w:right w:val="nil"/>
            </w:tcBorders>
            <w:shd w:val="clear" w:color="auto" w:fill="auto"/>
            <w:noWrap/>
            <w:vAlign w:val="bottom"/>
            <w:hideMark/>
          </w:tcPr>
          <w:p w14:paraId="27F7B5C2"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0.68</w:t>
            </w:r>
          </w:p>
        </w:tc>
        <w:tc>
          <w:tcPr>
            <w:tcW w:w="581" w:type="dxa"/>
            <w:tcBorders>
              <w:top w:val="nil"/>
              <w:left w:val="single" w:sz="4" w:space="0" w:color="auto"/>
              <w:bottom w:val="nil"/>
              <w:right w:val="nil"/>
            </w:tcBorders>
            <w:shd w:val="clear" w:color="auto" w:fill="auto"/>
            <w:noWrap/>
            <w:hideMark/>
          </w:tcPr>
          <w:p w14:paraId="650497BC"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0.67</w:t>
            </w:r>
          </w:p>
        </w:tc>
        <w:tc>
          <w:tcPr>
            <w:tcW w:w="581" w:type="dxa"/>
            <w:tcBorders>
              <w:top w:val="nil"/>
              <w:left w:val="nil"/>
              <w:bottom w:val="nil"/>
              <w:right w:val="nil"/>
            </w:tcBorders>
            <w:shd w:val="clear" w:color="auto" w:fill="auto"/>
            <w:noWrap/>
            <w:hideMark/>
          </w:tcPr>
          <w:p w14:paraId="7C3DFED7"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0.68</w:t>
            </w:r>
          </w:p>
        </w:tc>
        <w:tc>
          <w:tcPr>
            <w:tcW w:w="581" w:type="dxa"/>
            <w:tcBorders>
              <w:top w:val="nil"/>
              <w:left w:val="nil"/>
              <w:bottom w:val="nil"/>
              <w:right w:val="nil"/>
            </w:tcBorders>
            <w:shd w:val="clear" w:color="auto" w:fill="auto"/>
            <w:noWrap/>
            <w:hideMark/>
          </w:tcPr>
          <w:p w14:paraId="71668A12"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0.67</w:t>
            </w:r>
          </w:p>
        </w:tc>
        <w:tc>
          <w:tcPr>
            <w:tcW w:w="581" w:type="dxa"/>
            <w:tcBorders>
              <w:top w:val="nil"/>
              <w:left w:val="nil"/>
              <w:bottom w:val="nil"/>
              <w:right w:val="nil"/>
            </w:tcBorders>
            <w:shd w:val="clear" w:color="auto" w:fill="auto"/>
            <w:noWrap/>
            <w:hideMark/>
          </w:tcPr>
          <w:p w14:paraId="05CBBA12"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0.70</w:t>
            </w:r>
          </w:p>
        </w:tc>
        <w:tc>
          <w:tcPr>
            <w:tcW w:w="581" w:type="dxa"/>
            <w:tcBorders>
              <w:top w:val="nil"/>
              <w:left w:val="nil"/>
              <w:bottom w:val="nil"/>
              <w:right w:val="single" w:sz="4" w:space="0" w:color="auto"/>
            </w:tcBorders>
            <w:shd w:val="clear" w:color="auto" w:fill="auto"/>
            <w:noWrap/>
            <w:hideMark/>
          </w:tcPr>
          <w:p w14:paraId="73ADFCCF"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0.68</w:t>
            </w:r>
          </w:p>
        </w:tc>
        <w:tc>
          <w:tcPr>
            <w:tcW w:w="500" w:type="dxa"/>
            <w:tcBorders>
              <w:top w:val="nil"/>
              <w:left w:val="nil"/>
              <w:bottom w:val="nil"/>
              <w:right w:val="nil"/>
            </w:tcBorders>
            <w:shd w:val="clear" w:color="auto" w:fill="auto"/>
            <w:noWrap/>
            <w:hideMark/>
          </w:tcPr>
          <w:p w14:paraId="74C87AD8" w14:textId="77777777" w:rsidR="00D924D5" w:rsidRPr="00463D42" w:rsidRDefault="00D924D5" w:rsidP="004127ED">
            <w:pPr>
              <w:spacing w:after="0" w:line="240" w:lineRule="auto"/>
              <w:jc w:val="both"/>
              <w:rPr>
                <w:rFonts w:eastAsia="Times New Roman" w:cstheme="minorHAnsi"/>
                <w:sz w:val="16"/>
                <w:szCs w:val="16"/>
              </w:rPr>
            </w:pPr>
            <w:r w:rsidRPr="00463D42">
              <w:rPr>
                <w:rFonts w:eastAsia="Times New Roman" w:cstheme="minorHAnsi"/>
                <w:sz w:val="16"/>
                <w:szCs w:val="16"/>
              </w:rPr>
              <w:t>1.00</w:t>
            </w:r>
          </w:p>
        </w:tc>
        <w:tc>
          <w:tcPr>
            <w:tcW w:w="500" w:type="dxa"/>
            <w:tcBorders>
              <w:top w:val="nil"/>
              <w:left w:val="nil"/>
              <w:bottom w:val="nil"/>
              <w:right w:val="nil"/>
            </w:tcBorders>
            <w:shd w:val="clear" w:color="auto" w:fill="auto"/>
            <w:noWrap/>
            <w:hideMark/>
          </w:tcPr>
          <w:p w14:paraId="4A1DB52B"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nil"/>
            </w:tcBorders>
            <w:shd w:val="clear" w:color="auto" w:fill="auto"/>
            <w:noWrap/>
            <w:hideMark/>
          </w:tcPr>
          <w:p w14:paraId="70BC0078"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nil"/>
            </w:tcBorders>
            <w:shd w:val="clear" w:color="auto" w:fill="auto"/>
            <w:noWrap/>
            <w:hideMark/>
          </w:tcPr>
          <w:p w14:paraId="776AF13A"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single" w:sz="4" w:space="0" w:color="auto"/>
            </w:tcBorders>
            <w:shd w:val="clear" w:color="auto" w:fill="auto"/>
            <w:noWrap/>
            <w:hideMark/>
          </w:tcPr>
          <w:p w14:paraId="5CB5452A"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1000" w:type="dxa"/>
            <w:tcBorders>
              <w:top w:val="nil"/>
              <w:left w:val="nil"/>
              <w:bottom w:val="nil"/>
              <w:right w:val="single" w:sz="4" w:space="0" w:color="auto"/>
            </w:tcBorders>
            <w:shd w:val="clear" w:color="auto" w:fill="auto"/>
            <w:noWrap/>
            <w:hideMark/>
          </w:tcPr>
          <w:p w14:paraId="312B4948"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1.000</w:t>
            </w:r>
          </w:p>
        </w:tc>
      </w:tr>
      <w:tr w:rsidR="00D924D5" w:rsidRPr="00463D42" w14:paraId="0F00E22D" w14:textId="77777777" w:rsidTr="00463D42">
        <w:trPr>
          <w:trHeight w:val="225"/>
          <w:jc w:val="center"/>
        </w:trPr>
        <w:tc>
          <w:tcPr>
            <w:tcW w:w="1620" w:type="dxa"/>
            <w:tcBorders>
              <w:top w:val="nil"/>
              <w:left w:val="single" w:sz="4" w:space="0" w:color="auto"/>
              <w:bottom w:val="nil"/>
              <w:right w:val="nil"/>
            </w:tcBorders>
            <w:shd w:val="clear" w:color="auto" w:fill="auto"/>
            <w:noWrap/>
            <w:hideMark/>
          </w:tcPr>
          <w:p w14:paraId="77C35F82"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Warfarin</w:t>
            </w:r>
          </w:p>
        </w:tc>
        <w:tc>
          <w:tcPr>
            <w:tcW w:w="657" w:type="dxa"/>
            <w:tcBorders>
              <w:top w:val="nil"/>
              <w:left w:val="single" w:sz="8" w:space="0" w:color="auto"/>
              <w:bottom w:val="nil"/>
              <w:right w:val="single" w:sz="4" w:space="0" w:color="auto"/>
            </w:tcBorders>
            <w:shd w:val="clear" w:color="auto" w:fill="auto"/>
            <w:vAlign w:val="center"/>
            <w:hideMark/>
          </w:tcPr>
          <w:p w14:paraId="1D340600"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0.03</w:t>
            </w:r>
          </w:p>
        </w:tc>
        <w:tc>
          <w:tcPr>
            <w:tcW w:w="657" w:type="dxa"/>
            <w:tcBorders>
              <w:top w:val="nil"/>
              <w:left w:val="nil"/>
              <w:bottom w:val="nil"/>
              <w:right w:val="nil"/>
            </w:tcBorders>
            <w:shd w:val="clear" w:color="auto" w:fill="auto"/>
            <w:vAlign w:val="center"/>
            <w:hideMark/>
          </w:tcPr>
          <w:p w14:paraId="6FD6E691"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0.03</w:t>
            </w:r>
          </w:p>
        </w:tc>
        <w:tc>
          <w:tcPr>
            <w:tcW w:w="581" w:type="dxa"/>
            <w:tcBorders>
              <w:top w:val="nil"/>
              <w:left w:val="single" w:sz="4" w:space="0" w:color="auto"/>
              <w:bottom w:val="nil"/>
              <w:right w:val="nil"/>
            </w:tcBorders>
            <w:shd w:val="clear" w:color="auto" w:fill="auto"/>
            <w:noWrap/>
            <w:vAlign w:val="bottom"/>
            <w:hideMark/>
          </w:tcPr>
          <w:p w14:paraId="22584E33"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0.03</w:t>
            </w:r>
          </w:p>
        </w:tc>
        <w:tc>
          <w:tcPr>
            <w:tcW w:w="581" w:type="dxa"/>
            <w:tcBorders>
              <w:top w:val="nil"/>
              <w:left w:val="single" w:sz="4" w:space="0" w:color="auto"/>
              <w:bottom w:val="nil"/>
              <w:right w:val="nil"/>
            </w:tcBorders>
            <w:shd w:val="clear" w:color="auto" w:fill="auto"/>
            <w:noWrap/>
            <w:vAlign w:val="bottom"/>
            <w:hideMark/>
          </w:tcPr>
          <w:p w14:paraId="30BCC861"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0.03</w:t>
            </w:r>
          </w:p>
        </w:tc>
        <w:tc>
          <w:tcPr>
            <w:tcW w:w="581" w:type="dxa"/>
            <w:tcBorders>
              <w:top w:val="nil"/>
              <w:left w:val="single" w:sz="4" w:space="0" w:color="auto"/>
              <w:bottom w:val="nil"/>
              <w:right w:val="nil"/>
            </w:tcBorders>
            <w:shd w:val="clear" w:color="auto" w:fill="auto"/>
            <w:noWrap/>
            <w:vAlign w:val="bottom"/>
            <w:hideMark/>
          </w:tcPr>
          <w:p w14:paraId="55600083"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0.03</w:t>
            </w:r>
          </w:p>
        </w:tc>
        <w:tc>
          <w:tcPr>
            <w:tcW w:w="581" w:type="dxa"/>
            <w:tcBorders>
              <w:top w:val="nil"/>
              <w:left w:val="single" w:sz="4" w:space="0" w:color="auto"/>
              <w:bottom w:val="nil"/>
              <w:right w:val="nil"/>
            </w:tcBorders>
            <w:shd w:val="clear" w:color="auto" w:fill="auto"/>
            <w:noWrap/>
            <w:hideMark/>
          </w:tcPr>
          <w:p w14:paraId="5F00822C"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0.03</w:t>
            </w:r>
          </w:p>
        </w:tc>
        <w:tc>
          <w:tcPr>
            <w:tcW w:w="581" w:type="dxa"/>
            <w:tcBorders>
              <w:top w:val="nil"/>
              <w:left w:val="nil"/>
              <w:bottom w:val="nil"/>
              <w:right w:val="nil"/>
            </w:tcBorders>
            <w:shd w:val="clear" w:color="auto" w:fill="auto"/>
            <w:noWrap/>
            <w:hideMark/>
          </w:tcPr>
          <w:p w14:paraId="318EB0FF"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0.03</w:t>
            </w:r>
          </w:p>
        </w:tc>
        <w:tc>
          <w:tcPr>
            <w:tcW w:w="581" w:type="dxa"/>
            <w:tcBorders>
              <w:top w:val="nil"/>
              <w:left w:val="nil"/>
              <w:bottom w:val="nil"/>
              <w:right w:val="nil"/>
            </w:tcBorders>
            <w:shd w:val="clear" w:color="auto" w:fill="auto"/>
            <w:noWrap/>
            <w:hideMark/>
          </w:tcPr>
          <w:p w14:paraId="4A28E667"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0.03</w:t>
            </w:r>
          </w:p>
        </w:tc>
        <w:tc>
          <w:tcPr>
            <w:tcW w:w="581" w:type="dxa"/>
            <w:tcBorders>
              <w:top w:val="nil"/>
              <w:left w:val="nil"/>
              <w:bottom w:val="nil"/>
              <w:right w:val="nil"/>
            </w:tcBorders>
            <w:shd w:val="clear" w:color="auto" w:fill="auto"/>
            <w:noWrap/>
            <w:hideMark/>
          </w:tcPr>
          <w:p w14:paraId="1E1BC700"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0.03</w:t>
            </w:r>
          </w:p>
        </w:tc>
        <w:tc>
          <w:tcPr>
            <w:tcW w:w="581" w:type="dxa"/>
            <w:tcBorders>
              <w:top w:val="nil"/>
              <w:left w:val="nil"/>
              <w:bottom w:val="nil"/>
              <w:right w:val="single" w:sz="4" w:space="0" w:color="auto"/>
            </w:tcBorders>
            <w:shd w:val="clear" w:color="auto" w:fill="auto"/>
            <w:noWrap/>
            <w:hideMark/>
          </w:tcPr>
          <w:p w14:paraId="2AAE0CB7"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0.03</w:t>
            </w:r>
          </w:p>
        </w:tc>
        <w:tc>
          <w:tcPr>
            <w:tcW w:w="500" w:type="dxa"/>
            <w:tcBorders>
              <w:top w:val="nil"/>
              <w:left w:val="nil"/>
              <w:bottom w:val="nil"/>
              <w:right w:val="nil"/>
            </w:tcBorders>
            <w:shd w:val="clear" w:color="auto" w:fill="auto"/>
            <w:noWrap/>
            <w:hideMark/>
          </w:tcPr>
          <w:p w14:paraId="722A876B" w14:textId="77777777" w:rsidR="00D924D5" w:rsidRPr="00463D42" w:rsidRDefault="00D924D5" w:rsidP="004127ED">
            <w:pPr>
              <w:spacing w:after="0" w:line="240" w:lineRule="auto"/>
              <w:jc w:val="both"/>
              <w:rPr>
                <w:rFonts w:eastAsia="Times New Roman" w:cstheme="minorHAnsi"/>
                <w:sz w:val="16"/>
                <w:szCs w:val="16"/>
              </w:rPr>
            </w:pPr>
            <w:r w:rsidRPr="00463D42">
              <w:rPr>
                <w:rFonts w:eastAsia="Times New Roman" w:cstheme="minorHAnsi"/>
                <w:sz w:val="16"/>
                <w:szCs w:val="16"/>
              </w:rPr>
              <w:t>1.00</w:t>
            </w:r>
          </w:p>
        </w:tc>
        <w:tc>
          <w:tcPr>
            <w:tcW w:w="500" w:type="dxa"/>
            <w:tcBorders>
              <w:top w:val="nil"/>
              <w:left w:val="nil"/>
              <w:bottom w:val="nil"/>
              <w:right w:val="nil"/>
            </w:tcBorders>
            <w:shd w:val="clear" w:color="auto" w:fill="auto"/>
            <w:noWrap/>
            <w:hideMark/>
          </w:tcPr>
          <w:p w14:paraId="649A03E3"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nil"/>
            </w:tcBorders>
            <w:shd w:val="clear" w:color="auto" w:fill="auto"/>
            <w:noWrap/>
            <w:hideMark/>
          </w:tcPr>
          <w:p w14:paraId="03940A96"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nil"/>
            </w:tcBorders>
            <w:shd w:val="clear" w:color="auto" w:fill="auto"/>
            <w:noWrap/>
            <w:hideMark/>
          </w:tcPr>
          <w:p w14:paraId="6166DE47"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single" w:sz="4" w:space="0" w:color="auto"/>
            </w:tcBorders>
            <w:shd w:val="clear" w:color="auto" w:fill="auto"/>
            <w:noWrap/>
            <w:hideMark/>
          </w:tcPr>
          <w:p w14:paraId="426A3611"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1000" w:type="dxa"/>
            <w:tcBorders>
              <w:top w:val="nil"/>
              <w:left w:val="nil"/>
              <w:bottom w:val="nil"/>
              <w:right w:val="single" w:sz="4" w:space="0" w:color="auto"/>
            </w:tcBorders>
            <w:shd w:val="clear" w:color="auto" w:fill="auto"/>
            <w:noWrap/>
            <w:hideMark/>
          </w:tcPr>
          <w:p w14:paraId="7FA8EFB5"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1.000</w:t>
            </w:r>
          </w:p>
        </w:tc>
      </w:tr>
      <w:tr w:rsidR="00D924D5" w:rsidRPr="00463D42" w14:paraId="7959DF86" w14:textId="77777777" w:rsidTr="00463D42">
        <w:trPr>
          <w:trHeight w:val="225"/>
          <w:jc w:val="center"/>
        </w:trPr>
        <w:tc>
          <w:tcPr>
            <w:tcW w:w="1620" w:type="dxa"/>
            <w:tcBorders>
              <w:top w:val="nil"/>
              <w:left w:val="single" w:sz="4" w:space="0" w:color="auto"/>
              <w:bottom w:val="nil"/>
              <w:right w:val="nil"/>
            </w:tcBorders>
            <w:shd w:val="clear" w:color="auto" w:fill="auto"/>
            <w:noWrap/>
            <w:hideMark/>
          </w:tcPr>
          <w:p w14:paraId="2FF18FB9"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Total Admit PCI</w:t>
            </w:r>
          </w:p>
        </w:tc>
        <w:tc>
          <w:tcPr>
            <w:tcW w:w="657" w:type="dxa"/>
            <w:tcBorders>
              <w:top w:val="nil"/>
              <w:left w:val="single" w:sz="8" w:space="0" w:color="auto"/>
              <w:bottom w:val="nil"/>
              <w:right w:val="single" w:sz="4" w:space="0" w:color="auto"/>
            </w:tcBorders>
            <w:shd w:val="clear" w:color="auto" w:fill="auto"/>
            <w:vAlign w:val="center"/>
            <w:hideMark/>
          </w:tcPr>
          <w:p w14:paraId="61236899" w14:textId="77777777" w:rsidR="00D924D5" w:rsidRPr="00463D42" w:rsidRDefault="00D924D5" w:rsidP="004127ED">
            <w:pPr>
              <w:spacing w:after="0" w:line="240" w:lineRule="auto"/>
              <w:jc w:val="both"/>
              <w:rPr>
                <w:rFonts w:eastAsia="Times New Roman" w:cstheme="minorHAnsi"/>
                <w:sz w:val="16"/>
                <w:szCs w:val="16"/>
              </w:rPr>
            </w:pPr>
            <w:r w:rsidRPr="00463D42">
              <w:rPr>
                <w:rFonts w:eastAsia="Times New Roman" w:cstheme="minorHAnsi"/>
                <w:sz w:val="16"/>
                <w:szCs w:val="16"/>
              </w:rPr>
              <w:t>1.01</w:t>
            </w:r>
          </w:p>
        </w:tc>
        <w:tc>
          <w:tcPr>
            <w:tcW w:w="657" w:type="dxa"/>
            <w:tcBorders>
              <w:top w:val="nil"/>
              <w:left w:val="nil"/>
              <w:bottom w:val="nil"/>
              <w:right w:val="nil"/>
            </w:tcBorders>
            <w:shd w:val="clear" w:color="auto" w:fill="auto"/>
            <w:vAlign w:val="center"/>
            <w:hideMark/>
          </w:tcPr>
          <w:p w14:paraId="26709EDC" w14:textId="77777777" w:rsidR="00D924D5" w:rsidRPr="00463D42" w:rsidRDefault="00D924D5" w:rsidP="004127ED">
            <w:pPr>
              <w:spacing w:after="0" w:line="240" w:lineRule="auto"/>
              <w:jc w:val="both"/>
              <w:rPr>
                <w:rFonts w:eastAsia="Times New Roman" w:cstheme="minorHAnsi"/>
                <w:sz w:val="16"/>
                <w:szCs w:val="16"/>
              </w:rPr>
            </w:pPr>
            <w:r w:rsidRPr="00463D42">
              <w:rPr>
                <w:rFonts w:eastAsia="Times New Roman" w:cstheme="minorHAnsi"/>
                <w:sz w:val="16"/>
                <w:szCs w:val="16"/>
              </w:rPr>
              <w:t>1.00</w:t>
            </w:r>
          </w:p>
        </w:tc>
        <w:tc>
          <w:tcPr>
            <w:tcW w:w="581" w:type="dxa"/>
            <w:tcBorders>
              <w:top w:val="nil"/>
              <w:left w:val="single" w:sz="4" w:space="0" w:color="auto"/>
              <w:bottom w:val="nil"/>
              <w:right w:val="nil"/>
            </w:tcBorders>
            <w:shd w:val="clear" w:color="auto" w:fill="auto"/>
            <w:noWrap/>
            <w:vAlign w:val="bottom"/>
            <w:hideMark/>
          </w:tcPr>
          <w:p w14:paraId="498B1944"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81" w:type="dxa"/>
            <w:tcBorders>
              <w:top w:val="nil"/>
              <w:left w:val="single" w:sz="4" w:space="0" w:color="auto"/>
              <w:bottom w:val="nil"/>
              <w:right w:val="nil"/>
            </w:tcBorders>
            <w:shd w:val="clear" w:color="auto" w:fill="auto"/>
            <w:noWrap/>
            <w:vAlign w:val="bottom"/>
            <w:hideMark/>
          </w:tcPr>
          <w:p w14:paraId="78551A25"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1.01</w:t>
            </w:r>
          </w:p>
        </w:tc>
        <w:tc>
          <w:tcPr>
            <w:tcW w:w="581" w:type="dxa"/>
            <w:tcBorders>
              <w:top w:val="nil"/>
              <w:left w:val="single" w:sz="4" w:space="0" w:color="auto"/>
              <w:bottom w:val="nil"/>
              <w:right w:val="nil"/>
            </w:tcBorders>
            <w:shd w:val="clear" w:color="auto" w:fill="auto"/>
            <w:noWrap/>
            <w:vAlign w:val="bottom"/>
            <w:hideMark/>
          </w:tcPr>
          <w:p w14:paraId="73D8F27A"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81" w:type="dxa"/>
            <w:tcBorders>
              <w:top w:val="nil"/>
              <w:left w:val="single" w:sz="4" w:space="0" w:color="auto"/>
              <w:bottom w:val="nil"/>
              <w:right w:val="nil"/>
            </w:tcBorders>
            <w:shd w:val="clear" w:color="auto" w:fill="auto"/>
            <w:noWrap/>
            <w:hideMark/>
          </w:tcPr>
          <w:p w14:paraId="64DB2808"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1.01</w:t>
            </w:r>
          </w:p>
        </w:tc>
        <w:tc>
          <w:tcPr>
            <w:tcW w:w="581" w:type="dxa"/>
            <w:tcBorders>
              <w:top w:val="nil"/>
              <w:left w:val="nil"/>
              <w:bottom w:val="nil"/>
              <w:right w:val="nil"/>
            </w:tcBorders>
            <w:shd w:val="clear" w:color="auto" w:fill="auto"/>
            <w:noWrap/>
            <w:hideMark/>
          </w:tcPr>
          <w:p w14:paraId="469BA288"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81" w:type="dxa"/>
            <w:tcBorders>
              <w:top w:val="nil"/>
              <w:left w:val="nil"/>
              <w:bottom w:val="nil"/>
              <w:right w:val="nil"/>
            </w:tcBorders>
            <w:shd w:val="clear" w:color="auto" w:fill="auto"/>
            <w:noWrap/>
            <w:hideMark/>
          </w:tcPr>
          <w:p w14:paraId="5BB71D43"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81" w:type="dxa"/>
            <w:tcBorders>
              <w:top w:val="nil"/>
              <w:left w:val="nil"/>
              <w:bottom w:val="nil"/>
              <w:right w:val="nil"/>
            </w:tcBorders>
            <w:shd w:val="clear" w:color="auto" w:fill="auto"/>
            <w:noWrap/>
            <w:hideMark/>
          </w:tcPr>
          <w:p w14:paraId="1AEA75B9"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1.01</w:t>
            </w:r>
          </w:p>
        </w:tc>
        <w:tc>
          <w:tcPr>
            <w:tcW w:w="581" w:type="dxa"/>
            <w:tcBorders>
              <w:top w:val="nil"/>
              <w:left w:val="nil"/>
              <w:bottom w:val="nil"/>
              <w:right w:val="single" w:sz="4" w:space="0" w:color="auto"/>
            </w:tcBorders>
            <w:shd w:val="clear" w:color="auto" w:fill="auto"/>
            <w:noWrap/>
            <w:hideMark/>
          </w:tcPr>
          <w:p w14:paraId="2FB300A4"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nil"/>
            </w:tcBorders>
            <w:shd w:val="clear" w:color="auto" w:fill="auto"/>
            <w:noWrap/>
            <w:hideMark/>
          </w:tcPr>
          <w:p w14:paraId="012C6388" w14:textId="77777777" w:rsidR="00D924D5" w:rsidRPr="00463D42" w:rsidRDefault="00D924D5" w:rsidP="004127ED">
            <w:pPr>
              <w:spacing w:after="0" w:line="240" w:lineRule="auto"/>
              <w:jc w:val="both"/>
              <w:rPr>
                <w:rFonts w:eastAsia="Times New Roman" w:cstheme="minorHAnsi"/>
                <w:sz w:val="16"/>
                <w:szCs w:val="16"/>
              </w:rPr>
            </w:pPr>
            <w:r w:rsidRPr="00463D42">
              <w:rPr>
                <w:rFonts w:eastAsia="Times New Roman" w:cstheme="minorHAnsi"/>
                <w:sz w:val="16"/>
                <w:szCs w:val="16"/>
              </w:rPr>
              <w:t>1.00</w:t>
            </w:r>
          </w:p>
        </w:tc>
        <w:tc>
          <w:tcPr>
            <w:tcW w:w="500" w:type="dxa"/>
            <w:tcBorders>
              <w:top w:val="nil"/>
              <w:left w:val="nil"/>
              <w:bottom w:val="nil"/>
              <w:right w:val="nil"/>
            </w:tcBorders>
            <w:shd w:val="clear" w:color="auto" w:fill="auto"/>
            <w:noWrap/>
            <w:hideMark/>
          </w:tcPr>
          <w:p w14:paraId="1EF3049E"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nil"/>
            </w:tcBorders>
            <w:shd w:val="clear" w:color="auto" w:fill="auto"/>
            <w:noWrap/>
            <w:hideMark/>
          </w:tcPr>
          <w:p w14:paraId="6C04DB51"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nil"/>
            </w:tcBorders>
            <w:shd w:val="clear" w:color="auto" w:fill="auto"/>
            <w:noWrap/>
            <w:hideMark/>
          </w:tcPr>
          <w:p w14:paraId="115EA76E"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single" w:sz="4" w:space="0" w:color="auto"/>
            </w:tcBorders>
            <w:shd w:val="clear" w:color="auto" w:fill="auto"/>
            <w:noWrap/>
            <w:hideMark/>
          </w:tcPr>
          <w:p w14:paraId="7749DF87"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1000" w:type="dxa"/>
            <w:tcBorders>
              <w:top w:val="nil"/>
              <w:left w:val="nil"/>
              <w:bottom w:val="nil"/>
              <w:right w:val="single" w:sz="4" w:space="0" w:color="auto"/>
            </w:tcBorders>
            <w:shd w:val="clear" w:color="auto" w:fill="auto"/>
            <w:noWrap/>
            <w:hideMark/>
          </w:tcPr>
          <w:p w14:paraId="68114390"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1.000</w:t>
            </w:r>
          </w:p>
        </w:tc>
      </w:tr>
      <w:tr w:rsidR="00D924D5" w:rsidRPr="00463D42" w14:paraId="0C771E03" w14:textId="77777777" w:rsidTr="00463D42">
        <w:trPr>
          <w:trHeight w:val="225"/>
          <w:jc w:val="center"/>
        </w:trPr>
        <w:tc>
          <w:tcPr>
            <w:tcW w:w="1620" w:type="dxa"/>
            <w:tcBorders>
              <w:top w:val="nil"/>
              <w:left w:val="single" w:sz="4" w:space="0" w:color="auto"/>
              <w:bottom w:val="nil"/>
              <w:right w:val="nil"/>
            </w:tcBorders>
            <w:shd w:val="clear" w:color="auto" w:fill="auto"/>
            <w:noWrap/>
            <w:hideMark/>
          </w:tcPr>
          <w:p w14:paraId="07E10D52"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Fluro. Mins. (Mean)</w:t>
            </w:r>
          </w:p>
        </w:tc>
        <w:tc>
          <w:tcPr>
            <w:tcW w:w="657" w:type="dxa"/>
            <w:tcBorders>
              <w:top w:val="nil"/>
              <w:left w:val="single" w:sz="8" w:space="0" w:color="auto"/>
              <w:bottom w:val="nil"/>
              <w:right w:val="single" w:sz="4" w:space="0" w:color="auto"/>
            </w:tcBorders>
            <w:shd w:val="clear" w:color="auto" w:fill="auto"/>
            <w:noWrap/>
            <w:vAlign w:val="bottom"/>
            <w:hideMark/>
          </w:tcPr>
          <w:p w14:paraId="5FC8BD28"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16.09</w:t>
            </w:r>
          </w:p>
        </w:tc>
        <w:tc>
          <w:tcPr>
            <w:tcW w:w="657" w:type="dxa"/>
            <w:tcBorders>
              <w:top w:val="nil"/>
              <w:left w:val="nil"/>
              <w:bottom w:val="nil"/>
              <w:right w:val="nil"/>
            </w:tcBorders>
            <w:shd w:val="clear" w:color="auto" w:fill="auto"/>
            <w:noWrap/>
            <w:vAlign w:val="bottom"/>
            <w:hideMark/>
          </w:tcPr>
          <w:p w14:paraId="330D947A"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16.17</w:t>
            </w:r>
          </w:p>
        </w:tc>
        <w:tc>
          <w:tcPr>
            <w:tcW w:w="581" w:type="dxa"/>
            <w:tcBorders>
              <w:top w:val="nil"/>
              <w:left w:val="single" w:sz="4" w:space="0" w:color="auto"/>
              <w:bottom w:val="nil"/>
              <w:right w:val="nil"/>
            </w:tcBorders>
            <w:shd w:val="clear" w:color="auto" w:fill="auto"/>
            <w:noWrap/>
            <w:vAlign w:val="bottom"/>
            <w:hideMark/>
          </w:tcPr>
          <w:p w14:paraId="2B05EA35"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16.07</w:t>
            </w:r>
          </w:p>
        </w:tc>
        <w:tc>
          <w:tcPr>
            <w:tcW w:w="581" w:type="dxa"/>
            <w:tcBorders>
              <w:top w:val="nil"/>
              <w:left w:val="single" w:sz="4" w:space="0" w:color="auto"/>
              <w:bottom w:val="nil"/>
              <w:right w:val="nil"/>
            </w:tcBorders>
            <w:shd w:val="clear" w:color="auto" w:fill="auto"/>
            <w:noWrap/>
            <w:vAlign w:val="bottom"/>
            <w:hideMark/>
          </w:tcPr>
          <w:p w14:paraId="1CF6BD96"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16.17</w:t>
            </w:r>
          </w:p>
        </w:tc>
        <w:tc>
          <w:tcPr>
            <w:tcW w:w="581" w:type="dxa"/>
            <w:tcBorders>
              <w:top w:val="nil"/>
              <w:left w:val="single" w:sz="4" w:space="0" w:color="auto"/>
              <w:bottom w:val="nil"/>
              <w:right w:val="nil"/>
            </w:tcBorders>
            <w:shd w:val="clear" w:color="auto" w:fill="auto"/>
            <w:noWrap/>
            <w:vAlign w:val="bottom"/>
            <w:hideMark/>
          </w:tcPr>
          <w:p w14:paraId="40D3DE29"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16.23</w:t>
            </w:r>
          </w:p>
        </w:tc>
        <w:tc>
          <w:tcPr>
            <w:tcW w:w="581" w:type="dxa"/>
            <w:tcBorders>
              <w:top w:val="nil"/>
              <w:left w:val="single" w:sz="4" w:space="0" w:color="auto"/>
              <w:bottom w:val="nil"/>
              <w:right w:val="nil"/>
            </w:tcBorders>
            <w:shd w:val="clear" w:color="auto" w:fill="auto"/>
            <w:noWrap/>
            <w:hideMark/>
          </w:tcPr>
          <w:p w14:paraId="1AFEAD5A"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16.12</w:t>
            </w:r>
          </w:p>
        </w:tc>
        <w:tc>
          <w:tcPr>
            <w:tcW w:w="581" w:type="dxa"/>
            <w:tcBorders>
              <w:top w:val="nil"/>
              <w:left w:val="nil"/>
              <w:bottom w:val="nil"/>
              <w:right w:val="nil"/>
            </w:tcBorders>
            <w:shd w:val="clear" w:color="auto" w:fill="auto"/>
            <w:noWrap/>
            <w:hideMark/>
          </w:tcPr>
          <w:p w14:paraId="374D2319"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16.19</w:t>
            </w:r>
          </w:p>
        </w:tc>
        <w:tc>
          <w:tcPr>
            <w:tcW w:w="581" w:type="dxa"/>
            <w:tcBorders>
              <w:top w:val="nil"/>
              <w:left w:val="nil"/>
              <w:bottom w:val="nil"/>
              <w:right w:val="nil"/>
            </w:tcBorders>
            <w:shd w:val="clear" w:color="auto" w:fill="auto"/>
            <w:noWrap/>
            <w:hideMark/>
          </w:tcPr>
          <w:p w14:paraId="254841E9"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16.12</w:t>
            </w:r>
          </w:p>
        </w:tc>
        <w:tc>
          <w:tcPr>
            <w:tcW w:w="581" w:type="dxa"/>
            <w:tcBorders>
              <w:top w:val="nil"/>
              <w:left w:val="nil"/>
              <w:bottom w:val="nil"/>
              <w:right w:val="nil"/>
            </w:tcBorders>
            <w:shd w:val="clear" w:color="auto" w:fill="auto"/>
            <w:noWrap/>
            <w:hideMark/>
          </w:tcPr>
          <w:p w14:paraId="60155A97"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16.19</w:t>
            </w:r>
          </w:p>
        </w:tc>
        <w:tc>
          <w:tcPr>
            <w:tcW w:w="581" w:type="dxa"/>
            <w:tcBorders>
              <w:top w:val="nil"/>
              <w:left w:val="nil"/>
              <w:bottom w:val="nil"/>
              <w:right w:val="single" w:sz="4" w:space="0" w:color="auto"/>
            </w:tcBorders>
            <w:shd w:val="clear" w:color="auto" w:fill="auto"/>
            <w:noWrap/>
            <w:hideMark/>
          </w:tcPr>
          <w:p w14:paraId="2E412F9E"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16.26</w:t>
            </w:r>
          </w:p>
        </w:tc>
        <w:tc>
          <w:tcPr>
            <w:tcW w:w="500" w:type="dxa"/>
            <w:tcBorders>
              <w:top w:val="nil"/>
              <w:left w:val="nil"/>
              <w:bottom w:val="nil"/>
              <w:right w:val="nil"/>
            </w:tcBorders>
            <w:shd w:val="clear" w:color="auto" w:fill="auto"/>
            <w:noWrap/>
            <w:hideMark/>
          </w:tcPr>
          <w:p w14:paraId="15CC954C" w14:textId="77777777" w:rsidR="00D924D5" w:rsidRPr="00463D42" w:rsidRDefault="00D924D5" w:rsidP="004127ED">
            <w:pPr>
              <w:spacing w:after="0" w:line="240" w:lineRule="auto"/>
              <w:jc w:val="both"/>
              <w:rPr>
                <w:rFonts w:eastAsia="Times New Roman" w:cstheme="minorHAnsi"/>
                <w:sz w:val="16"/>
                <w:szCs w:val="16"/>
              </w:rPr>
            </w:pPr>
            <w:r w:rsidRPr="00463D42">
              <w:rPr>
                <w:rFonts w:eastAsia="Times New Roman" w:cstheme="minorHAnsi"/>
                <w:sz w:val="16"/>
                <w:szCs w:val="16"/>
              </w:rPr>
              <w:t>1.00</w:t>
            </w:r>
          </w:p>
        </w:tc>
        <w:tc>
          <w:tcPr>
            <w:tcW w:w="500" w:type="dxa"/>
            <w:tcBorders>
              <w:top w:val="nil"/>
              <w:left w:val="nil"/>
              <w:bottom w:val="nil"/>
              <w:right w:val="nil"/>
            </w:tcBorders>
            <w:shd w:val="clear" w:color="auto" w:fill="auto"/>
            <w:noWrap/>
            <w:hideMark/>
          </w:tcPr>
          <w:p w14:paraId="6488305E"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nil"/>
            </w:tcBorders>
            <w:shd w:val="clear" w:color="auto" w:fill="auto"/>
            <w:noWrap/>
            <w:hideMark/>
          </w:tcPr>
          <w:p w14:paraId="57B462FC"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nil"/>
            </w:tcBorders>
            <w:shd w:val="clear" w:color="auto" w:fill="auto"/>
            <w:noWrap/>
            <w:hideMark/>
          </w:tcPr>
          <w:p w14:paraId="3E463969"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single" w:sz="4" w:space="0" w:color="auto"/>
            </w:tcBorders>
            <w:shd w:val="clear" w:color="auto" w:fill="auto"/>
            <w:noWrap/>
            <w:hideMark/>
          </w:tcPr>
          <w:p w14:paraId="27153F26"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1000" w:type="dxa"/>
            <w:tcBorders>
              <w:top w:val="nil"/>
              <w:left w:val="nil"/>
              <w:bottom w:val="nil"/>
              <w:right w:val="single" w:sz="4" w:space="0" w:color="auto"/>
            </w:tcBorders>
            <w:shd w:val="clear" w:color="auto" w:fill="auto"/>
            <w:noWrap/>
            <w:hideMark/>
          </w:tcPr>
          <w:p w14:paraId="75244BA6"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0.998</w:t>
            </w:r>
          </w:p>
        </w:tc>
      </w:tr>
      <w:tr w:rsidR="00D924D5" w:rsidRPr="00463D42" w14:paraId="526E128C" w14:textId="77777777" w:rsidTr="00463D42">
        <w:trPr>
          <w:trHeight w:val="225"/>
          <w:jc w:val="center"/>
        </w:trPr>
        <w:tc>
          <w:tcPr>
            <w:tcW w:w="1620" w:type="dxa"/>
            <w:tcBorders>
              <w:top w:val="nil"/>
              <w:left w:val="single" w:sz="4" w:space="0" w:color="auto"/>
              <w:bottom w:val="nil"/>
              <w:right w:val="nil"/>
            </w:tcBorders>
            <w:shd w:val="clear" w:color="auto" w:fill="auto"/>
            <w:noWrap/>
            <w:hideMark/>
          </w:tcPr>
          <w:p w14:paraId="50C7128F" w14:textId="77777777" w:rsidR="00D924D5" w:rsidRPr="00463D42" w:rsidRDefault="00D924D5" w:rsidP="004127ED">
            <w:pPr>
              <w:spacing w:after="0" w:line="240" w:lineRule="auto"/>
              <w:jc w:val="both"/>
              <w:rPr>
                <w:rFonts w:eastAsia="Times New Roman" w:cstheme="minorHAnsi"/>
                <w:color w:val="000000"/>
                <w:sz w:val="16"/>
                <w:szCs w:val="16"/>
              </w:rPr>
            </w:pPr>
            <w:proofErr w:type="spellStart"/>
            <w:r w:rsidRPr="00463D42">
              <w:rPr>
                <w:rFonts w:eastAsia="Times New Roman" w:cstheme="minorHAnsi"/>
                <w:color w:val="000000"/>
                <w:sz w:val="16"/>
                <w:szCs w:val="16"/>
              </w:rPr>
              <w:t>Fluoro</w:t>
            </w:r>
            <w:proofErr w:type="spellEnd"/>
            <w:r w:rsidRPr="00463D42">
              <w:rPr>
                <w:rFonts w:eastAsia="Times New Roman" w:cstheme="minorHAnsi"/>
                <w:color w:val="000000"/>
                <w:sz w:val="16"/>
                <w:szCs w:val="16"/>
              </w:rPr>
              <w:t>. Mins. (SD)</w:t>
            </w:r>
          </w:p>
        </w:tc>
        <w:tc>
          <w:tcPr>
            <w:tcW w:w="657" w:type="dxa"/>
            <w:tcBorders>
              <w:top w:val="nil"/>
              <w:left w:val="single" w:sz="8" w:space="0" w:color="auto"/>
              <w:bottom w:val="nil"/>
              <w:right w:val="single" w:sz="4" w:space="0" w:color="auto"/>
            </w:tcBorders>
            <w:shd w:val="clear" w:color="auto" w:fill="auto"/>
            <w:vAlign w:val="center"/>
            <w:hideMark/>
          </w:tcPr>
          <w:p w14:paraId="001FDE01"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7.44</w:t>
            </w:r>
          </w:p>
        </w:tc>
        <w:tc>
          <w:tcPr>
            <w:tcW w:w="657" w:type="dxa"/>
            <w:tcBorders>
              <w:top w:val="nil"/>
              <w:left w:val="nil"/>
              <w:bottom w:val="nil"/>
              <w:right w:val="nil"/>
            </w:tcBorders>
            <w:shd w:val="clear" w:color="auto" w:fill="auto"/>
            <w:vAlign w:val="center"/>
            <w:hideMark/>
          </w:tcPr>
          <w:p w14:paraId="61948EF9"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7.49</w:t>
            </w:r>
          </w:p>
        </w:tc>
        <w:tc>
          <w:tcPr>
            <w:tcW w:w="581" w:type="dxa"/>
            <w:tcBorders>
              <w:top w:val="nil"/>
              <w:left w:val="single" w:sz="4" w:space="0" w:color="auto"/>
              <w:bottom w:val="nil"/>
              <w:right w:val="nil"/>
            </w:tcBorders>
            <w:shd w:val="clear" w:color="auto" w:fill="auto"/>
            <w:noWrap/>
            <w:vAlign w:val="bottom"/>
            <w:hideMark/>
          </w:tcPr>
          <w:p w14:paraId="1B3DD2A8"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7.37</w:t>
            </w:r>
          </w:p>
        </w:tc>
        <w:tc>
          <w:tcPr>
            <w:tcW w:w="581" w:type="dxa"/>
            <w:tcBorders>
              <w:top w:val="nil"/>
              <w:left w:val="single" w:sz="4" w:space="0" w:color="auto"/>
              <w:bottom w:val="nil"/>
              <w:right w:val="nil"/>
            </w:tcBorders>
            <w:shd w:val="clear" w:color="auto" w:fill="auto"/>
            <w:noWrap/>
            <w:vAlign w:val="bottom"/>
            <w:hideMark/>
          </w:tcPr>
          <w:p w14:paraId="2DC743FC"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7.49</w:t>
            </w:r>
          </w:p>
        </w:tc>
        <w:tc>
          <w:tcPr>
            <w:tcW w:w="581" w:type="dxa"/>
            <w:tcBorders>
              <w:top w:val="nil"/>
              <w:left w:val="single" w:sz="4" w:space="0" w:color="auto"/>
              <w:bottom w:val="nil"/>
              <w:right w:val="nil"/>
            </w:tcBorders>
            <w:shd w:val="clear" w:color="auto" w:fill="auto"/>
            <w:noWrap/>
            <w:vAlign w:val="bottom"/>
            <w:hideMark/>
          </w:tcPr>
          <w:p w14:paraId="5087E2ED"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7.49</w:t>
            </w:r>
          </w:p>
        </w:tc>
        <w:tc>
          <w:tcPr>
            <w:tcW w:w="581" w:type="dxa"/>
            <w:tcBorders>
              <w:top w:val="nil"/>
              <w:left w:val="single" w:sz="4" w:space="0" w:color="auto"/>
              <w:bottom w:val="nil"/>
              <w:right w:val="nil"/>
            </w:tcBorders>
            <w:shd w:val="clear" w:color="auto" w:fill="auto"/>
            <w:noWrap/>
            <w:hideMark/>
          </w:tcPr>
          <w:p w14:paraId="081989C6"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7.44</w:t>
            </w:r>
          </w:p>
        </w:tc>
        <w:tc>
          <w:tcPr>
            <w:tcW w:w="581" w:type="dxa"/>
            <w:tcBorders>
              <w:top w:val="nil"/>
              <w:left w:val="nil"/>
              <w:bottom w:val="nil"/>
              <w:right w:val="nil"/>
            </w:tcBorders>
            <w:shd w:val="clear" w:color="auto" w:fill="auto"/>
            <w:noWrap/>
            <w:hideMark/>
          </w:tcPr>
          <w:p w14:paraId="56C72514"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7.49</w:t>
            </w:r>
          </w:p>
        </w:tc>
        <w:tc>
          <w:tcPr>
            <w:tcW w:w="581" w:type="dxa"/>
            <w:tcBorders>
              <w:top w:val="nil"/>
              <w:left w:val="nil"/>
              <w:bottom w:val="nil"/>
              <w:right w:val="nil"/>
            </w:tcBorders>
            <w:shd w:val="clear" w:color="auto" w:fill="auto"/>
            <w:noWrap/>
            <w:hideMark/>
          </w:tcPr>
          <w:p w14:paraId="30E65A4A"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7.36</w:t>
            </w:r>
          </w:p>
        </w:tc>
        <w:tc>
          <w:tcPr>
            <w:tcW w:w="581" w:type="dxa"/>
            <w:tcBorders>
              <w:top w:val="nil"/>
              <w:left w:val="nil"/>
              <w:bottom w:val="nil"/>
              <w:right w:val="nil"/>
            </w:tcBorders>
            <w:shd w:val="clear" w:color="auto" w:fill="auto"/>
            <w:noWrap/>
            <w:hideMark/>
          </w:tcPr>
          <w:p w14:paraId="1022A38D"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7.49</w:t>
            </w:r>
          </w:p>
        </w:tc>
        <w:tc>
          <w:tcPr>
            <w:tcW w:w="581" w:type="dxa"/>
            <w:tcBorders>
              <w:top w:val="nil"/>
              <w:left w:val="nil"/>
              <w:bottom w:val="nil"/>
              <w:right w:val="single" w:sz="4" w:space="0" w:color="auto"/>
            </w:tcBorders>
            <w:shd w:val="clear" w:color="auto" w:fill="auto"/>
            <w:noWrap/>
            <w:hideMark/>
          </w:tcPr>
          <w:p w14:paraId="1BE90375"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7.48</w:t>
            </w:r>
          </w:p>
        </w:tc>
        <w:tc>
          <w:tcPr>
            <w:tcW w:w="500" w:type="dxa"/>
            <w:tcBorders>
              <w:top w:val="nil"/>
              <w:left w:val="nil"/>
              <w:bottom w:val="nil"/>
              <w:right w:val="nil"/>
            </w:tcBorders>
            <w:shd w:val="clear" w:color="auto" w:fill="auto"/>
            <w:noWrap/>
            <w:hideMark/>
          </w:tcPr>
          <w:p w14:paraId="553671ED" w14:textId="77777777" w:rsidR="00D924D5" w:rsidRPr="00463D42" w:rsidRDefault="00D924D5" w:rsidP="004127ED">
            <w:pPr>
              <w:spacing w:after="0" w:line="240" w:lineRule="auto"/>
              <w:jc w:val="both"/>
              <w:rPr>
                <w:rFonts w:eastAsia="Times New Roman" w:cstheme="minorHAnsi"/>
                <w:sz w:val="16"/>
                <w:szCs w:val="16"/>
              </w:rPr>
            </w:pPr>
            <w:r w:rsidRPr="00463D42">
              <w:rPr>
                <w:rFonts w:eastAsia="Times New Roman" w:cstheme="minorHAnsi"/>
                <w:sz w:val="16"/>
                <w:szCs w:val="16"/>
              </w:rPr>
              <w:t>1.00</w:t>
            </w:r>
          </w:p>
        </w:tc>
        <w:tc>
          <w:tcPr>
            <w:tcW w:w="500" w:type="dxa"/>
            <w:tcBorders>
              <w:top w:val="nil"/>
              <w:left w:val="nil"/>
              <w:bottom w:val="nil"/>
              <w:right w:val="nil"/>
            </w:tcBorders>
            <w:shd w:val="clear" w:color="auto" w:fill="auto"/>
            <w:noWrap/>
            <w:hideMark/>
          </w:tcPr>
          <w:p w14:paraId="24BD6372"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nil"/>
            </w:tcBorders>
            <w:shd w:val="clear" w:color="auto" w:fill="auto"/>
            <w:noWrap/>
            <w:hideMark/>
          </w:tcPr>
          <w:p w14:paraId="109CD7CC"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nil"/>
            </w:tcBorders>
            <w:shd w:val="clear" w:color="auto" w:fill="auto"/>
            <w:noWrap/>
            <w:hideMark/>
          </w:tcPr>
          <w:p w14:paraId="6C0F563E"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single" w:sz="4" w:space="0" w:color="auto"/>
            </w:tcBorders>
            <w:shd w:val="clear" w:color="auto" w:fill="auto"/>
            <w:noWrap/>
            <w:hideMark/>
          </w:tcPr>
          <w:p w14:paraId="236C7E03"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1000" w:type="dxa"/>
            <w:tcBorders>
              <w:top w:val="nil"/>
              <w:left w:val="nil"/>
              <w:bottom w:val="nil"/>
              <w:right w:val="single" w:sz="4" w:space="0" w:color="auto"/>
            </w:tcBorders>
            <w:shd w:val="clear" w:color="auto" w:fill="auto"/>
            <w:noWrap/>
            <w:hideMark/>
          </w:tcPr>
          <w:p w14:paraId="142B0BBD"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1.000</w:t>
            </w:r>
          </w:p>
        </w:tc>
      </w:tr>
      <w:tr w:rsidR="00D924D5" w:rsidRPr="00463D42" w14:paraId="5EF26383" w14:textId="77777777" w:rsidTr="00463D42">
        <w:trPr>
          <w:trHeight w:val="225"/>
          <w:jc w:val="center"/>
        </w:trPr>
        <w:tc>
          <w:tcPr>
            <w:tcW w:w="1620" w:type="dxa"/>
            <w:tcBorders>
              <w:top w:val="nil"/>
              <w:left w:val="single" w:sz="4" w:space="0" w:color="auto"/>
              <w:bottom w:val="nil"/>
              <w:right w:val="nil"/>
            </w:tcBorders>
            <w:shd w:val="clear" w:color="auto" w:fill="auto"/>
            <w:noWrap/>
            <w:hideMark/>
          </w:tcPr>
          <w:p w14:paraId="63CA6A3C"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PCI Vessels (Mean)</w:t>
            </w:r>
          </w:p>
        </w:tc>
        <w:tc>
          <w:tcPr>
            <w:tcW w:w="657" w:type="dxa"/>
            <w:tcBorders>
              <w:top w:val="nil"/>
              <w:left w:val="single" w:sz="8" w:space="0" w:color="auto"/>
              <w:bottom w:val="nil"/>
              <w:right w:val="single" w:sz="4" w:space="0" w:color="auto"/>
            </w:tcBorders>
            <w:shd w:val="clear" w:color="auto" w:fill="auto"/>
            <w:noWrap/>
            <w:vAlign w:val="bottom"/>
            <w:hideMark/>
          </w:tcPr>
          <w:p w14:paraId="675A76C8"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1.28</w:t>
            </w:r>
          </w:p>
        </w:tc>
        <w:tc>
          <w:tcPr>
            <w:tcW w:w="657" w:type="dxa"/>
            <w:tcBorders>
              <w:top w:val="nil"/>
              <w:left w:val="nil"/>
              <w:bottom w:val="nil"/>
              <w:right w:val="nil"/>
            </w:tcBorders>
            <w:shd w:val="clear" w:color="auto" w:fill="auto"/>
            <w:noWrap/>
            <w:vAlign w:val="bottom"/>
            <w:hideMark/>
          </w:tcPr>
          <w:p w14:paraId="148BC195"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1.29</w:t>
            </w:r>
          </w:p>
        </w:tc>
        <w:tc>
          <w:tcPr>
            <w:tcW w:w="581" w:type="dxa"/>
            <w:tcBorders>
              <w:top w:val="nil"/>
              <w:left w:val="single" w:sz="4" w:space="0" w:color="auto"/>
              <w:bottom w:val="nil"/>
              <w:right w:val="nil"/>
            </w:tcBorders>
            <w:shd w:val="clear" w:color="auto" w:fill="auto"/>
            <w:noWrap/>
            <w:vAlign w:val="bottom"/>
            <w:hideMark/>
          </w:tcPr>
          <w:p w14:paraId="508E2C52"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1.28</w:t>
            </w:r>
          </w:p>
        </w:tc>
        <w:tc>
          <w:tcPr>
            <w:tcW w:w="581" w:type="dxa"/>
            <w:tcBorders>
              <w:top w:val="nil"/>
              <w:left w:val="single" w:sz="4" w:space="0" w:color="auto"/>
              <w:bottom w:val="nil"/>
              <w:right w:val="nil"/>
            </w:tcBorders>
            <w:shd w:val="clear" w:color="auto" w:fill="auto"/>
            <w:noWrap/>
            <w:vAlign w:val="bottom"/>
            <w:hideMark/>
          </w:tcPr>
          <w:p w14:paraId="794732A8"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1.28</w:t>
            </w:r>
          </w:p>
        </w:tc>
        <w:tc>
          <w:tcPr>
            <w:tcW w:w="581" w:type="dxa"/>
            <w:tcBorders>
              <w:top w:val="nil"/>
              <w:left w:val="single" w:sz="4" w:space="0" w:color="auto"/>
              <w:bottom w:val="nil"/>
              <w:right w:val="nil"/>
            </w:tcBorders>
            <w:shd w:val="clear" w:color="auto" w:fill="auto"/>
            <w:noWrap/>
            <w:vAlign w:val="bottom"/>
            <w:hideMark/>
          </w:tcPr>
          <w:p w14:paraId="3B6F5450"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1.27</w:t>
            </w:r>
          </w:p>
        </w:tc>
        <w:tc>
          <w:tcPr>
            <w:tcW w:w="581" w:type="dxa"/>
            <w:tcBorders>
              <w:top w:val="nil"/>
              <w:left w:val="single" w:sz="4" w:space="0" w:color="auto"/>
              <w:bottom w:val="nil"/>
              <w:right w:val="nil"/>
            </w:tcBorders>
            <w:shd w:val="clear" w:color="auto" w:fill="auto"/>
            <w:noWrap/>
            <w:hideMark/>
          </w:tcPr>
          <w:p w14:paraId="39024F83"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1.28</w:t>
            </w:r>
          </w:p>
        </w:tc>
        <w:tc>
          <w:tcPr>
            <w:tcW w:w="581" w:type="dxa"/>
            <w:tcBorders>
              <w:top w:val="nil"/>
              <w:left w:val="nil"/>
              <w:bottom w:val="nil"/>
              <w:right w:val="nil"/>
            </w:tcBorders>
            <w:shd w:val="clear" w:color="auto" w:fill="auto"/>
            <w:noWrap/>
            <w:hideMark/>
          </w:tcPr>
          <w:p w14:paraId="28B13540"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1.29</w:t>
            </w:r>
          </w:p>
        </w:tc>
        <w:tc>
          <w:tcPr>
            <w:tcW w:w="581" w:type="dxa"/>
            <w:tcBorders>
              <w:top w:val="nil"/>
              <w:left w:val="nil"/>
              <w:bottom w:val="nil"/>
              <w:right w:val="nil"/>
            </w:tcBorders>
            <w:shd w:val="clear" w:color="auto" w:fill="auto"/>
            <w:noWrap/>
            <w:hideMark/>
          </w:tcPr>
          <w:p w14:paraId="315497DE"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1.29</w:t>
            </w:r>
          </w:p>
        </w:tc>
        <w:tc>
          <w:tcPr>
            <w:tcW w:w="581" w:type="dxa"/>
            <w:tcBorders>
              <w:top w:val="nil"/>
              <w:left w:val="nil"/>
              <w:bottom w:val="nil"/>
              <w:right w:val="nil"/>
            </w:tcBorders>
            <w:shd w:val="clear" w:color="auto" w:fill="auto"/>
            <w:noWrap/>
            <w:hideMark/>
          </w:tcPr>
          <w:p w14:paraId="1552DB4B"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1.28</w:t>
            </w:r>
          </w:p>
        </w:tc>
        <w:tc>
          <w:tcPr>
            <w:tcW w:w="581" w:type="dxa"/>
            <w:tcBorders>
              <w:top w:val="nil"/>
              <w:left w:val="nil"/>
              <w:bottom w:val="nil"/>
              <w:right w:val="single" w:sz="4" w:space="0" w:color="auto"/>
            </w:tcBorders>
            <w:shd w:val="clear" w:color="auto" w:fill="auto"/>
            <w:noWrap/>
            <w:hideMark/>
          </w:tcPr>
          <w:p w14:paraId="26B39634"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1.28</w:t>
            </w:r>
          </w:p>
        </w:tc>
        <w:tc>
          <w:tcPr>
            <w:tcW w:w="500" w:type="dxa"/>
            <w:tcBorders>
              <w:top w:val="nil"/>
              <w:left w:val="nil"/>
              <w:bottom w:val="nil"/>
              <w:right w:val="nil"/>
            </w:tcBorders>
            <w:shd w:val="clear" w:color="auto" w:fill="auto"/>
            <w:noWrap/>
            <w:hideMark/>
          </w:tcPr>
          <w:p w14:paraId="52960715" w14:textId="77777777" w:rsidR="00D924D5" w:rsidRPr="00463D42" w:rsidRDefault="00D924D5" w:rsidP="004127ED">
            <w:pPr>
              <w:spacing w:after="0" w:line="240" w:lineRule="auto"/>
              <w:jc w:val="both"/>
              <w:rPr>
                <w:rFonts w:eastAsia="Times New Roman" w:cstheme="minorHAnsi"/>
                <w:sz w:val="16"/>
                <w:szCs w:val="16"/>
              </w:rPr>
            </w:pPr>
            <w:r w:rsidRPr="00463D42">
              <w:rPr>
                <w:rFonts w:eastAsia="Times New Roman" w:cstheme="minorHAnsi"/>
                <w:sz w:val="16"/>
                <w:szCs w:val="16"/>
              </w:rPr>
              <w:t>0.99</w:t>
            </w:r>
          </w:p>
        </w:tc>
        <w:tc>
          <w:tcPr>
            <w:tcW w:w="500" w:type="dxa"/>
            <w:tcBorders>
              <w:top w:val="nil"/>
              <w:left w:val="nil"/>
              <w:bottom w:val="nil"/>
              <w:right w:val="nil"/>
            </w:tcBorders>
            <w:shd w:val="clear" w:color="auto" w:fill="auto"/>
            <w:noWrap/>
            <w:hideMark/>
          </w:tcPr>
          <w:p w14:paraId="609A8153"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nil"/>
            </w:tcBorders>
            <w:shd w:val="clear" w:color="auto" w:fill="auto"/>
            <w:noWrap/>
            <w:hideMark/>
          </w:tcPr>
          <w:p w14:paraId="22603F0C"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0.99</w:t>
            </w:r>
          </w:p>
        </w:tc>
        <w:tc>
          <w:tcPr>
            <w:tcW w:w="500" w:type="dxa"/>
            <w:tcBorders>
              <w:top w:val="nil"/>
              <w:left w:val="nil"/>
              <w:bottom w:val="nil"/>
              <w:right w:val="nil"/>
            </w:tcBorders>
            <w:shd w:val="clear" w:color="auto" w:fill="auto"/>
            <w:noWrap/>
            <w:hideMark/>
          </w:tcPr>
          <w:p w14:paraId="615F666E"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single" w:sz="4" w:space="0" w:color="auto"/>
            </w:tcBorders>
            <w:shd w:val="clear" w:color="auto" w:fill="auto"/>
            <w:noWrap/>
            <w:hideMark/>
          </w:tcPr>
          <w:p w14:paraId="23E97735"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0.99</w:t>
            </w:r>
          </w:p>
        </w:tc>
        <w:tc>
          <w:tcPr>
            <w:tcW w:w="1000" w:type="dxa"/>
            <w:tcBorders>
              <w:top w:val="nil"/>
              <w:left w:val="nil"/>
              <w:bottom w:val="nil"/>
              <w:right w:val="single" w:sz="4" w:space="0" w:color="auto"/>
            </w:tcBorders>
            <w:shd w:val="clear" w:color="auto" w:fill="auto"/>
            <w:noWrap/>
            <w:hideMark/>
          </w:tcPr>
          <w:p w14:paraId="4E8EFFA6"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0.994</w:t>
            </w:r>
          </w:p>
        </w:tc>
      </w:tr>
      <w:tr w:rsidR="00D924D5" w:rsidRPr="00463D42" w14:paraId="7C8C0D34" w14:textId="77777777" w:rsidTr="00463D42">
        <w:trPr>
          <w:trHeight w:val="225"/>
          <w:jc w:val="center"/>
        </w:trPr>
        <w:tc>
          <w:tcPr>
            <w:tcW w:w="1620" w:type="dxa"/>
            <w:tcBorders>
              <w:top w:val="nil"/>
              <w:left w:val="single" w:sz="4" w:space="0" w:color="auto"/>
              <w:bottom w:val="nil"/>
              <w:right w:val="nil"/>
            </w:tcBorders>
            <w:shd w:val="clear" w:color="auto" w:fill="auto"/>
            <w:noWrap/>
            <w:hideMark/>
          </w:tcPr>
          <w:p w14:paraId="13E07B20"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Device B</w:t>
            </w:r>
          </w:p>
        </w:tc>
        <w:tc>
          <w:tcPr>
            <w:tcW w:w="657" w:type="dxa"/>
            <w:tcBorders>
              <w:top w:val="nil"/>
              <w:left w:val="single" w:sz="8" w:space="0" w:color="auto"/>
              <w:bottom w:val="nil"/>
              <w:right w:val="single" w:sz="4" w:space="0" w:color="auto"/>
            </w:tcBorders>
            <w:shd w:val="clear" w:color="auto" w:fill="auto"/>
            <w:vAlign w:val="center"/>
            <w:hideMark/>
          </w:tcPr>
          <w:p w14:paraId="25E028A2"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0.33</w:t>
            </w:r>
          </w:p>
        </w:tc>
        <w:tc>
          <w:tcPr>
            <w:tcW w:w="657" w:type="dxa"/>
            <w:tcBorders>
              <w:top w:val="nil"/>
              <w:left w:val="nil"/>
              <w:bottom w:val="nil"/>
              <w:right w:val="nil"/>
            </w:tcBorders>
            <w:shd w:val="clear" w:color="auto" w:fill="auto"/>
            <w:vAlign w:val="center"/>
            <w:hideMark/>
          </w:tcPr>
          <w:p w14:paraId="2383968F"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0.34</w:t>
            </w:r>
          </w:p>
        </w:tc>
        <w:tc>
          <w:tcPr>
            <w:tcW w:w="581" w:type="dxa"/>
            <w:tcBorders>
              <w:top w:val="nil"/>
              <w:left w:val="single" w:sz="4" w:space="0" w:color="auto"/>
              <w:bottom w:val="nil"/>
              <w:right w:val="nil"/>
            </w:tcBorders>
            <w:shd w:val="clear" w:color="auto" w:fill="auto"/>
            <w:noWrap/>
            <w:vAlign w:val="bottom"/>
            <w:hideMark/>
          </w:tcPr>
          <w:p w14:paraId="0A33BF46" w14:textId="77777777" w:rsidR="00D924D5" w:rsidRPr="00463D42" w:rsidRDefault="00D924D5" w:rsidP="004127ED">
            <w:pPr>
              <w:spacing w:after="0" w:line="240" w:lineRule="auto"/>
              <w:jc w:val="both"/>
              <w:rPr>
                <w:rFonts w:eastAsia="Times New Roman" w:cstheme="minorHAnsi"/>
                <w:sz w:val="16"/>
                <w:szCs w:val="16"/>
              </w:rPr>
            </w:pPr>
            <w:r w:rsidRPr="00463D42">
              <w:rPr>
                <w:rFonts w:eastAsia="Times New Roman" w:cstheme="minorHAnsi"/>
                <w:sz w:val="16"/>
                <w:szCs w:val="16"/>
              </w:rPr>
              <w:t>0.32</w:t>
            </w:r>
          </w:p>
        </w:tc>
        <w:tc>
          <w:tcPr>
            <w:tcW w:w="581" w:type="dxa"/>
            <w:tcBorders>
              <w:top w:val="nil"/>
              <w:left w:val="single" w:sz="4" w:space="0" w:color="auto"/>
              <w:bottom w:val="nil"/>
              <w:right w:val="nil"/>
            </w:tcBorders>
            <w:shd w:val="clear" w:color="auto" w:fill="auto"/>
            <w:noWrap/>
            <w:vAlign w:val="bottom"/>
            <w:hideMark/>
          </w:tcPr>
          <w:p w14:paraId="7E3D934D"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0.30</w:t>
            </w:r>
          </w:p>
        </w:tc>
        <w:tc>
          <w:tcPr>
            <w:tcW w:w="581" w:type="dxa"/>
            <w:tcBorders>
              <w:top w:val="nil"/>
              <w:left w:val="single" w:sz="4" w:space="0" w:color="auto"/>
              <w:bottom w:val="nil"/>
              <w:right w:val="nil"/>
            </w:tcBorders>
            <w:shd w:val="clear" w:color="auto" w:fill="auto"/>
            <w:noWrap/>
            <w:vAlign w:val="bottom"/>
            <w:hideMark/>
          </w:tcPr>
          <w:p w14:paraId="1B48FDFE"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0.33</w:t>
            </w:r>
          </w:p>
        </w:tc>
        <w:tc>
          <w:tcPr>
            <w:tcW w:w="581" w:type="dxa"/>
            <w:tcBorders>
              <w:top w:val="nil"/>
              <w:left w:val="single" w:sz="4" w:space="0" w:color="auto"/>
              <w:bottom w:val="nil"/>
              <w:right w:val="nil"/>
            </w:tcBorders>
            <w:shd w:val="clear" w:color="auto" w:fill="auto"/>
            <w:noWrap/>
            <w:hideMark/>
          </w:tcPr>
          <w:p w14:paraId="5A44A70E"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0.33</w:t>
            </w:r>
          </w:p>
        </w:tc>
        <w:tc>
          <w:tcPr>
            <w:tcW w:w="581" w:type="dxa"/>
            <w:tcBorders>
              <w:top w:val="nil"/>
              <w:left w:val="nil"/>
              <w:bottom w:val="nil"/>
              <w:right w:val="nil"/>
            </w:tcBorders>
            <w:shd w:val="clear" w:color="auto" w:fill="auto"/>
            <w:noWrap/>
            <w:hideMark/>
          </w:tcPr>
          <w:p w14:paraId="16C99D41"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0.34</w:t>
            </w:r>
          </w:p>
        </w:tc>
        <w:tc>
          <w:tcPr>
            <w:tcW w:w="581" w:type="dxa"/>
            <w:tcBorders>
              <w:top w:val="nil"/>
              <w:left w:val="nil"/>
              <w:bottom w:val="nil"/>
              <w:right w:val="nil"/>
            </w:tcBorders>
            <w:shd w:val="clear" w:color="auto" w:fill="auto"/>
            <w:noWrap/>
            <w:hideMark/>
          </w:tcPr>
          <w:p w14:paraId="4FA27FEF"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0.32</w:t>
            </w:r>
          </w:p>
        </w:tc>
        <w:tc>
          <w:tcPr>
            <w:tcW w:w="581" w:type="dxa"/>
            <w:tcBorders>
              <w:top w:val="nil"/>
              <w:left w:val="nil"/>
              <w:bottom w:val="nil"/>
              <w:right w:val="nil"/>
            </w:tcBorders>
            <w:shd w:val="clear" w:color="auto" w:fill="auto"/>
            <w:noWrap/>
            <w:hideMark/>
          </w:tcPr>
          <w:p w14:paraId="2812CBF1"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0.30</w:t>
            </w:r>
          </w:p>
        </w:tc>
        <w:tc>
          <w:tcPr>
            <w:tcW w:w="581" w:type="dxa"/>
            <w:tcBorders>
              <w:top w:val="nil"/>
              <w:left w:val="nil"/>
              <w:bottom w:val="nil"/>
              <w:right w:val="single" w:sz="4" w:space="0" w:color="auto"/>
            </w:tcBorders>
            <w:shd w:val="clear" w:color="auto" w:fill="auto"/>
            <w:noWrap/>
            <w:hideMark/>
          </w:tcPr>
          <w:p w14:paraId="7426A767"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0.33</w:t>
            </w:r>
          </w:p>
        </w:tc>
        <w:tc>
          <w:tcPr>
            <w:tcW w:w="500" w:type="dxa"/>
            <w:tcBorders>
              <w:top w:val="nil"/>
              <w:left w:val="nil"/>
              <w:bottom w:val="nil"/>
              <w:right w:val="nil"/>
            </w:tcBorders>
            <w:shd w:val="clear" w:color="auto" w:fill="auto"/>
            <w:noWrap/>
            <w:hideMark/>
          </w:tcPr>
          <w:p w14:paraId="09F105DE" w14:textId="77777777" w:rsidR="00D924D5" w:rsidRPr="00463D42" w:rsidRDefault="00D924D5" w:rsidP="004127ED">
            <w:pPr>
              <w:spacing w:after="0" w:line="240" w:lineRule="auto"/>
              <w:jc w:val="both"/>
              <w:rPr>
                <w:rFonts w:eastAsia="Times New Roman" w:cstheme="minorHAnsi"/>
                <w:sz w:val="16"/>
                <w:szCs w:val="16"/>
              </w:rPr>
            </w:pPr>
            <w:r w:rsidRPr="00463D42">
              <w:rPr>
                <w:rFonts w:eastAsia="Times New Roman" w:cstheme="minorHAnsi"/>
                <w:sz w:val="16"/>
                <w:szCs w:val="16"/>
              </w:rPr>
              <w:t>1.00</w:t>
            </w:r>
          </w:p>
        </w:tc>
        <w:tc>
          <w:tcPr>
            <w:tcW w:w="500" w:type="dxa"/>
            <w:tcBorders>
              <w:top w:val="nil"/>
              <w:left w:val="nil"/>
              <w:bottom w:val="nil"/>
              <w:right w:val="nil"/>
            </w:tcBorders>
            <w:shd w:val="clear" w:color="auto" w:fill="auto"/>
            <w:noWrap/>
            <w:hideMark/>
          </w:tcPr>
          <w:p w14:paraId="7E7ADB67"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nil"/>
            </w:tcBorders>
            <w:shd w:val="clear" w:color="auto" w:fill="auto"/>
            <w:noWrap/>
            <w:hideMark/>
          </w:tcPr>
          <w:p w14:paraId="4A4002BE"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nil"/>
            </w:tcBorders>
            <w:shd w:val="clear" w:color="auto" w:fill="auto"/>
            <w:noWrap/>
            <w:hideMark/>
          </w:tcPr>
          <w:p w14:paraId="14B60479"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single" w:sz="4" w:space="0" w:color="auto"/>
            </w:tcBorders>
            <w:shd w:val="clear" w:color="auto" w:fill="auto"/>
            <w:noWrap/>
            <w:hideMark/>
          </w:tcPr>
          <w:p w14:paraId="25D65A72"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1000" w:type="dxa"/>
            <w:tcBorders>
              <w:top w:val="nil"/>
              <w:left w:val="nil"/>
              <w:bottom w:val="nil"/>
              <w:right w:val="single" w:sz="4" w:space="0" w:color="auto"/>
            </w:tcBorders>
            <w:shd w:val="clear" w:color="auto" w:fill="auto"/>
            <w:noWrap/>
            <w:hideMark/>
          </w:tcPr>
          <w:p w14:paraId="2B587BA4"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1.000</w:t>
            </w:r>
          </w:p>
        </w:tc>
      </w:tr>
      <w:tr w:rsidR="00D924D5" w:rsidRPr="00463D42" w14:paraId="215C36B6" w14:textId="77777777" w:rsidTr="00463D42">
        <w:trPr>
          <w:trHeight w:val="225"/>
          <w:jc w:val="center"/>
        </w:trPr>
        <w:tc>
          <w:tcPr>
            <w:tcW w:w="1620" w:type="dxa"/>
            <w:tcBorders>
              <w:top w:val="single" w:sz="4" w:space="0" w:color="auto"/>
              <w:left w:val="single" w:sz="4" w:space="0" w:color="auto"/>
              <w:bottom w:val="single" w:sz="4" w:space="0" w:color="auto"/>
              <w:right w:val="nil"/>
            </w:tcBorders>
            <w:shd w:val="clear" w:color="auto" w:fill="auto"/>
            <w:noWrap/>
            <w:hideMark/>
          </w:tcPr>
          <w:p w14:paraId="23E380CC" w14:textId="77777777" w:rsidR="00D924D5" w:rsidRPr="00463D42" w:rsidRDefault="00D924D5" w:rsidP="004127ED">
            <w:pPr>
              <w:spacing w:after="0" w:line="240" w:lineRule="auto"/>
              <w:jc w:val="both"/>
              <w:rPr>
                <w:rFonts w:eastAsia="Times New Roman" w:cstheme="minorHAnsi"/>
                <w:b/>
                <w:bCs/>
                <w:color w:val="000000"/>
                <w:sz w:val="16"/>
                <w:szCs w:val="16"/>
              </w:rPr>
            </w:pPr>
            <w:r w:rsidRPr="00463D42">
              <w:rPr>
                <w:rFonts w:eastAsia="Times New Roman" w:cstheme="minorHAnsi"/>
                <w:b/>
                <w:bCs/>
                <w:color w:val="000000"/>
                <w:sz w:val="16"/>
                <w:szCs w:val="16"/>
              </w:rPr>
              <w:t>Outcomes</w:t>
            </w:r>
          </w:p>
        </w:tc>
        <w:tc>
          <w:tcPr>
            <w:tcW w:w="3057"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14:paraId="69D0E427"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 </w:t>
            </w:r>
          </w:p>
        </w:tc>
        <w:tc>
          <w:tcPr>
            <w:tcW w:w="2905" w:type="dxa"/>
            <w:gridSpan w:val="5"/>
            <w:tcBorders>
              <w:top w:val="single" w:sz="4" w:space="0" w:color="auto"/>
              <w:left w:val="nil"/>
              <w:bottom w:val="single" w:sz="4" w:space="0" w:color="auto"/>
              <w:right w:val="single" w:sz="4" w:space="0" w:color="000000"/>
            </w:tcBorders>
            <w:shd w:val="clear" w:color="auto" w:fill="auto"/>
            <w:noWrap/>
            <w:hideMark/>
          </w:tcPr>
          <w:p w14:paraId="0DCDA867"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 </w:t>
            </w:r>
          </w:p>
        </w:tc>
        <w:tc>
          <w:tcPr>
            <w:tcW w:w="2500" w:type="dxa"/>
            <w:gridSpan w:val="5"/>
            <w:tcBorders>
              <w:top w:val="single" w:sz="4" w:space="0" w:color="auto"/>
              <w:left w:val="nil"/>
              <w:bottom w:val="single" w:sz="4" w:space="0" w:color="auto"/>
              <w:right w:val="single" w:sz="4" w:space="0" w:color="000000"/>
            </w:tcBorders>
            <w:shd w:val="clear" w:color="auto" w:fill="auto"/>
            <w:noWrap/>
            <w:hideMark/>
          </w:tcPr>
          <w:p w14:paraId="25C2310A" w14:textId="77777777" w:rsidR="00D924D5" w:rsidRPr="00463D42" w:rsidRDefault="00D924D5" w:rsidP="004127ED">
            <w:pPr>
              <w:spacing w:after="0" w:line="240" w:lineRule="auto"/>
              <w:jc w:val="both"/>
              <w:rPr>
                <w:rFonts w:eastAsia="Times New Roman" w:cstheme="minorHAnsi"/>
                <w:sz w:val="16"/>
                <w:szCs w:val="16"/>
              </w:rPr>
            </w:pPr>
            <w:r w:rsidRPr="00463D42">
              <w:rPr>
                <w:rFonts w:eastAsia="Times New Roman" w:cstheme="minorHAnsi"/>
                <w:sz w:val="16"/>
                <w:szCs w:val="16"/>
              </w:rPr>
              <w:t> </w:t>
            </w:r>
          </w:p>
        </w:tc>
        <w:tc>
          <w:tcPr>
            <w:tcW w:w="1000" w:type="dxa"/>
            <w:tcBorders>
              <w:top w:val="single" w:sz="4" w:space="0" w:color="auto"/>
              <w:left w:val="nil"/>
              <w:bottom w:val="single" w:sz="4" w:space="0" w:color="auto"/>
              <w:right w:val="single" w:sz="4" w:space="0" w:color="auto"/>
            </w:tcBorders>
            <w:shd w:val="clear" w:color="auto" w:fill="auto"/>
            <w:noWrap/>
            <w:hideMark/>
          </w:tcPr>
          <w:p w14:paraId="25E01A43" w14:textId="77777777" w:rsidR="00D924D5" w:rsidRPr="00463D42" w:rsidRDefault="00D924D5" w:rsidP="004127ED">
            <w:pPr>
              <w:spacing w:after="0" w:line="240" w:lineRule="auto"/>
              <w:jc w:val="both"/>
              <w:rPr>
                <w:rFonts w:eastAsia="Times New Roman" w:cstheme="minorHAnsi"/>
                <w:color w:val="4F81BD"/>
                <w:sz w:val="16"/>
                <w:szCs w:val="16"/>
              </w:rPr>
            </w:pPr>
            <w:r w:rsidRPr="00463D42">
              <w:rPr>
                <w:rFonts w:eastAsia="Times New Roman" w:cstheme="minorHAnsi"/>
                <w:color w:val="4F81BD"/>
                <w:sz w:val="16"/>
                <w:szCs w:val="16"/>
              </w:rPr>
              <w:t> </w:t>
            </w:r>
          </w:p>
        </w:tc>
      </w:tr>
      <w:tr w:rsidR="00D924D5" w:rsidRPr="00463D42" w14:paraId="25A6DD5E" w14:textId="77777777" w:rsidTr="00463D42">
        <w:trPr>
          <w:trHeight w:val="225"/>
          <w:jc w:val="center"/>
        </w:trPr>
        <w:tc>
          <w:tcPr>
            <w:tcW w:w="1620" w:type="dxa"/>
            <w:tcBorders>
              <w:top w:val="nil"/>
              <w:left w:val="single" w:sz="4" w:space="0" w:color="auto"/>
              <w:bottom w:val="nil"/>
              <w:right w:val="nil"/>
            </w:tcBorders>
            <w:shd w:val="clear" w:color="auto" w:fill="auto"/>
            <w:noWrap/>
            <w:hideMark/>
          </w:tcPr>
          <w:p w14:paraId="69ABAAB3"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Mortality at 30 Days</w:t>
            </w:r>
          </w:p>
        </w:tc>
        <w:tc>
          <w:tcPr>
            <w:tcW w:w="657" w:type="dxa"/>
            <w:tcBorders>
              <w:top w:val="nil"/>
              <w:left w:val="single" w:sz="4" w:space="0" w:color="auto"/>
              <w:bottom w:val="nil"/>
              <w:right w:val="nil"/>
            </w:tcBorders>
            <w:shd w:val="clear" w:color="auto" w:fill="auto"/>
            <w:hideMark/>
          </w:tcPr>
          <w:p w14:paraId="79C072E9"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0.03</w:t>
            </w:r>
          </w:p>
        </w:tc>
        <w:tc>
          <w:tcPr>
            <w:tcW w:w="657" w:type="dxa"/>
            <w:tcBorders>
              <w:top w:val="nil"/>
              <w:left w:val="nil"/>
              <w:bottom w:val="nil"/>
              <w:right w:val="nil"/>
            </w:tcBorders>
            <w:shd w:val="clear" w:color="auto" w:fill="auto"/>
            <w:hideMark/>
          </w:tcPr>
          <w:p w14:paraId="67054556"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0.02</w:t>
            </w:r>
          </w:p>
        </w:tc>
        <w:tc>
          <w:tcPr>
            <w:tcW w:w="581" w:type="dxa"/>
            <w:tcBorders>
              <w:top w:val="nil"/>
              <w:left w:val="nil"/>
              <w:bottom w:val="nil"/>
              <w:right w:val="nil"/>
            </w:tcBorders>
            <w:shd w:val="clear" w:color="auto" w:fill="auto"/>
            <w:noWrap/>
            <w:hideMark/>
          </w:tcPr>
          <w:p w14:paraId="5041D546"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0.02</w:t>
            </w:r>
          </w:p>
        </w:tc>
        <w:tc>
          <w:tcPr>
            <w:tcW w:w="581" w:type="dxa"/>
            <w:tcBorders>
              <w:top w:val="nil"/>
              <w:left w:val="nil"/>
              <w:bottom w:val="nil"/>
              <w:right w:val="nil"/>
            </w:tcBorders>
            <w:shd w:val="clear" w:color="auto" w:fill="auto"/>
            <w:noWrap/>
            <w:hideMark/>
          </w:tcPr>
          <w:p w14:paraId="089FC0E4"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0.02</w:t>
            </w:r>
          </w:p>
        </w:tc>
        <w:tc>
          <w:tcPr>
            <w:tcW w:w="581" w:type="dxa"/>
            <w:tcBorders>
              <w:top w:val="nil"/>
              <w:left w:val="nil"/>
              <w:bottom w:val="nil"/>
              <w:right w:val="single" w:sz="4" w:space="0" w:color="auto"/>
            </w:tcBorders>
            <w:shd w:val="clear" w:color="auto" w:fill="auto"/>
            <w:noWrap/>
            <w:hideMark/>
          </w:tcPr>
          <w:p w14:paraId="73B791DD"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0.03</w:t>
            </w:r>
          </w:p>
        </w:tc>
        <w:tc>
          <w:tcPr>
            <w:tcW w:w="581" w:type="dxa"/>
            <w:tcBorders>
              <w:top w:val="nil"/>
              <w:left w:val="nil"/>
              <w:bottom w:val="nil"/>
              <w:right w:val="nil"/>
            </w:tcBorders>
            <w:shd w:val="clear" w:color="auto" w:fill="auto"/>
            <w:noWrap/>
            <w:hideMark/>
          </w:tcPr>
          <w:p w14:paraId="6463BD79"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0.03</w:t>
            </w:r>
          </w:p>
        </w:tc>
        <w:tc>
          <w:tcPr>
            <w:tcW w:w="581" w:type="dxa"/>
            <w:tcBorders>
              <w:top w:val="nil"/>
              <w:left w:val="nil"/>
              <w:bottom w:val="nil"/>
              <w:right w:val="nil"/>
            </w:tcBorders>
            <w:shd w:val="clear" w:color="auto" w:fill="auto"/>
            <w:noWrap/>
            <w:hideMark/>
          </w:tcPr>
          <w:p w14:paraId="6168C444"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0.02</w:t>
            </w:r>
          </w:p>
        </w:tc>
        <w:tc>
          <w:tcPr>
            <w:tcW w:w="581" w:type="dxa"/>
            <w:tcBorders>
              <w:top w:val="nil"/>
              <w:left w:val="nil"/>
              <w:bottom w:val="nil"/>
              <w:right w:val="nil"/>
            </w:tcBorders>
            <w:shd w:val="clear" w:color="auto" w:fill="auto"/>
            <w:noWrap/>
            <w:hideMark/>
          </w:tcPr>
          <w:p w14:paraId="0B3E4178"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0.02</w:t>
            </w:r>
          </w:p>
        </w:tc>
        <w:tc>
          <w:tcPr>
            <w:tcW w:w="581" w:type="dxa"/>
            <w:tcBorders>
              <w:top w:val="nil"/>
              <w:left w:val="nil"/>
              <w:bottom w:val="nil"/>
              <w:right w:val="nil"/>
            </w:tcBorders>
            <w:shd w:val="clear" w:color="auto" w:fill="auto"/>
            <w:noWrap/>
            <w:hideMark/>
          </w:tcPr>
          <w:p w14:paraId="6E62471F"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0.02</w:t>
            </w:r>
          </w:p>
        </w:tc>
        <w:tc>
          <w:tcPr>
            <w:tcW w:w="581" w:type="dxa"/>
            <w:tcBorders>
              <w:top w:val="nil"/>
              <w:left w:val="nil"/>
              <w:bottom w:val="nil"/>
              <w:right w:val="single" w:sz="4" w:space="0" w:color="auto"/>
            </w:tcBorders>
            <w:shd w:val="clear" w:color="auto" w:fill="auto"/>
            <w:noWrap/>
            <w:hideMark/>
          </w:tcPr>
          <w:p w14:paraId="4B4F68BF"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0.03</w:t>
            </w:r>
          </w:p>
        </w:tc>
        <w:tc>
          <w:tcPr>
            <w:tcW w:w="500" w:type="dxa"/>
            <w:tcBorders>
              <w:top w:val="nil"/>
              <w:left w:val="nil"/>
              <w:bottom w:val="nil"/>
              <w:right w:val="nil"/>
            </w:tcBorders>
            <w:shd w:val="clear" w:color="auto" w:fill="auto"/>
            <w:noWrap/>
            <w:hideMark/>
          </w:tcPr>
          <w:p w14:paraId="40724439"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nil"/>
            </w:tcBorders>
            <w:shd w:val="clear" w:color="auto" w:fill="auto"/>
            <w:noWrap/>
            <w:hideMark/>
          </w:tcPr>
          <w:p w14:paraId="7AB01A91"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nil"/>
            </w:tcBorders>
            <w:shd w:val="clear" w:color="auto" w:fill="auto"/>
            <w:noWrap/>
            <w:hideMark/>
          </w:tcPr>
          <w:p w14:paraId="50F8210A"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nil"/>
            </w:tcBorders>
            <w:shd w:val="clear" w:color="auto" w:fill="auto"/>
            <w:noWrap/>
            <w:hideMark/>
          </w:tcPr>
          <w:p w14:paraId="5A1859EB" w14:textId="77777777" w:rsidR="00D924D5" w:rsidRPr="00463D42" w:rsidRDefault="00D924D5" w:rsidP="004127ED">
            <w:pPr>
              <w:spacing w:after="0" w:line="240" w:lineRule="auto"/>
              <w:jc w:val="both"/>
              <w:rPr>
                <w:rFonts w:eastAsia="Times New Roman" w:cstheme="minorHAnsi"/>
                <w:sz w:val="16"/>
                <w:szCs w:val="16"/>
              </w:rPr>
            </w:pPr>
            <w:r w:rsidRPr="00463D42">
              <w:rPr>
                <w:rFonts w:eastAsia="Times New Roman" w:cstheme="minorHAnsi"/>
                <w:sz w:val="16"/>
                <w:szCs w:val="16"/>
              </w:rPr>
              <w:t>1.00</w:t>
            </w:r>
          </w:p>
        </w:tc>
        <w:tc>
          <w:tcPr>
            <w:tcW w:w="500" w:type="dxa"/>
            <w:tcBorders>
              <w:top w:val="nil"/>
              <w:left w:val="nil"/>
              <w:bottom w:val="nil"/>
              <w:right w:val="single" w:sz="4" w:space="0" w:color="auto"/>
            </w:tcBorders>
            <w:shd w:val="clear" w:color="auto" w:fill="auto"/>
            <w:noWrap/>
            <w:hideMark/>
          </w:tcPr>
          <w:p w14:paraId="733E6BAD"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1000" w:type="dxa"/>
            <w:tcBorders>
              <w:top w:val="nil"/>
              <w:left w:val="nil"/>
              <w:bottom w:val="nil"/>
              <w:right w:val="single" w:sz="4" w:space="0" w:color="auto"/>
            </w:tcBorders>
            <w:shd w:val="clear" w:color="auto" w:fill="auto"/>
            <w:noWrap/>
            <w:hideMark/>
          </w:tcPr>
          <w:p w14:paraId="3CB5CDD9" w14:textId="77777777" w:rsidR="00D924D5" w:rsidRPr="00463D42" w:rsidRDefault="00D924D5" w:rsidP="004127ED">
            <w:pPr>
              <w:spacing w:after="0" w:line="240" w:lineRule="auto"/>
              <w:jc w:val="both"/>
              <w:rPr>
                <w:rFonts w:eastAsia="Times New Roman" w:cstheme="minorHAnsi"/>
                <w:sz w:val="16"/>
                <w:szCs w:val="16"/>
              </w:rPr>
            </w:pPr>
            <w:r w:rsidRPr="00463D42">
              <w:rPr>
                <w:rFonts w:eastAsia="Times New Roman" w:cstheme="minorHAnsi"/>
                <w:sz w:val="16"/>
                <w:szCs w:val="16"/>
              </w:rPr>
              <w:t>1.000</w:t>
            </w:r>
          </w:p>
        </w:tc>
      </w:tr>
      <w:tr w:rsidR="00D924D5" w:rsidRPr="00463D42" w14:paraId="2B9582DE" w14:textId="77777777" w:rsidTr="00463D42">
        <w:trPr>
          <w:trHeight w:val="225"/>
          <w:jc w:val="center"/>
        </w:trPr>
        <w:tc>
          <w:tcPr>
            <w:tcW w:w="1620" w:type="dxa"/>
            <w:tcBorders>
              <w:top w:val="nil"/>
              <w:left w:val="single" w:sz="4" w:space="0" w:color="auto"/>
              <w:bottom w:val="nil"/>
              <w:right w:val="nil"/>
            </w:tcBorders>
            <w:shd w:val="clear" w:color="auto" w:fill="auto"/>
            <w:noWrap/>
            <w:hideMark/>
          </w:tcPr>
          <w:p w14:paraId="0D872955"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Reoperation</w:t>
            </w:r>
          </w:p>
        </w:tc>
        <w:tc>
          <w:tcPr>
            <w:tcW w:w="657" w:type="dxa"/>
            <w:tcBorders>
              <w:top w:val="nil"/>
              <w:left w:val="single" w:sz="4" w:space="0" w:color="auto"/>
              <w:bottom w:val="nil"/>
              <w:right w:val="nil"/>
            </w:tcBorders>
            <w:shd w:val="clear" w:color="auto" w:fill="auto"/>
            <w:hideMark/>
          </w:tcPr>
          <w:p w14:paraId="15494E9D"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0.03</w:t>
            </w:r>
          </w:p>
        </w:tc>
        <w:tc>
          <w:tcPr>
            <w:tcW w:w="657" w:type="dxa"/>
            <w:tcBorders>
              <w:top w:val="nil"/>
              <w:left w:val="nil"/>
              <w:bottom w:val="nil"/>
              <w:right w:val="nil"/>
            </w:tcBorders>
            <w:shd w:val="clear" w:color="auto" w:fill="auto"/>
            <w:hideMark/>
          </w:tcPr>
          <w:p w14:paraId="3859A15F"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0.02</w:t>
            </w:r>
          </w:p>
        </w:tc>
        <w:tc>
          <w:tcPr>
            <w:tcW w:w="581" w:type="dxa"/>
            <w:tcBorders>
              <w:top w:val="nil"/>
              <w:left w:val="nil"/>
              <w:bottom w:val="nil"/>
              <w:right w:val="nil"/>
            </w:tcBorders>
            <w:shd w:val="clear" w:color="auto" w:fill="auto"/>
            <w:noWrap/>
            <w:hideMark/>
          </w:tcPr>
          <w:p w14:paraId="61908629"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0.04</w:t>
            </w:r>
          </w:p>
        </w:tc>
        <w:tc>
          <w:tcPr>
            <w:tcW w:w="581" w:type="dxa"/>
            <w:tcBorders>
              <w:top w:val="nil"/>
              <w:left w:val="nil"/>
              <w:bottom w:val="nil"/>
              <w:right w:val="nil"/>
            </w:tcBorders>
            <w:shd w:val="clear" w:color="auto" w:fill="auto"/>
            <w:noWrap/>
            <w:hideMark/>
          </w:tcPr>
          <w:p w14:paraId="0077CC22"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0.03</w:t>
            </w:r>
          </w:p>
        </w:tc>
        <w:tc>
          <w:tcPr>
            <w:tcW w:w="581" w:type="dxa"/>
            <w:tcBorders>
              <w:top w:val="nil"/>
              <w:left w:val="nil"/>
              <w:bottom w:val="nil"/>
              <w:right w:val="single" w:sz="4" w:space="0" w:color="auto"/>
            </w:tcBorders>
            <w:shd w:val="clear" w:color="auto" w:fill="auto"/>
            <w:noWrap/>
            <w:hideMark/>
          </w:tcPr>
          <w:p w14:paraId="0EDEE3C9"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0.02</w:t>
            </w:r>
          </w:p>
        </w:tc>
        <w:tc>
          <w:tcPr>
            <w:tcW w:w="581" w:type="dxa"/>
            <w:tcBorders>
              <w:top w:val="nil"/>
              <w:left w:val="nil"/>
              <w:bottom w:val="nil"/>
              <w:right w:val="nil"/>
            </w:tcBorders>
            <w:shd w:val="clear" w:color="auto" w:fill="auto"/>
            <w:noWrap/>
            <w:hideMark/>
          </w:tcPr>
          <w:p w14:paraId="17D548AD"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0.03</w:t>
            </w:r>
          </w:p>
        </w:tc>
        <w:tc>
          <w:tcPr>
            <w:tcW w:w="581" w:type="dxa"/>
            <w:tcBorders>
              <w:top w:val="nil"/>
              <w:left w:val="nil"/>
              <w:bottom w:val="nil"/>
              <w:right w:val="nil"/>
            </w:tcBorders>
            <w:shd w:val="clear" w:color="auto" w:fill="auto"/>
            <w:noWrap/>
            <w:hideMark/>
          </w:tcPr>
          <w:p w14:paraId="6C51CBBB"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0.02</w:t>
            </w:r>
          </w:p>
        </w:tc>
        <w:tc>
          <w:tcPr>
            <w:tcW w:w="581" w:type="dxa"/>
            <w:tcBorders>
              <w:top w:val="nil"/>
              <w:left w:val="nil"/>
              <w:bottom w:val="nil"/>
              <w:right w:val="nil"/>
            </w:tcBorders>
            <w:shd w:val="clear" w:color="auto" w:fill="auto"/>
            <w:noWrap/>
            <w:hideMark/>
          </w:tcPr>
          <w:p w14:paraId="1901B3F1"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0.04</w:t>
            </w:r>
          </w:p>
        </w:tc>
        <w:tc>
          <w:tcPr>
            <w:tcW w:w="581" w:type="dxa"/>
            <w:tcBorders>
              <w:top w:val="nil"/>
              <w:left w:val="nil"/>
              <w:bottom w:val="nil"/>
              <w:right w:val="nil"/>
            </w:tcBorders>
            <w:shd w:val="clear" w:color="auto" w:fill="auto"/>
            <w:noWrap/>
            <w:hideMark/>
          </w:tcPr>
          <w:p w14:paraId="7160EF1A"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0.03</w:t>
            </w:r>
          </w:p>
        </w:tc>
        <w:tc>
          <w:tcPr>
            <w:tcW w:w="581" w:type="dxa"/>
            <w:tcBorders>
              <w:top w:val="nil"/>
              <w:left w:val="nil"/>
              <w:bottom w:val="nil"/>
              <w:right w:val="single" w:sz="4" w:space="0" w:color="auto"/>
            </w:tcBorders>
            <w:shd w:val="clear" w:color="auto" w:fill="auto"/>
            <w:noWrap/>
            <w:hideMark/>
          </w:tcPr>
          <w:p w14:paraId="2EC1AE62"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0.02</w:t>
            </w:r>
          </w:p>
        </w:tc>
        <w:tc>
          <w:tcPr>
            <w:tcW w:w="500" w:type="dxa"/>
            <w:tcBorders>
              <w:top w:val="nil"/>
              <w:left w:val="nil"/>
              <w:bottom w:val="nil"/>
              <w:right w:val="nil"/>
            </w:tcBorders>
            <w:shd w:val="clear" w:color="auto" w:fill="auto"/>
            <w:noWrap/>
            <w:hideMark/>
          </w:tcPr>
          <w:p w14:paraId="574BBBD8"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nil"/>
            </w:tcBorders>
            <w:shd w:val="clear" w:color="auto" w:fill="auto"/>
            <w:noWrap/>
            <w:hideMark/>
          </w:tcPr>
          <w:p w14:paraId="0F7229EF"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nil"/>
            </w:tcBorders>
            <w:shd w:val="clear" w:color="auto" w:fill="auto"/>
            <w:noWrap/>
            <w:hideMark/>
          </w:tcPr>
          <w:p w14:paraId="29BF6ED9"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nil"/>
              <w:right w:val="nil"/>
            </w:tcBorders>
            <w:shd w:val="clear" w:color="auto" w:fill="auto"/>
            <w:noWrap/>
            <w:hideMark/>
          </w:tcPr>
          <w:p w14:paraId="300C3713" w14:textId="77777777" w:rsidR="00D924D5" w:rsidRPr="00463D42" w:rsidRDefault="00D924D5" w:rsidP="004127ED">
            <w:pPr>
              <w:spacing w:after="0" w:line="240" w:lineRule="auto"/>
              <w:jc w:val="both"/>
              <w:rPr>
                <w:rFonts w:eastAsia="Times New Roman" w:cstheme="minorHAnsi"/>
                <w:sz w:val="16"/>
                <w:szCs w:val="16"/>
              </w:rPr>
            </w:pPr>
            <w:r w:rsidRPr="00463D42">
              <w:rPr>
                <w:rFonts w:eastAsia="Times New Roman" w:cstheme="minorHAnsi"/>
                <w:sz w:val="16"/>
                <w:szCs w:val="16"/>
              </w:rPr>
              <w:t>1.00</w:t>
            </w:r>
          </w:p>
        </w:tc>
        <w:tc>
          <w:tcPr>
            <w:tcW w:w="500" w:type="dxa"/>
            <w:tcBorders>
              <w:top w:val="nil"/>
              <w:left w:val="nil"/>
              <w:bottom w:val="nil"/>
              <w:right w:val="single" w:sz="4" w:space="0" w:color="auto"/>
            </w:tcBorders>
            <w:shd w:val="clear" w:color="auto" w:fill="auto"/>
            <w:noWrap/>
            <w:hideMark/>
          </w:tcPr>
          <w:p w14:paraId="5FA9AF3D"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1000" w:type="dxa"/>
            <w:tcBorders>
              <w:top w:val="nil"/>
              <w:left w:val="nil"/>
              <w:bottom w:val="nil"/>
              <w:right w:val="single" w:sz="4" w:space="0" w:color="auto"/>
            </w:tcBorders>
            <w:shd w:val="clear" w:color="auto" w:fill="auto"/>
            <w:noWrap/>
            <w:hideMark/>
          </w:tcPr>
          <w:p w14:paraId="0BB4A11D" w14:textId="77777777" w:rsidR="00D924D5" w:rsidRPr="00463D42" w:rsidRDefault="00D924D5" w:rsidP="004127ED">
            <w:pPr>
              <w:spacing w:after="0" w:line="240" w:lineRule="auto"/>
              <w:jc w:val="both"/>
              <w:rPr>
                <w:rFonts w:eastAsia="Times New Roman" w:cstheme="minorHAnsi"/>
                <w:sz w:val="16"/>
                <w:szCs w:val="16"/>
              </w:rPr>
            </w:pPr>
            <w:r w:rsidRPr="00463D42">
              <w:rPr>
                <w:rFonts w:eastAsia="Times New Roman" w:cstheme="minorHAnsi"/>
                <w:sz w:val="16"/>
                <w:szCs w:val="16"/>
              </w:rPr>
              <w:t>1.000</w:t>
            </w:r>
          </w:p>
        </w:tc>
      </w:tr>
      <w:tr w:rsidR="00D924D5" w:rsidRPr="00463D42" w14:paraId="07A0748C" w14:textId="77777777" w:rsidTr="00463D42">
        <w:trPr>
          <w:trHeight w:val="225"/>
          <w:jc w:val="center"/>
        </w:trPr>
        <w:tc>
          <w:tcPr>
            <w:tcW w:w="1620" w:type="dxa"/>
            <w:tcBorders>
              <w:top w:val="nil"/>
              <w:left w:val="single" w:sz="4" w:space="0" w:color="auto"/>
              <w:bottom w:val="single" w:sz="4" w:space="0" w:color="auto"/>
              <w:right w:val="nil"/>
            </w:tcBorders>
            <w:shd w:val="clear" w:color="auto" w:fill="auto"/>
            <w:noWrap/>
            <w:hideMark/>
          </w:tcPr>
          <w:p w14:paraId="21CA545E"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Readmission</w:t>
            </w:r>
          </w:p>
        </w:tc>
        <w:tc>
          <w:tcPr>
            <w:tcW w:w="657" w:type="dxa"/>
            <w:tcBorders>
              <w:top w:val="nil"/>
              <w:left w:val="single" w:sz="4" w:space="0" w:color="auto"/>
              <w:bottom w:val="single" w:sz="4" w:space="0" w:color="auto"/>
              <w:right w:val="nil"/>
            </w:tcBorders>
            <w:shd w:val="clear" w:color="auto" w:fill="auto"/>
            <w:hideMark/>
          </w:tcPr>
          <w:p w14:paraId="6A136C31"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0.02</w:t>
            </w:r>
          </w:p>
        </w:tc>
        <w:tc>
          <w:tcPr>
            <w:tcW w:w="657" w:type="dxa"/>
            <w:tcBorders>
              <w:top w:val="nil"/>
              <w:left w:val="nil"/>
              <w:bottom w:val="single" w:sz="4" w:space="0" w:color="auto"/>
              <w:right w:val="nil"/>
            </w:tcBorders>
            <w:shd w:val="clear" w:color="auto" w:fill="auto"/>
            <w:hideMark/>
          </w:tcPr>
          <w:p w14:paraId="062A9009"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0.04</w:t>
            </w:r>
          </w:p>
        </w:tc>
        <w:tc>
          <w:tcPr>
            <w:tcW w:w="581" w:type="dxa"/>
            <w:tcBorders>
              <w:top w:val="nil"/>
              <w:left w:val="nil"/>
              <w:bottom w:val="single" w:sz="4" w:space="0" w:color="auto"/>
              <w:right w:val="nil"/>
            </w:tcBorders>
            <w:shd w:val="clear" w:color="auto" w:fill="auto"/>
            <w:noWrap/>
            <w:hideMark/>
          </w:tcPr>
          <w:p w14:paraId="29E462E4"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0.02</w:t>
            </w:r>
          </w:p>
        </w:tc>
        <w:tc>
          <w:tcPr>
            <w:tcW w:w="581" w:type="dxa"/>
            <w:tcBorders>
              <w:top w:val="nil"/>
              <w:left w:val="nil"/>
              <w:bottom w:val="single" w:sz="4" w:space="0" w:color="auto"/>
              <w:right w:val="nil"/>
            </w:tcBorders>
            <w:shd w:val="clear" w:color="auto" w:fill="auto"/>
            <w:noWrap/>
            <w:hideMark/>
          </w:tcPr>
          <w:p w14:paraId="39B29274"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0.01</w:t>
            </w:r>
          </w:p>
        </w:tc>
        <w:tc>
          <w:tcPr>
            <w:tcW w:w="581" w:type="dxa"/>
            <w:tcBorders>
              <w:top w:val="nil"/>
              <w:left w:val="nil"/>
              <w:bottom w:val="single" w:sz="4" w:space="0" w:color="auto"/>
              <w:right w:val="single" w:sz="4" w:space="0" w:color="auto"/>
            </w:tcBorders>
            <w:shd w:val="clear" w:color="auto" w:fill="auto"/>
            <w:noWrap/>
            <w:hideMark/>
          </w:tcPr>
          <w:p w14:paraId="12A94CE0"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0.03</w:t>
            </w:r>
          </w:p>
        </w:tc>
        <w:tc>
          <w:tcPr>
            <w:tcW w:w="581" w:type="dxa"/>
            <w:tcBorders>
              <w:top w:val="nil"/>
              <w:left w:val="nil"/>
              <w:bottom w:val="single" w:sz="4" w:space="0" w:color="auto"/>
              <w:right w:val="nil"/>
            </w:tcBorders>
            <w:shd w:val="clear" w:color="auto" w:fill="auto"/>
            <w:noWrap/>
            <w:hideMark/>
          </w:tcPr>
          <w:p w14:paraId="03F6F3F6"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0.02</w:t>
            </w:r>
          </w:p>
        </w:tc>
        <w:tc>
          <w:tcPr>
            <w:tcW w:w="581" w:type="dxa"/>
            <w:tcBorders>
              <w:top w:val="nil"/>
              <w:left w:val="nil"/>
              <w:bottom w:val="single" w:sz="4" w:space="0" w:color="auto"/>
              <w:right w:val="nil"/>
            </w:tcBorders>
            <w:shd w:val="clear" w:color="auto" w:fill="auto"/>
            <w:noWrap/>
            <w:hideMark/>
          </w:tcPr>
          <w:p w14:paraId="33F9DBE4"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0.04</w:t>
            </w:r>
          </w:p>
        </w:tc>
        <w:tc>
          <w:tcPr>
            <w:tcW w:w="581" w:type="dxa"/>
            <w:tcBorders>
              <w:top w:val="nil"/>
              <w:left w:val="nil"/>
              <w:bottom w:val="single" w:sz="4" w:space="0" w:color="auto"/>
              <w:right w:val="nil"/>
            </w:tcBorders>
            <w:shd w:val="clear" w:color="auto" w:fill="auto"/>
            <w:noWrap/>
            <w:hideMark/>
          </w:tcPr>
          <w:p w14:paraId="13758429"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0.02</w:t>
            </w:r>
          </w:p>
        </w:tc>
        <w:tc>
          <w:tcPr>
            <w:tcW w:w="581" w:type="dxa"/>
            <w:tcBorders>
              <w:top w:val="nil"/>
              <w:left w:val="nil"/>
              <w:bottom w:val="single" w:sz="4" w:space="0" w:color="auto"/>
              <w:right w:val="nil"/>
            </w:tcBorders>
            <w:shd w:val="clear" w:color="auto" w:fill="auto"/>
            <w:noWrap/>
            <w:hideMark/>
          </w:tcPr>
          <w:p w14:paraId="1E5BD391"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0.01</w:t>
            </w:r>
          </w:p>
        </w:tc>
        <w:tc>
          <w:tcPr>
            <w:tcW w:w="581" w:type="dxa"/>
            <w:tcBorders>
              <w:top w:val="nil"/>
              <w:left w:val="nil"/>
              <w:bottom w:val="single" w:sz="4" w:space="0" w:color="auto"/>
              <w:right w:val="single" w:sz="4" w:space="0" w:color="auto"/>
            </w:tcBorders>
            <w:shd w:val="clear" w:color="auto" w:fill="auto"/>
            <w:noWrap/>
            <w:hideMark/>
          </w:tcPr>
          <w:p w14:paraId="43D01DC5"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0.03</w:t>
            </w:r>
          </w:p>
        </w:tc>
        <w:tc>
          <w:tcPr>
            <w:tcW w:w="500" w:type="dxa"/>
            <w:tcBorders>
              <w:top w:val="nil"/>
              <w:left w:val="nil"/>
              <w:bottom w:val="single" w:sz="4" w:space="0" w:color="auto"/>
              <w:right w:val="nil"/>
            </w:tcBorders>
            <w:shd w:val="clear" w:color="auto" w:fill="auto"/>
            <w:noWrap/>
            <w:hideMark/>
          </w:tcPr>
          <w:p w14:paraId="2212DBF8"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single" w:sz="4" w:space="0" w:color="auto"/>
              <w:right w:val="nil"/>
            </w:tcBorders>
            <w:shd w:val="clear" w:color="auto" w:fill="auto"/>
            <w:noWrap/>
            <w:hideMark/>
          </w:tcPr>
          <w:p w14:paraId="488D84EC"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single" w:sz="4" w:space="0" w:color="auto"/>
              <w:right w:val="nil"/>
            </w:tcBorders>
            <w:shd w:val="clear" w:color="auto" w:fill="auto"/>
            <w:noWrap/>
            <w:hideMark/>
          </w:tcPr>
          <w:p w14:paraId="783124AD"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500" w:type="dxa"/>
            <w:tcBorders>
              <w:top w:val="nil"/>
              <w:left w:val="nil"/>
              <w:bottom w:val="single" w:sz="4" w:space="0" w:color="auto"/>
              <w:right w:val="nil"/>
            </w:tcBorders>
            <w:shd w:val="clear" w:color="auto" w:fill="auto"/>
            <w:noWrap/>
            <w:hideMark/>
          </w:tcPr>
          <w:p w14:paraId="105903FA" w14:textId="77777777" w:rsidR="00D924D5" w:rsidRPr="00463D42" w:rsidRDefault="00D924D5" w:rsidP="004127ED">
            <w:pPr>
              <w:spacing w:after="0" w:line="240" w:lineRule="auto"/>
              <w:jc w:val="both"/>
              <w:rPr>
                <w:rFonts w:eastAsia="Times New Roman" w:cstheme="minorHAnsi"/>
                <w:sz w:val="16"/>
                <w:szCs w:val="16"/>
              </w:rPr>
            </w:pPr>
            <w:r w:rsidRPr="00463D42">
              <w:rPr>
                <w:rFonts w:eastAsia="Times New Roman" w:cstheme="minorHAnsi"/>
                <w:sz w:val="16"/>
                <w:szCs w:val="16"/>
              </w:rPr>
              <w:t>1.00</w:t>
            </w:r>
          </w:p>
        </w:tc>
        <w:tc>
          <w:tcPr>
            <w:tcW w:w="500" w:type="dxa"/>
            <w:tcBorders>
              <w:top w:val="nil"/>
              <w:left w:val="nil"/>
              <w:bottom w:val="single" w:sz="4" w:space="0" w:color="auto"/>
              <w:right w:val="single" w:sz="4" w:space="0" w:color="auto"/>
            </w:tcBorders>
            <w:shd w:val="clear" w:color="auto" w:fill="auto"/>
            <w:noWrap/>
            <w:hideMark/>
          </w:tcPr>
          <w:p w14:paraId="41FA3C80" w14:textId="77777777" w:rsidR="00D924D5" w:rsidRPr="00463D42" w:rsidRDefault="00D924D5" w:rsidP="004127ED">
            <w:pPr>
              <w:spacing w:after="0" w:line="240" w:lineRule="auto"/>
              <w:jc w:val="both"/>
              <w:rPr>
                <w:rFonts w:eastAsia="Times New Roman" w:cstheme="minorHAnsi"/>
                <w:color w:val="000000"/>
                <w:sz w:val="16"/>
                <w:szCs w:val="16"/>
              </w:rPr>
            </w:pPr>
            <w:r w:rsidRPr="00463D42">
              <w:rPr>
                <w:rFonts w:eastAsia="Times New Roman" w:cstheme="minorHAnsi"/>
                <w:color w:val="000000"/>
                <w:sz w:val="16"/>
                <w:szCs w:val="16"/>
              </w:rPr>
              <w:t>1.00</w:t>
            </w:r>
          </w:p>
        </w:tc>
        <w:tc>
          <w:tcPr>
            <w:tcW w:w="1000" w:type="dxa"/>
            <w:tcBorders>
              <w:top w:val="nil"/>
              <w:left w:val="nil"/>
              <w:bottom w:val="single" w:sz="4" w:space="0" w:color="auto"/>
              <w:right w:val="single" w:sz="4" w:space="0" w:color="auto"/>
            </w:tcBorders>
            <w:shd w:val="clear" w:color="auto" w:fill="auto"/>
            <w:noWrap/>
            <w:hideMark/>
          </w:tcPr>
          <w:p w14:paraId="37EFDA8F" w14:textId="77777777" w:rsidR="00D924D5" w:rsidRPr="00463D42" w:rsidRDefault="00D924D5" w:rsidP="004127ED">
            <w:pPr>
              <w:spacing w:after="0" w:line="240" w:lineRule="auto"/>
              <w:jc w:val="both"/>
              <w:rPr>
                <w:rFonts w:eastAsia="Times New Roman" w:cstheme="minorHAnsi"/>
                <w:sz w:val="16"/>
                <w:szCs w:val="16"/>
              </w:rPr>
            </w:pPr>
            <w:r w:rsidRPr="00463D42">
              <w:rPr>
                <w:rFonts w:eastAsia="Times New Roman" w:cstheme="minorHAnsi"/>
                <w:sz w:val="16"/>
                <w:szCs w:val="16"/>
              </w:rPr>
              <w:t>1.000</w:t>
            </w:r>
          </w:p>
        </w:tc>
      </w:tr>
      <w:tr w:rsidR="00D924D5" w:rsidRPr="00463D42" w14:paraId="75335A20" w14:textId="77777777" w:rsidTr="00463D42">
        <w:trPr>
          <w:trHeight w:val="480"/>
          <w:jc w:val="center"/>
        </w:trPr>
        <w:tc>
          <w:tcPr>
            <w:tcW w:w="11082" w:type="dxa"/>
            <w:gridSpan w:val="17"/>
            <w:tcBorders>
              <w:top w:val="single" w:sz="4" w:space="0" w:color="auto"/>
              <w:left w:val="nil"/>
              <w:bottom w:val="nil"/>
              <w:right w:val="nil"/>
            </w:tcBorders>
            <w:shd w:val="clear" w:color="auto" w:fill="auto"/>
            <w:hideMark/>
          </w:tcPr>
          <w:p w14:paraId="31A3D51C" w14:textId="5B3D5861" w:rsidR="00D924D5" w:rsidRPr="00463D42" w:rsidRDefault="0007094D" w:rsidP="004127ED">
            <w:pPr>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VUMC=Vanderbilt University Medical Center; </w:t>
            </w:r>
            <w:r w:rsidR="00D924D5" w:rsidRPr="00463D42">
              <w:rPr>
                <w:rFonts w:eastAsia="Times New Roman" w:cstheme="minorHAnsi"/>
                <w:color w:val="000000"/>
                <w:sz w:val="16"/>
                <w:szCs w:val="16"/>
              </w:rPr>
              <w:t>PAD=Peripheral Arterial Disease; PCI=Percutaneous Coronary Intervention; Fluro Mins=Time under fluoroscopy; PCI Vessels=Number of vessels at index PCI; CLD=Chronic Lung Disease</w:t>
            </w:r>
          </w:p>
        </w:tc>
      </w:tr>
    </w:tbl>
    <w:p w14:paraId="2B68EC1C" w14:textId="77777777" w:rsidR="00E9028F" w:rsidRDefault="00E9028F" w:rsidP="004127ED">
      <w:pPr>
        <w:spacing w:line="240" w:lineRule="auto"/>
        <w:jc w:val="both"/>
        <w:rPr>
          <w:rFonts w:cstheme="minorHAnsi"/>
        </w:rPr>
      </w:pPr>
    </w:p>
    <w:p w14:paraId="3CF7FAEF" w14:textId="3F012EB0" w:rsidR="009A3703" w:rsidRPr="00463D42" w:rsidRDefault="008E4564" w:rsidP="004127ED">
      <w:pPr>
        <w:spacing w:line="240" w:lineRule="auto"/>
        <w:jc w:val="both"/>
        <w:rPr>
          <w:rFonts w:cstheme="minorHAnsi"/>
        </w:rPr>
      </w:pPr>
      <w:r w:rsidRPr="00463D42">
        <w:rPr>
          <w:rFonts w:cstheme="minorHAnsi"/>
        </w:rPr>
        <w:lastRenderedPageBreak/>
        <w:t>The adjusted odds ratio (OR) or hazard ratio (HR) describing adverse outcomes (mortality, repeat procedure and repeat readmission) attributed to Device A or B were calculated on local and cloud instance</w:t>
      </w:r>
      <w:r w:rsidR="00564670" w:rsidRPr="00463D42">
        <w:rPr>
          <w:rFonts w:cstheme="minorHAnsi"/>
        </w:rPr>
        <w:t>s of DELTA</w:t>
      </w:r>
      <w:r w:rsidRPr="00463D42">
        <w:rPr>
          <w:rFonts w:cstheme="minorHAnsi"/>
        </w:rPr>
        <w:t xml:space="preserve">. Table </w:t>
      </w:r>
      <w:r w:rsidR="00463D42">
        <w:rPr>
          <w:rFonts w:cstheme="minorHAnsi"/>
        </w:rPr>
        <w:t>S</w:t>
      </w:r>
      <w:r w:rsidR="0072586A" w:rsidRPr="00463D42">
        <w:rPr>
          <w:rFonts w:cstheme="minorHAnsi"/>
        </w:rPr>
        <w:t>2 provides</w:t>
      </w:r>
      <w:r w:rsidRPr="00463D42">
        <w:rPr>
          <w:rFonts w:cstheme="minorHAnsi"/>
        </w:rPr>
        <w:t xml:space="preserve"> the </w:t>
      </w:r>
      <w:r w:rsidR="005E00DE" w:rsidRPr="00463D42">
        <w:rPr>
          <w:rFonts w:cstheme="minorHAnsi"/>
        </w:rPr>
        <w:t xml:space="preserve">ratio </w:t>
      </w:r>
      <w:r w:rsidR="009913EB" w:rsidRPr="00463D42">
        <w:rPr>
          <w:rFonts w:cstheme="minorHAnsi"/>
        </w:rPr>
        <w:t>of odds ratio (or hazard ratio</w:t>
      </w:r>
      <w:r w:rsidR="0072586A" w:rsidRPr="00463D42">
        <w:rPr>
          <w:rFonts w:cstheme="minorHAnsi"/>
        </w:rPr>
        <w:t>) for</w:t>
      </w:r>
      <w:r w:rsidR="009913EB" w:rsidRPr="00463D42">
        <w:rPr>
          <w:rFonts w:cstheme="minorHAnsi"/>
        </w:rPr>
        <w:t xml:space="preserve"> each comparison among </w:t>
      </w:r>
      <w:r w:rsidRPr="00463D42">
        <w:rPr>
          <w:rFonts w:cstheme="minorHAnsi"/>
        </w:rPr>
        <w:t xml:space="preserve">local DELTA, cloud DELTA, and </w:t>
      </w:r>
      <w:r w:rsidR="009913EB" w:rsidRPr="00463D42">
        <w:rPr>
          <w:rFonts w:cstheme="minorHAnsi"/>
        </w:rPr>
        <w:t>source data or ‘Truth’,</w:t>
      </w:r>
      <w:r w:rsidRPr="00463D42">
        <w:rPr>
          <w:rFonts w:cstheme="minorHAnsi"/>
        </w:rPr>
        <w:t xml:space="preserve"> for each of the tested methods. </w:t>
      </w:r>
      <w:r w:rsidR="009913EB" w:rsidRPr="00463D42">
        <w:rPr>
          <w:rFonts w:cstheme="minorHAnsi"/>
        </w:rPr>
        <w:t xml:space="preserve">  This </w:t>
      </w:r>
      <w:r w:rsidR="0007094D" w:rsidRPr="00463D42">
        <w:rPr>
          <w:rFonts w:cstheme="minorHAnsi"/>
        </w:rPr>
        <w:t>analys</w:t>
      </w:r>
      <w:r w:rsidR="0007094D">
        <w:rPr>
          <w:rFonts w:cstheme="minorHAnsi"/>
        </w:rPr>
        <w:t>i</w:t>
      </w:r>
      <w:r w:rsidR="0007094D" w:rsidRPr="00463D42">
        <w:rPr>
          <w:rFonts w:cstheme="minorHAnsi"/>
        </w:rPr>
        <w:t xml:space="preserve">s </w:t>
      </w:r>
      <w:r w:rsidRPr="00463D42">
        <w:rPr>
          <w:rFonts w:cstheme="minorHAnsi"/>
        </w:rPr>
        <w:t>demonstrate</w:t>
      </w:r>
      <w:r w:rsidR="009913EB" w:rsidRPr="00463D42">
        <w:rPr>
          <w:rFonts w:cstheme="minorHAnsi"/>
        </w:rPr>
        <w:t>d</w:t>
      </w:r>
      <w:r w:rsidRPr="00463D42">
        <w:rPr>
          <w:rFonts w:cstheme="minorHAnsi"/>
        </w:rPr>
        <w:t xml:space="preserve"> high agreement between the results generated by the local and cloud instances of DELTA, as well as agreement between DELTA results and </w:t>
      </w:r>
      <w:r w:rsidR="009913EB" w:rsidRPr="00463D42">
        <w:rPr>
          <w:rFonts w:cstheme="minorHAnsi"/>
        </w:rPr>
        <w:t>the unblinded underlying data distributions</w:t>
      </w:r>
      <w:r w:rsidRPr="00463D42">
        <w:rPr>
          <w:rFonts w:cstheme="minorHAnsi"/>
        </w:rPr>
        <w:t xml:space="preserve">. </w:t>
      </w:r>
    </w:p>
    <w:p w14:paraId="23996A68" w14:textId="018C6E76" w:rsidR="008E4564" w:rsidRDefault="009A3703" w:rsidP="004127ED">
      <w:pPr>
        <w:spacing w:line="240" w:lineRule="auto"/>
        <w:jc w:val="both"/>
        <w:rPr>
          <w:rFonts w:cstheme="minorHAnsi"/>
        </w:rPr>
      </w:pPr>
      <w:r w:rsidRPr="00463D42">
        <w:rPr>
          <w:rFonts w:cstheme="minorHAnsi"/>
        </w:rPr>
        <w:t>For Test 1, a</w:t>
      </w:r>
      <w:r w:rsidR="008E4564" w:rsidRPr="00463D42">
        <w:rPr>
          <w:rFonts w:cstheme="minorHAnsi"/>
        </w:rPr>
        <w:t xml:space="preserve">ll methods calculated an adjusted OR </w:t>
      </w:r>
      <w:proofErr w:type="spellStart"/>
      <w:r w:rsidR="008E4564" w:rsidRPr="00463D42">
        <w:rPr>
          <w:rFonts w:cstheme="minorHAnsi"/>
        </w:rPr>
        <w:t>or</w:t>
      </w:r>
      <w:proofErr w:type="spellEnd"/>
      <w:r w:rsidR="008E4564" w:rsidRPr="00463D42">
        <w:rPr>
          <w:rFonts w:cstheme="minorHAnsi"/>
        </w:rPr>
        <w:t xml:space="preserve"> HR within 5% of the true value,</w:t>
      </w:r>
      <w:r w:rsidR="005E00DE" w:rsidRPr="00463D42">
        <w:rPr>
          <w:rFonts w:cstheme="minorHAnsi"/>
        </w:rPr>
        <w:t xml:space="preserve"> and descriptive stati</w:t>
      </w:r>
      <w:r w:rsidR="009913EB" w:rsidRPr="00463D42">
        <w:rPr>
          <w:rFonts w:cstheme="minorHAnsi"/>
        </w:rPr>
        <w:t>sti</w:t>
      </w:r>
      <w:r w:rsidR="005E00DE" w:rsidRPr="00463D42">
        <w:rPr>
          <w:rFonts w:cstheme="minorHAnsi"/>
        </w:rPr>
        <w:t>cs described covariates within 2% of their true values,</w:t>
      </w:r>
      <w:r w:rsidR="008E4564" w:rsidRPr="00463D42">
        <w:rPr>
          <w:rFonts w:cstheme="minorHAnsi"/>
        </w:rPr>
        <w:t xml:space="preserve"> satisfying </w:t>
      </w:r>
      <w:r w:rsidR="009913EB" w:rsidRPr="00463D42">
        <w:rPr>
          <w:rFonts w:cstheme="minorHAnsi"/>
        </w:rPr>
        <w:t xml:space="preserve">all pre-specified </w:t>
      </w:r>
      <w:r w:rsidR="008E4564" w:rsidRPr="00463D42">
        <w:rPr>
          <w:rFonts w:cstheme="minorHAnsi"/>
        </w:rPr>
        <w:t xml:space="preserve">validation requirements. </w:t>
      </w:r>
    </w:p>
    <w:p w14:paraId="4C836DF9" w14:textId="3EC3CA2F" w:rsidR="00463D42" w:rsidRPr="00463D42" w:rsidRDefault="00463D42" w:rsidP="004127ED">
      <w:pPr>
        <w:spacing w:after="0" w:line="240" w:lineRule="auto"/>
        <w:jc w:val="both"/>
        <w:rPr>
          <w:rFonts w:cstheme="minorHAnsi"/>
          <w:i/>
        </w:rPr>
      </w:pPr>
      <w:r w:rsidRPr="00463D42">
        <w:rPr>
          <w:rFonts w:cstheme="minorHAnsi"/>
          <w:b/>
          <w:i/>
        </w:rPr>
        <w:t xml:space="preserve">Table </w:t>
      </w:r>
      <w:r>
        <w:rPr>
          <w:rFonts w:cstheme="minorHAnsi"/>
          <w:b/>
          <w:i/>
        </w:rPr>
        <w:t>S</w:t>
      </w:r>
      <w:r w:rsidRPr="00463D42">
        <w:rPr>
          <w:rFonts w:cstheme="minorHAnsi"/>
          <w:b/>
          <w:i/>
        </w:rPr>
        <w:t>2</w:t>
      </w:r>
      <w:r w:rsidRPr="00463D42">
        <w:rPr>
          <w:rFonts w:cstheme="minorHAnsi"/>
          <w:i/>
        </w:rPr>
        <w:t>. Accuracy comparisons between local and cloud DELTA instances, and source of truth.</w:t>
      </w:r>
    </w:p>
    <w:p w14:paraId="62910439" w14:textId="77777777" w:rsidR="00463D42" w:rsidRPr="00463D42" w:rsidRDefault="00463D42" w:rsidP="004127ED">
      <w:pPr>
        <w:spacing w:after="0" w:line="240" w:lineRule="auto"/>
        <w:ind w:firstLine="720"/>
        <w:jc w:val="both"/>
        <w:rPr>
          <w:rFonts w:cstheme="minorHAnsi"/>
        </w:rPr>
      </w:pPr>
    </w:p>
    <w:tbl>
      <w:tblPr>
        <w:tblStyle w:val="TableGrid"/>
        <w:tblW w:w="0" w:type="auto"/>
        <w:jc w:val="center"/>
        <w:tblLook w:val="04A0" w:firstRow="1" w:lastRow="0" w:firstColumn="1" w:lastColumn="0" w:noHBand="0" w:noVBand="1"/>
      </w:tblPr>
      <w:tblGrid>
        <w:gridCol w:w="2325"/>
        <w:gridCol w:w="2175"/>
        <w:gridCol w:w="1565"/>
        <w:gridCol w:w="1870"/>
      </w:tblGrid>
      <w:tr w:rsidR="005E00DE" w:rsidRPr="00463D42" w14:paraId="2398FCFC" w14:textId="77777777" w:rsidTr="005E00DE">
        <w:trPr>
          <w:jc w:val="center"/>
        </w:trPr>
        <w:tc>
          <w:tcPr>
            <w:tcW w:w="2325" w:type="dxa"/>
            <w:shd w:val="clear" w:color="auto" w:fill="E7E6E6" w:themeFill="background2"/>
          </w:tcPr>
          <w:p w14:paraId="4F50ECCB" w14:textId="6553EF2D" w:rsidR="005E00DE" w:rsidRPr="00463D42" w:rsidRDefault="005E00DE" w:rsidP="004127ED">
            <w:pPr>
              <w:jc w:val="both"/>
              <w:rPr>
                <w:rFonts w:cstheme="minorHAnsi"/>
                <w:b/>
              </w:rPr>
            </w:pPr>
            <w:r w:rsidRPr="00463D42">
              <w:rPr>
                <w:rFonts w:cstheme="minorHAnsi"/>
                <w:b/>
              </w:rPr>
              <w:t>DELTA Method</w:t>
            </w:r>
          </w:p>
        </w:tc>
        <w:tc>
          <w:tcPr>
            <w:tcW w:w="2175" w:type="dxa"/>
            <w:shd w:val="clear" w:color="auto" w:fill="E7E6E6" w:themeFill="background2"/>
          </w:tcPr>
          <w:p w14:paraId="6E99063A" w14:textId="0BFEE9F4" w:rsidR="005E00DE" w:rsidRPr="00463D42" w:rsidRDefault="005E00DE" w:rsidP="004127ED">
            <w:pPr>
              <w:jc w:val="both"/>
              <w:rPr>
                <w:rFonts w:cstheme="minorHAnsi"/>
                <w:b/>
              </w:rPr>
            </w:pPr>
            <w:r w:rsidRPr="00463D42">
              <w:rPr>
                <w:rFonts w:cstheme="minorHAnsi"/>
                <w:b/>
              </w:rPr>
              <w:t>Local Server : Truth</w:t>
            </w:r>
          </w:p>
        </w:tc>
        <w:tc>
          <w:tcPr>
            <w:tcW w:w="1565" w:type="dxa"/>
            <w:shd w:val="clear" w:color="auto" w:fill="E7E6E6" w:themeFill="background2"/>
          </w:tcPr>
          <w:p w14:paraId="7F90E124" w14:textId="6A454E3A" w:rsidR="005E00DE" w:rsidRPr="00463D42" w:rsidRDefault="00FB78DD" w:rsidP="004127ED">
            <w:pPr>
              <w:jc w:val="both"/>
              <w:rPr>
                <w:rFonts w:cstheme="minorHAnsi"/>
                <w:b/>
              </w:rPr>
            </w:pPr>
            <w:r w:rsidRPr="00463D42">
              <w:rPr>
                <w:rFonts w:cstheme="minorHAnsi"/>
                <w:b/>
              </w:rPr>
              <w:t>Cloud</w:t>
            </w:r>
            <w:r w:rsidR="005E00DE" w:rsidRPr="00463D42">
              <w:rPr>
                <w:rFonts w:cstheme="minorHAnsi"/>
                <w:b/>
              </w:rPr>
              <w:t>: Server</w:t>
            </w:r>
          </w:p>
        </w:tc>
        <w:tc>
          <w:tcPr>
            <w:tcW w:w="1870" w:type="dxa"/>
            <w:shd w:val="clear" w:color="auto" w:fill="E7E6E6" w:themeFill="background2"/>
          </w:tcPr>
          <w:p w14:paraId="741A2EDE" w14:textId="4247864C" w:rsidR="005E00DE" w:rsidRPr="00463D42" w:rsidRDefault="005E00DE" w:rsidP="004127ED">
            <w:pPr>
              <w:jc w:val="both"/>
              <w:rPr>
                <w:rFonts w:cstheme="minorHAnsi"/>
                <w:b/>
              </w:rPr>
            </w:pPr>
            <w:r w:rsidRPr="00463D42">
              <w:rPr>
                <w:rFonts w:cstheme="minorHAnsi"/>
                <w:b/>
              </w:rPr>
              <w:t>Cloud : Truth</w:t>
            </w:r>
          </w:p>
        </w:tc>
      </w:tr>
      <w:tr w:rsidR="005E00DE" w:rsidRPr="00463D42" w14:paraId="658A4ED2" w14:textId="77777777" w:rsidTr="005E00DE">
        <w:trPr>
          <w:jc w:val="center"/>
        </w:trPr>
        <w:tc>
          <w:tcPr>
            <w:tcW w:w="2325" w:type="dxa"/>
          </w:tcPr>
          <w:p w14:paraId="3F2E12D5" w14:textId="1A789533" w:rsidR="005E00DE" w:rsidRPr="00463D42" w:rsidRDefault="005E00DE" w:rsidP="004127ED">
            <w:pPr>
              <w:jc w:val="both"/>
              <w:rPr>
                <w:rFonts w:cstheme="minorHAnsi"/>
              </w:rPr>
            </w:pPr>
            <w:r w:rsidRPr="00463D42">
              <w:rPr>
                <w:rFonts w:cstheme="minorHAnsi"/>
              </w:rPr>
              <w:t>Descriptive Statistics</w:t>
            </w:r>
          </w:p>
        </w:tc>
        <w:tc>
          <w:tcPr>
            <w:tcW w:w="2175" w:type="dxa"/>
          </w:tcPr>
          <w:p w14:paraId="65955390" w14:textId="5B9C7D3D" w:rsidR="005E00DE" w:rsidRPr="00463D42" w:rsidRDefault="005E00DE" w:rsidP="004127ED">
            <w:pPr>
              <w:jc w:val="both"/>
              <w:rPr>
                <w:rFonts w:cstheme="minorHAnsi"/>
              </w:rPr>
            </w:pPr>
            <w:r w:rsidRPr="00463D42">
              <w:rPr>
                <w:rFonts w:cstheme="minorHAnsi"/>
              </w:rPr>
              <w:t>0.998</w:t>
            </w:r>
          </w:p>
        </w:tc>
        <w:tc>
          <w:tcPr>
            <w:tcW w:w="1565" w:type="dxa"/>
          </w:tcPr>
          <w:p w14:paraId="2CB3A184" w14:textId="3D88A186" w:rsidR="005E00DE" w:rsidRPr="00463D42" w:rsidRDefault="005E00DE" w:rsidP="004127ED">
            <w:pPr>
              <w:jc w:val="both"/>
              <w:rPr>
                <w:rFonts w:cstheme="minorHAnsi"/>
              </w:rPr>
            </w:pPr>
            <w:r w:rsidRPr="00463D42">
              <w:rPr>
                <w:rFonts w:cstheme="minorHAnsi"/>
              </w:rPr>
              <w:t>1.000</w:t>
            </w:r>
          </w:p>
        </w:tc>
        <w:tc>
          <w:tcPr>
            <w:tcW w:w="1870" w:type="dxa"/>
          </w:tcPr>
          <w:p w14:paraId="02481581" w14:textId="569A0B71" w:rsidR="005E00DE" w:rsidRPr="00463D42" w:rsidRDefault="005E00DE" w:rsidP="004127ED">
            <w:pPr>
              <w:jc w:val="both"/>
              <w:rPr>
                <w:rFonts w:cstheme="minorHAnsi"/>
              </w:rPr>
            </w:pPr>
            <w:r w:rsidRPr="00463D42">
              <w:rPr>
                <w:rFonts w:cstheme="minorHAnsi"/>
              </w:rPr>
              <w:t>0.998</w:t>
            </w:r>
          </w:p>
        </w:tc>
      </w:tr>
      <w:tr w:rsidR="005E00DE" w:rsidRPr="00463D42" w14:paraId="06975771" w14:textId="77777777" w:rsidTr="005E00DE">
        <w:trPr>
          <w:jc w:val="center"/>
        </w:trPr>
        <w:tc>
          <w:tcPr>
            <w:tcW w:w="2325" w:type="dxa"/>
          </w:tcPr>
          <w:p w14:paraId="05FEAB6E" w14:textId="7034ACC6" w:rsidR="005E00DE" w:rsidRPr="00463D42" w:rsidRDefault="005E00DE" w:rsidP="004127ED">
            <w:pPr>
              <w:jc w:val="both"/>
              <w:rPr>
                <w:rFonts w:cstheme="minorHAnsi"/>
              </w:rPr>
            </w:pPr>
            <w:r w:rsidRPr="00463D42">
              <w:rPr>
                <w:rFonts w:cstheme="minorHAnsi"/>
              </w:rPr>
              <w:t>LR</w:t>
            </w:r>
          </w:p>
        </w:tc>
        <w:tc>
          <w:tcPr>
            <w:tcW w:w="2175" w:type="dxa"/>
          </w:tcPr>
          <w:p w14:paraId="160345F9" w14:textId="69907D3F" w:rsidR="005E00DE" w:rsidRPr="00463D42" w:rsidRDefault="005E00DE" w:rsidP="004127ED">
            <w:pPr>
              <w:jc w:val="both"/>
              <w:rPr>
                <w:rFonts w:cstheme="minorHAnsi"/>
              </w:rPr>
            </w:pPr>
            <w:r w:rsidRPr="00463D42">
              <w:rPr>
                <w:rFonts w:cstheme="minorHAnsi"/>
              </w:rPr>
              <w:t>0.998</w:t>
            </w:r>
          </w:p>
        </w:tc>
        <w:tc>
          <w:tcPr>
            <w:tcW w:w="1565" w:type="dxa"/>
          </w:tcPr>
          <w:p w14:paraId="16A01EFA" w14:textId="50A676B9" w:rsidR="005E00DE" w:rsidRPr="00463D42" w:rsidRDefault="005E00DE" w:rsidP="004127ED">
            <w:pPr>
              <w:jc w:val="both"/>
              <w:rPr>
                <w:rFonts w:cstheme="minorHAnsi"/>
              </w:rPr>
            </w:pPr>
            <w:r w:rsidRPr="00463D42">
              <w:rPr>
                <w:rFonts w:cstheme="minorHAnsi"/>
              </w:rPr>
              <w:t>1.000</w:t>
            </w:r>
          </w:p>
        </w:tc>
        <w:tc>
          <w:tcPr>
            <w:tcW w:w="1870" w:type="dxa"/>
          </w:tcPr>
          <w:p w14:paraId="17D1152B" w14:textId="0F4B7E19" w:rsidR="005E00DE" w:rsidRPr="00463D42" w:rsidRDefault="005E00DE" w:rsidP="004127ED">
            <w:pPr>
              <w:jc w:val="both"/>
              <w:rPr>
                <w:rFonts w:cstheme="minorHAnsi"/>
              </w:rPr>
            </w:pPr>
            <w:r w:rsidRPr="00463D42">
              <w:rPr>
                <w:rFonts w:cstheme="minorHAnsi"/>
              </w:rPr>
              <w:t>0.998</w:t>
            </w:r>
          </w:p>
        </w:tc>
      </w:tr>
      <w:tr w:rsidR="005E00DE" w:rsidRPr="00463D42" w14:paraId="5C487D14" w14:textId="77777777" w:rsidTr="005E00DE">
        <w:trPr>
          <w:jc w:val="center"/>
        </w:trPr>
        <w:tc>
          <w:tcPr>
            <w:tcW w:w="2325" w:type="dxa"/>
          </w:tcPr>
          <w:p w14:paraId="77024A43" w14:textId="08C95B46" w:rsidR="005E00DE" w:rsidRPr="00463D42" w:rsidRDefault="005E00DE" w:rsidP="004127ED">
            <w:pPr>
              <w:jc w:val="both"/>
              <w:rPr>
                <w:rFonts w:cstheme="minorHAnsi"/>
              </w:rPr>
            </w:pPr>
            <w:r w:rsidRPr="00463D42">
              <w:rPr>
                <w:rFonts w:cstheme="minorHAnsi"/>
              </w:rPr>
              <w:t>LR-AVS</w:t>
            </w:r>
          </w:p>
        </w:tc>
        <w:tc>
          <w:tcPr>
            <w:tcW w:w="2175" w:type="dxa"/>
          </w:tcPr>
          <w:p w14:paraId="2DE7DFBB" w14:textId="06C41D33" w:rsidR="005E00DE" w:rsidRPr="00463D42" w:rsidRDefault="005E00DE" w:rsidP="004127ED">
            <w:pPr>
              <w:jc w:val="both"/>
              <w:rPr>
                <w:rFonts w:cstheme="minorHAnsi"/>
              </w:rPr>
            </w:pPr>
            <w:r w:rsidRPr="00463D42">
              <w:rPr>
                <w:rFonts w:cstheme="minorHAnsi"/>
              </w:rPr>
              <w:t>0.997</w:t>
            </w:r>
          </w:p>
        </w:tc>
        <w:tc>
          <w:tcPr>
            <w:tcW w:w="1565" w:type="dxa"/>
          </w:tcPr>
          <w:p w14:paraId="337ED849" w14:textId="5FEC0523" w:rsidR="005E00DE" w:rsidRPr="00463D42" w:rsidRDefault="005E00DE" w:rsidP="004127ED">
            <w:pPr>
              <w:jc w:val="both"/>
              <w:rPr>
                <w:rFonts w:cstheme="minorHAnsi"/>
              </w:rPr>
            </w:pPr>
            <w:r w:rsidRPr="00463D42">
              <w:rPr>
                <w:rFonts w:cstheme="minorHAnsi"/>
              </w:rPr>
              <w:t>0.999</w:t>
            </w:r>
          </w:p>
        </w:tc>
        <w:tc>
          <w:tcPr>
            <w:tcW w:w="1870" w:type="dxa"/>
          </w:tcPr>
          <w:p w14:paraId="243C29B6" w14:textId="27430A29" w:rsidR="005E00DE" w:rsidRPr="00463D42" w:rsidRDefault="005E00DE" w:rsidP="004127ED">
            <w:pPr>
              <w:jc w:val="both"/>
              <w:rPr>
                <w:rFonts w:cstheme="minorHAnsi"/>
              </w:rPr>
            </w:pPr>
            <w:r w:rsidRPr="00463D42">
              <w:rPr>
                <w:rFonts w:cstheme="minorHAnsi"/>
              </w:rPr>
              <w:t>0.998</w:t>
            </w:r>
          </w:p>
        </w:tc>
      </w:tr>
      <w:tr w:rsidR="005E00DE" w:rsidRPr="00463D42" w14:paraId="7686CCCC" w14:textId="77777777" w:rsidTr="005E00DE">
        <w:trPr>
          <w:jc w:val="center"/>
        </w:trPr>
        <w:tc>
          <w:tcPr>
            <w:tcW w:w="2325" w:type="dxa"/>
          </w:tcPr>
          <w:p w14:paraId="63F354AF" w14:textId="4136E870" w:rsidR="005E00DE" w:rsidRPr="00463D42" w:rsidRDefault="005E00DE" w:rsidP="004127ED">
            <w:pPr>
              <w:jc w:val="both"/>
              <w:rPr>
                <w:rFonts w:cstheme="minorHAnsi"/>
              </w:rPr>
            </w:pPr>
            <w:r w:rsidRPr="00463D42">
              <w:rPr>
                <w:rFonts w:cstheme="minorHAnsi"/>
              </w:rPr>
              <w:t>PSM</w:t>
            </w:r>
          </w:p>
        </w:tc>
        <w:tc>
          <w:tcPr>
            <w:tcW w:w="2175" w:type="dxa"/>
          </w:tcPr>
          <w:p w14:paraId="0904B769" w14:textId="1D7C3C24" w:rsidR="005E00DE" w:rsidRPr="00463D42" w:rsidRDefault="005E00DE" w:rsidP="004127ED">
            <w:pPr>
              <w:jc w:val="both"/>
              <w:rPr>
                <w:rFonts w:cstheme="minorHAnsi"/>
              </w:rPr>
            </w:pPr>
            <w:r w:rsidRPr="00463D42">
              <w:rPr>
                <w:rFonts w:cstheme="minorHAnsi"/>
              </w:rPr>
              <w:t>0.947</w:t>
            </w:r>
          </w:p>
        </w:tc>
        <w:tc>
          <w:tcPr>
            <w:tcW w:w="1565" w:type="dxa"/>
          </w:tcPr>
          <w:p w14:paraId="14FCF7F6" w14:textId="1074BC58" w:rsidR="005E00DE" w:rsidRPr="00463D42" w:rsidRDefault="005E00DE" w:rsidP="004127ED">
            <w:pPr>
              <w:jc w:val="both"/>
              <w:rPr>
                <w:rFonts w:cstheme="minorHAnsi"/>
              </w:rPr>
            </w:pPr>
            <w:r w:rsidRPr="00463D42">
              <w:rPr>
                <w:rFonts w:cstheme="minorHAnsi"/>
              </w:rPr>
              <w:t>0.967</w:t>
            </w:r>
          </w:p>
        </w:tc>
        <w:tc>
          <w:tcPr>
            <w:tcW w:w="1870" w:type="dxa"/>
          </w:tcPr>
          <w:p w14:paraId="47C1506A" w14:textId="5811A078" w:rsidR="005E00DE" w:rsidRPr="00463D42" w:rsidRDefault="005E00DE" w:rsidP="004127ED">
            <w:pPr>
              <w:jc w:val="both"/>
              <w:rPr>
                <w:rFonts w:cstheme="minorHAnsi"/>
              </w:rPr>
            </w:pPr>
            <w:r w:rsidRPr="00463D42">
              <w:rPr>
                <w:rFonts w:cstheme="minorHAnsi"/>
              </w:rPr>
              <w:t>0.945</w:t>
            </w:r>
          </w:p>
        </w:tc>
      </w:tr>
      <w:tr w:rsidR="005E00DE" w:rsidRPr="00463D42" w14:paraId="0175504F" w14:textId="77777777" w:rsidTr="005E00DE">
        <w:trPr>
          <w:jc w:val="center"/>
        </w:trPr>
        <w:tc>
          <w:tcPr>
            <w:tcW w:w="2325" w:type="dxa"/>
          </w:tcPr>
          <w:p w14:paraId="2C6B9330" w14:textId="392F2260" w:rsidR="005E00DE" w:rsidRPr="00463D42" w:rsidRDefault="005E00DE" w:rsidP="004127ED">
            <w:pPr>
              <w:jc w:val="both"/>
              <w:rPr>
                <w:rFonts w:cstheme="minorHAnsi"/>
              </w:rPr>
            </w:pPr>
            <w:r w:rsidRPr="00463D42">
              <w:rPr>
                <w:rFonts w:cstheme="minorHAnsi"/>
              </w:rPr>
              <w:t>IPTW</w:t>
            </w:r>
          </w:p>
        </w:tc>
        <w:tc>
          <w:tcPr>
            <w:tcW w:w="2175" w:type="dxa"/>
          </w:tcPr>
          <w:p w14:paraId="35FA73A0" w14:textId="75FDB607" w:rsidR="005E00DE" w:rsidRPr="00463D42" w:rsidRDefault="005E00DE" w:rsidP="004127ED">
            <w:pPr>
              <w:jc w:val="both"/>
              <w:rPr>
                <w:rFonts w:cstheme="minorHAnsi"/>
              </w:rPr>
            </w:pPr>
            <w:r w:rsidRPr="00463D42">
              <w:rPr>
                <w:rFonts w:cstheme="minorHAnsi"/>
              </w:rPr>
              <w:t>0.962</w:t>
            </w:r>
          </w:p>
        </w:tc>
        <w:tc>
          <w:tcPr>
            <w:tcW w:w="1565" w:type="dxa"/>
          </w:tcPr>
          <w:p w14:paraId="64329D23" w14:textId="3D362FBC" w:rsidR="005E00DE" w:rsidRPr="00463D42" w:rsidRDefault="005E00DE" w:rsidP="004127ED">
            <w:pPr>
              <w:jc w:val="both"/>
              <w:rPr>
                <w:rFonts w:cstheme="minorHAnsi"/>
              </w:rPr>
            </w:pPr>
            <w:r w:rsidRPr="00463D42">
              <w:rPr>
                <w:rFonts w:cstheme="minorHAnsi"/>
              </w:rPr>
              <w:t>1.000</w:t>
            </w:r>
          </w:p>
        </w:tc>
        <w:tc>
          <w:tcPr>
            <w:tcW w:w="1870" w:type="dxa"/>
          </w:tcPr>
          <w:p w14:paraId="04C323A8" w14:textId="0FF046FF" w:rsidR="005E00DE" w:rsidRPr="00463D42" w:rsidRDefault="005E00DE" w:rsidP="004127ED">
            <w:pPr>
              <w:jc w:val="both"/>
              <w:rPr>
                <w:rFonts w:cstheme="minorHAnsi"/>
              </w:rPr>
            </w:pPr>
            <w:r w:rsidRPr="00463D42">
              <w:rPr>
                <w:rFonts w:cstheme="minorHAnsi"/>
              </w:rPr>
              <w:t>0.962</w:t>
            </w:r>
          </w:p>
        </w:tc>
      </w:tr>
      <w:tr w:rsidR="005E00DE" w:rsidRPr="00463D42" w14:paraId="51DD5821" w14:textId="77777777" w:rsidTr="005E00DE">
        <w:trPr>
          <w:jc w:val="center"/>
        </w:trPr>
        <w:tc>
          <w:tcPr>
            <w:tcW w:w="2325" w:type="dxa"/>
          </w:tcPr>
          <w:p w14:paraId="0C96990E" w14:textId="04166462" w:rsidR="005E00DE" w:rsidRPr="00463D42" w:rsidRDefault="005E00DE" w:rsidP="004127ED">
            <w:pPr>
              <w:jc w:val="both"/>
              <w:rPr>
                <w:rFonts w:cstheme="minorHAnsi"/>
              </w:rPr>
            </w:pPr>
            <w:r w:rsidRPr="00463D42">
              <w:rPr>
                <w:rFonts w:cstheme="minorHAnsi"/>
              </w:rPr>
              <w:t>WBO</w:t>
            </w:r>
          </w:p>
        </w:tc>
        <w:tc>
          <w:tcPr>
            <w:tcW w:w="2175" w:type="dxa"/>
          </w:tcPr>
          <w:p w14:paraId="087A63F7" w14:textId="334F9B9F" w:rsidR="005E00DE" w:rsidRPr="00463D42" w:rsidRDefault="00137A70" w:rsidP="004127ED">
            <w:pPr>
              <w:jc w:val="both"/>
              <w:rPr>
                <w:rFonts w:cstheme="minorHAnsi"/>
              </w:rPr>
            </w:pPr>
            <w:r w:rsidRPr="00463D42">
              <w:rPr>
                <w:rFonts w:cstheme="minorHAnsi"/>
              </w:rPr>
              <w:t>0.990</w:t>
            </w:r>
          </w:p>
        </w:tc>
        <w:tc>
          <w:tcPr>
            <w:tcW w:w="1565" w:type="dxa"/>
          </w:tcPr>
          <w:p w14:paraId="5A59AA59" w14:textId="72A4151A" w:rsidR="005E00DE" w:rsidRPr="00463D42" w:rsidRDefault="005E00DE" w:rsidP="004127ED">
            <w:pPr>
              <w:jc w:val="both"/>
              <w:rPr>
                <w:rFonts w:cstheme="minorHAnsi"/>
              </w:rPr>
            </w:pPr>
            <w:r w:rsidRPr="00463D42">
              <w:rPr>
                <w:rFonts w:cstheme="minorHAnsi"/>
              </w:rPr>
              <w:t>1.000</w:t>
            </w:r>
          </w:p>
        </w:tc>
        <w:tc>
          <w:tcPr>
            <w:tcW w:w="1870" w:type="dxa"/>
          </w:tcPr>
          <w:p w14:paraId="3CE8EF96" w14:textId="227140AB" w:rsidR="005E00DE" w:rsidRPr="00463D42" w:rsidRDefault="00137A70" w:rsidP="004127ED">
            <w:pPr>
              <w:jc w:val="both"/>
              <w:rPr>
                <w:rFonts w:cstheme="minorHAnsi"/>
              </w:rPr>
            </w:pPr>
            <w:r w:rsidRPr="00463D42">
              <w:rPr>
                <w:rFonts w:cstheme="minorHAnsi"/>
              </w:rPr>
              <w:t>0.990</w:t>
            </w:r>
          </w:p>
        </w:tc>
      </w:tr>
      <w:tr w:rsidR="005E00DE" w:rsidRPr="00463D42" w14:paraId="47BBE450" w14:textId="77777777" w:rsidTr="005E00DE">
        <w:trPr>
          <w:jc w:val="center"/>
        </w:trPr>
        <w:tc>
          <w:tcPr>
            <w:tcW w:w="2325" w:type="dxa"/>
          </w:tcPr>
          <w:p w14:paraId="338ABC69" w14:textId="7254C738" w:rsidR="005E00DE" w:rsidRPr="00463D42" w:rsidRDefault="005E00DE" w:rsidP="004127ED">
            <w:pPr>
              <w:jc w:val="both"/>
              <w:rPr>
                <w:rFonts w:cstheme="minorHAnsi"/>
              </w:rPr>
            </w:pPr>
            <w:r w:rsidRPr="00463D42">
              <w:rPr>
                <w:rFonts w:cstheme="minorHAnsi"/>
              </w:rPr>
              <w:t>S</w:t>
            </w:r>
            <w:r w:rsidR="00007F01" w:rsidRPr="00463D42">
              <w:rPr>
                <w:rFonts w:cstheme="minorHAnsi"/>
              </w:rPr>
              <w:t>P</w:t>
            </w:r>
            <w:r w:rsidRPr="00463D42">
              <w:rPr>
                <w:rFonts w:cstheme="minorHAnsi"/>
              </w:rPr>
              <w:t>RT</w:t>
            </w:r>
          </w:p>
        </w:tc>
        <w:tc>
          <w:tcPr>
            <w:tcW w:w="2175" w:type="dxa"/>
          </w:tcPr>
          <w:p w14:paraId="6C6ADA7D" w14:textId="49E8E69E" w:rsidR="005E00DE" w:rsidRPr="00463D42" w:rsidRDefault="005E00DE" w:rsidP="004127ED">
            <w:pPr>
              <w:jc w:val="both"/>
              <w:rPr>
                <w:rFonts w:cstheme="minorHAnsi"/>
              </w:rPr>
            </w:pPr>
            <w:r w:rsidRPr="00463D42">
              <w:rPr>
                <w:rFonts w:cstheme="minorHAnsi"/>
              </w:rPr>
              <w:t>1.000</w:t>
            </w:r>
          </w:p>
        </w:tc>
        <w:tc>
          <w:tcPr>
            <w:tcW w:w="1565" w:type="dxa"/>
          </w:tcPr>
          <w:p w14:paraId="5A4CDF26" w14:textId="3FC4195D" w:rsidR="005E00DE" w:rsidRPr="00463D42" w:rsidRDefault="005E00DE" w:rsidP="004127ED">
            <w:pPr>
              <w:jc w:val="both"/>
              <w:rPr>
                <w:rFonts w:cstheme="minorHAnsi"/>
              </w:rPr>
            </w:pPr>
            <w:r w:rsidRPr="00463D42">
              <w:rPr>
                <w:rFonts w:cstheme="minorHAnsi"/>
              </w:rPr>
              <w:t>1.000</w:t>
            </w:r>
          </w:p>
        </w:tc>
        <w:tc>
          <w:tcPr>
            <w:tcW w:w="1870" w:type="dxa"/>
          </w:tcPr>
          <w:p w14:paraId="5219AAD1" w14:textId="5CF72311" w:rsidR="005E00DE" w:rsidRPr="00463D42" w:rsidRDefault="005E00DE" w:rsidP="004127ED">
            <w:pPr>
              <w:jc w:val="both"/>
              <w:rPr>
                <w:rFonts w:cstheme="minorHAnsi"/>
              </w:rPr>
            </w:pPr>
            <w:r w:rsidRPr="00463D42">
              <w:rPr>
                <w:rFonts w:cstheme="minorHAnsi"/>
              </w:rPr>
              <w:t>1.000</w:t>
            </w:r>
          </w:p>
        </w:tc>
      </w:tr>
    </w:tbl>
    <w:p w14:paraId="07E6C868" w14:textId="33C03632" w:rsidR="008E4564" w:rsidRPr="00463D42" w:rsidRDefault="008E4564" w:rsidP="004127ED">
      <w:pPr>
        <w:spacing w:after="0" w:line="240" w:lineRule="auto"/>
        <w:jc w:val="both"/>
        <w:rPr>
          <w:rFonts w:cstheme="minorHAnsi"/>
        </w:rPr>
      </w:pPr>
    </w:p>
    <w:p w14:paraId="4770C0B5" w14:textId="77777777" w:rsidR="009A3703" w:rsidRPr="00463D42" w:rsidRDefault="009A3703" w:rsidP="004127ED">
      <w:pPr>
        <w:spacing w:after="0" w:line="240" w:lineRule="auto"/>
        <w:jc w:val="both"/>
        <w:rPr>
          <w:rFonts w:cstheme="minorHAnsi"/>
          <w:b/>
        </w:rPr>
      </w:pPr>
    </w:p>
    <w:p w14:paraId="7725FC71" w14:textId="2BDAA141" w:rsidR="00541173" w:rsidRDefault="00413716" w:rsidP="004127ED">
      <w:pPr>
        <w:spacing w:after="0" w:line="240" w:lineRule="auto"/>
        <w:jc w:val="both"/>
        <w:rPr>
          <w:rFonts w:cstheme="minorHAnsi"/>
        </w:rPr>
      </w:pPr>
      <w:bookmarkStart w:id="5" w:name="_Toc107395623"/>
      <w:r w:rsidRPr="00C42D78">
        <w:rPr>
          <w:rStyle w:val="Heading2Char"/>
        </w:rPr>
        <w:t>Test 2 – Replication of Published Data Analyses:</w:t>
      </w:r>
      <w:bookmarkEnd w:id="5"/>
      <w:r w:rsidRPr="00C42D78">
        <w:rPr>
          <w:rStyle w:val="Heading2Char"/>
        </w:rPr>
        <w:t xml:space="preserve">    </w:t>
      </w:r>
      <w:r w:rsidR="00245FE1" w:rsidRPr="00463D42">
        <w:rPr>
          <w:rFonts w:cstheme="minorHAnsi"/>
        </w:rPr>
        <w:t xml:space="preserve">Descriptive statistics generated by DELTA for Test 2 match published data distributions with </w:t>
      </w:r>
      <w:r w:rsidR="009913EB" w:rsidRPr="00463D42">
        <w:rPr>
          <w:rFonts w:cstheme="minorHAnsi"/>
        </w:rPr>
        <w:t>high</w:t>
      </w:r>
      <w:r w:rsidR="00245FE1" w:rsidRPr="00463D42">
        <w:rPr>
          <w:rFonts w:cstheme="minorHAnsi"/>
        </w:rPr>
        <w:t xml:space="preserve"> accuracy (100% for 10 of 12 covariates, 98%-99% for remaining two), confirming DELTA is capable of successfully ingesting </w:t>
      </w:r>
      <w:r w:rsidR="009913EB" w:rsidRPr="00463D42">
        <w:rPr>
          <w:rFonts w:cstheme="minorHAnsi"/>
        </w:rPr>
        <w:t>real world data</w:t>
      </w:r>
      <w:r w:rsidR="00245FE1" w:rsidRPr="00463D42">
        <w:rPr>
          <w:rFonts w:cstheme="minorHAnsi"/>
        </w:rPr>
        <w:t xml:space="preserve"> in a cloud environment </w:t>
      </w:r>
      <w:r w:rsidR="009913EB" w:rsidRPr="00463D42">
        <w:rPr>
          <w:rFonts w:cstheme="minorHAnsi"/>
        </w:rPr>
        <w:t xml:space="preserve">with high fidelity (see Table </w:t>
      </w:r>
      <w:r w:rsidR="00463D42">
        <w:rPr>
          <w:rFonts w:cstheme="minorHAnsi"/>
        </w:rPr>
        <w:t>S</w:t>
      </w:r>
      <w:r w:rsidR="009913EB" w:rsidRPr="00463D42">
        <w:rPr>
          <w:rFonts w:cstheme="minorHAnsi"/>
        </w:rPr>
        <w:t>3</w:t>
      </w:r>
      <w:r w:rsidR="00245FE1" w:rsidRPr="00463D42">
        <w:rPr>
          <w:rFonts w:cstheme="minorHAnsi"/>
        </w:rPr>
        <w:t xml:space="preserve">). </w:t>
      </w:r>
    </w:p>
    <w:p w14:paraId="6B984CEA" w14:textId="5DA57EFD" w:rsidR="00463D42" w:rsidRDefault="00463D42" w:rsidP="004127ED">
      <w:pPr>
        <w:spacing w:after="0" w:line="240" w:lineRule="auto"/>
        <w:jc w:val="both"/>
        <w:rPr>
          <w:rFonts w:cstheme="minorHAnsi"/>
        </w:rPr>
      </w:pPr>
    </w:p>
    <w:p w14:paraId="119C5EE1" w14:textId="313B59AC" w:rsidR="00463D42" w:rsidRPr="00463D42" w:rsidRDefault="00463D42" w:rsidP="004127ED">
      <w:pPr>
        <w:spacing w:after="0" w:line="240" w:lineRule="auto"/>
        <w:jc w:val="both"/>
        <w:rPr>
          <w:rFonts w:cstheme="minorHAnsi"/>
          <w:i/>
        </w:rPr>
      </w:pPr>
      <w:r w:rsidRPr="00463D42">
        <w:rPr>
          <w:rFonts w:cstheme="minorHAnsi"/>
          <w:b/>
          <w:i/>
        </w:rPr>
        <w:t xml:space="preserve">Table </w:t>
      </w:r>
      <w:r>
        <w:rPr>
          <w:rFonts w:cstheme="minorHAnsi"/>
          <w:b/>
          <w:i/>
        </w:rPr>
        <w:t>S</w:t>
      </w:r>
      <w:r w:rsidRPr="00463D42">
        <w:rPr>
          <w:rFonts w:cstheme="minorHAnsi"/>
          <w:b/>
          <w:i/>
        </w:rPr>
        <w:t>3.</w:t>
      </w:r>
      <w:r w:rsidRPr="00463D42">
        <w:rPr>
          <w:rFonts w:cstheme="minorHAnsi"/>
          <w:i/>
        </w:rPr>
        <w:t xml:space="preserve"> Descriptive statistics comparison between DELTA and published source material.</w:t>
      </w:r>
    </w:p>
    <w:tbl>
      <w:tblPr>
        <w:tblpPr w:leftFromText="180" w:rightFromText="180" w:vertAnchor="text" w:horzAnchor="margin" w:tblpY="126"/>
        <w:tblW w:w="9800" w:type="dxa"/>
        <w:tblLook w:val="04A0" w:firstRow="1" w:lastRow="0" w:firstColumn="1" w:lastColumn="0" w:noHBand="0" w:noVBand="1"/>
      </w:tblPr>
      <w:tblGrid>
        <w:gridCol w:w="1356"/>
        <w:gridCol w:w="1154"/>
        <w:gridCol w:w="1080"/>
        <w:gridCol w:w="1080"/>
        <w:gridCol w:w="1260"/>
        <w:gridCol w:w="1170"/>
        <w:gridCol w:w="1170"/>
        <w:gridCol w:w="720"/>
        <w:gridCol w:w="810"/>
      </w:tblGrid>
      <w:tr w:rsidR="00463D42" w:rsidRPr="00463D42" w14:paraId="789FB696" w14:textId="77777777" w:rsidTr="00463D42">
        <w:trPr>
          <w:trHeight w:val="339"/>
        </w:trPr>
        <w:tc>
          <w:tcPr>
            <w:tcW w:w="1356" w:type="dxa"/>
            <w:vMerge w:val="restart"/>
            <w:tcBorders>
              <w:top w:val="single" w:sz="8" w:space="0" w:color="auto"/>
              <w:left w:val="single" w:sz="8" w:space="0" w:color="auto"/>
              <w:bottom w:val="single" w:sz="8" w:space="0" w:color="000000"/>
              <w:right w:val="nil"/>
            </w:tcBorders>
            <w:shd w:val="clear" w:color="auto" w:fill="auto"/>
            <w:vAlign w:val="center"/>
            <w:hideMark/>
          </w:tcPr>
          <w:p w14:paraId="2B4FC402"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Baseline Characteristics and Risk Factors</w:t>
            </w:r>
          </w:p>
        </w:tc>
        <w:tc>
          <w:tcPr>
            <w:tcW w:w="3314"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E1F3C4C"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DELTA Analysis</w:t>
            </w:r>
          </w:p>
        </w:tc>
        <w:tc>
          <w:tcPr>
            <w:tcW w:w="3600"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7F58F297"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Published Analysis (Drozda et. al)</w:t>
            </w:r>
          </w:p>
        </w:tc>
        <w:tc>
          <w:tcPr>
            <w:tcW w:w="1530" w:type="dxa"/>
            <w:gridSpan w:val="2"/>
            <w:vMerge w:val="restart"/>
            <w:tcBorders>
              <w:top w:val="single" w:sz="8" w:space="0" w:color="auto"/>
              <w:left w:val="single" w:sz="8" w:space="0" w:color="auto"/>
              <w:bottom w:val="single" w:sz="4" w:space="0" w:color="000000"/>
              <w:right w:val="single" w:sz="8" w:space="0" w:color="000000"/>
            </w:tcBorders>
            <w:shd w:val="clear" w:color="auto" w:fill="auto"/>
            <w:noWrap/>
            <w:vAlign w:val="center"/>
            <w:hideMark/>
          </w:tcPr>
          <w:p w14:paraId="125F99E6"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Accuracy</w:t>
            </w:r>
          </w:p>
        </w:tc>
      </w:tr>
      <w:tr w:rsidR="00463D42" w:rsidRPr="00463D42" w14:paraId="564D34AE" w14:textId="77777777" w:rsidTr="00463D42">
        <w:trPr>
          <w:trHeight w:val="323"/>
        </w:trPr>
        <w:tc>
          <w:tcPr>
            <w:tcW w:w="1356" w:type="dxa"/>
            <w:vMerge/>
            <w:tcBorders>
              <w:top w:val="single" w:sz="8" w:space="0" w:color="auto"/>
              <w:left w:val="single" w:sz="8" w:space="0" w:color="auto"/>
              <w:bottom w:val="single" w:sz="8" w:space="0" w:color="000000"/>
              <w:right w:val="nil"/>
            </w:tcBorders>
            <w:vAlign w:val="center"/>
            <w:hideMark/>
          </w:tcPr>
          <w:p w14:paraId="222C94E0" w14:textId="77777777" w:rsidR="00463D42" w:rsidRPr="00463D42" w:rsidRDefault="00463D42" w:rsidP="004127ED">
            <w:pPr>
              <w:spacing w:after="0" w:line="240" w:lineRule="auto"/>
              <w:jc w:val="both"/>
              <w:rPr>
                <w:rFonts w:eastAsia="Times New Roman" w:cstheme="minorHAnsi"/>
                <w:sz w:val="16"/>
                <w:szCs w:val="16"/>
              </w:rPr>
            </w:pPr>
          </w:p>
        </w:tc>
        <w:tc>
          <w:tcPr>
            <w:tcW w:w="1154" w:type="dxa"/>
            <w:tcBorders>
              <w:top w:val="nil"/>
              <w:left w:val="single" w:sz="8" w:space="0" w:color="auto"/>
              <w:bottom w:val="single" w:sz="4" w:space="0" w:color="auto"/>
              <w:right w:val="single" w:sz="4" w:space="0" w:color="auto"/>
            </w:tcBorders>
            <w:shd w:val="clear" w:color="auto" w:fill="auto"/>
            <w:noWrap/>
            <w:vAlign w:val="center"/>
            <w:hideMark/>
          </w:tcPr>
          <w:p w14:paraId="23581CEF"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DES Cohort</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65AC236"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BMS Cohort</w:t>
            </w:r>
          </w:p>
        </w:tc>
        <w:tc>
          <w:tcPr>
            <w:tcW w:w="1080"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62D94CBC"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Abs Std Diff</w:t>
            </w:r>
          </w:p>
        </w:tc>
        <w:tc>
          <w:tcPr>
            <w:tcW w:w="1260" w:type="dxa"/>
            <w:tcBorders>
              <w:top w:val="nil"/>
              <w:left w:val="nil"/>
              <w:bottom w:val="single" w:sz="4" w:space="0" w:color="auto"/>
              <w:right w:val="single" w:sz="4" w:space="0" w:color="auto"/>
            </w:tcBorders>
            <w:shd w:val="clear" w:color="auto" w:fill="auto"/>
            <w:noWrap/>
            <w:vAlign w:val="center"/>
            <w:hideMark/>
          </w:tcPr>
          <w:p w14:paraId="4561AE33"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DES Cohort</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4F64B591"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BMS Cohort</w:t>
            </w:r>
          </w:p>
        </w:tc>
        <w:tc>
          <w:tcPr>
            <w:tcW w:w="1170"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659649C0"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Abs Std Diff</w:t>
            </w:r>
          </w:p>
        </w:tc>
        <w:tc>
          <w:tcPr>
            <w:tcW w:w="1530" w:type="dxa"/>
            <w:gridSpan w:val="2"/>
            <w:vMerge/>
            <w:tcBorders>
              <w:top w:val="nil"/>
              <w:left w:val="single" w:sz="4" w:space="0" w:color="auto"/>
              <w:bottom w:val="single" w:sz="8" w:space="0" w:color="000000"/>
              <w:right w:val="single" w:sz="8" w:space="0" w:color="auto"/>
            </w:tcBorders>
            <w:vAlign w:val="center"/>
            <w:hideMark/>
          </w:tcPr>
          <w:p w14:paraId="51982EEE" w14:textId="77777777" w:rsidR="00463D42" w:rsidRPr="00463D42" w:rsidRDefault="00463D42" w:rsidP="004127ED">
            <w:pPr>
              <w:spacing w:after="0" w:line="240" w:lineRule="auto"/>
              <w:jc w:val="both"/>
              <w:rPr>
                <w:rFonts w:eastAsia="Times New Roman" w:cstheme="minorHAnsi"/>
                <w:sz w:val="16"/>
                <w:szCs w:val="16"/>
              </w:rPr>
            </w:pPr>
          </w:p>
        </w:tc>
      </w:tr>
      <w:tr w:rsidR="00463D42" w:rsidRPr="00463D42" w14:paraId="41B9FBB2" w14:textId="77777777" w:rsidTr="00463D42">
        <w:trPr>
          <w:trHeight w:val="339"/>
        </w:trPr>
        <w:tc>
          <w:tcPr>
            <w:tcW w:w="1356" w:type="dxa"/>
            <w:vMerge/>
            <w:tcBorders>
              <w:top w:val="single" w:sz="8" w:space="0" w:color="auto"/>
              <w:left w:val="single" w:sz="8" w:space="0" w:color="auto"/>
              <w:bottom w:val="single" w:sz="8" w:space="0" w:color="000000"/>
              <w:right w:val="nil"/>
            </w:tcBorders>
            <w:vAlign w:val="center"/>
            <w:hideMark/>
          </w:tcPr>
          <w:p w14:paraId="6AEAD757" w14:textId="77777777" w:rsidR="00463D42" w:rsidRPr="00463D42" w:rsidRDefault="00463D42" w:rsidP="004127ED">
            <w:pPr>
              <w:spacing w:after="0" w:line="240" w:lineRule="auto"/>
              <w:jc w:val="both"/>
              <w:rPr>
                <w:rFonts w:eastAsia="Times New Roman" w:cstheme="minorHAnsi"/>
                <w:sz w:val="16"/>
                <w:szCs w:val="16"/>
              </w:rPr>
            </w:pPr>
          </w:p>
        </w:tc>
        <w:tc>
          <w:tcPr>
            <w:tcW w:w="1154" w:type="dxa"/>
            <w:tcBorders>
              <w:top w:val="nil"/>
              <w:left w:val="single" w:sz="8" w:space="0" w:color="auto"/>
              <w:bottom w:val="single" w:sz="8" w:space="0" w:color="auto"/>
              <w:right w:val="single" w:sz="4" w:space="0" w:color="auto"/>
            </w:tcBorders>
            <w:shd w:val="clear" w:color="auto" w:fill="auto"/>
            <w:noWrap/>
            <w:vAlign w:val="center"/>
            <w:hideMark/>
          </w:tcPr>
          <w:p w14:paraId="4E542688"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n = 1145</w:t>
            </w:r>
          </w:p>
        </w:tc>
        <w:tc>
          <w:tcPr>
            <w:tcW w:w="1080" w:type="dxa"/>
            <w:tcBorders>
              <w:top w:val="single" w:sz="4" w:space="0" w:color="auto"/>
              <w:left w:val="nil"/>
              <w:bottom w:val="single" w:sz="8" w:space="0" w:color="auto"/>
              <w:right w:val="single" w:sz="4" w:space="0" w:color="auto"/>
            </w:tcBorders>
            <w:shd w:val="clear" w:color="auto" w:fill="auto"/>
            <w:noWrap/>
            <w:vAlign w:val="center"/>
            <w:hideMark/>
          </w:tcPr>
          <w:p w14:paraId="0D57080D"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n = 300</w:t>
            </w:r>
          </w:p>
        </w:tc>
        <w:tc>
          <w:tcPr>
            <w:tcW w:w="1080" w:type="dxa"/>
            <w:vMerge/>
            <w:tcBorders>
              <w:top w:val="nil"/>
              <w:left w:val="single" w:sz="4" w:space="0" w:color="auto"/>
              <w:bottom w:val="single" w:sz="8" w:space="0" w:color="000000"/>
              <w:right w:val="single" w:sz="8" w:space="0" w:color="auto"/>
            </w:tcBorders>
            <w:vAlign w:val="center"/>
            <w:hideMark/>
          </w:tcPr>
          <w:p w14:paraId="5EDC89A0" w14:textId="77777777" w:rsidR="00463D42" w:rsidRPr="00463D42" w:rsidRDefault="00463D42" w:rsidP="004127ED">
            <w:pPr>
              <w:spacing w:after="0" w:line="240" w:lineRule="auto"/>
              <w:jc w:val="both"/>
              <w:rPr>
                <w:rFonts w:eastAsia="Times New Roman" w:cstheme="minorHAnsi"/>
                <w:sz w:val="16"/>
                <w:szCs w:val="16"/>
              </w:rPr>
            </w:pPr>
          </w:p>
        </w:tc>
        <w:tc>
          <w:tcPr>
            <w:tcW w:w="1260" w:type="dxa"/>
            <w:tcBorders>
              <w:top w:val="nil"/>
              <w:left w:val="nil"/>
              <w:bottom w:val="single" w:sz="8" w:space="0" w:color="auto"/>
              <w:right w:val="single" w:sz="4" w:space="0" w:color="auto"/>
            </w:tcBorders>
            <w:shd w:val="clear" w:color="auto" w:fill="auto"/>
            <w:noWrap/>
            <w:vAlign w:val="center"/>
            <w:hideMark/>
          </w:tcPr>
          <w:p w14:paraId="4D98B416"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n = 1145</w:t>
            </w:r>
          </w:p>
        </w:tc>
        <w:tc>
          <w:tcPr>
            <w:tcW w:w="1170" w:type="dxa"/>
            <w:tcBorders>
              <w:top w:val="single" w:sz="4" w:space="0" w:color="auto"/>
              <w:left w:val="nil"/>
              <w:bottom w:val="single" w:sz="8" w:space="0" w:color="auto"/>
              <w:right w:val="single" w:sz="4" w:space="0" w:color="auto"/>
            </w:tcBorders>
            <w:shd w:val="clear" w:color="auto" w:fill="auto"/>
            <w:noWrap/>
            <w:vAlign w:val="center"/>
            <w:hideMark/>
          </w:tcPr>
          <w:p w14:paraId="76419E95"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n = 300</w:t>
            </w:r>
          </w:p>
        </w:tc>
        <w:tc>
          <w:tcPr>
            <w:tcW w:w="1170" w:type="dxa"/>
            <w:vMerge/>
            <w:tcBorders>
              <w:top w:val="nil"/>
              <w:left w:val="single" w:sz="4" w:space="0" w:color="auto"/>
              <w:bottom w:val="single" w:sz="8" w:space="0" w:color="000000"/>
              <w:right w:val="single" w:sz="8" w:space="0" w:color="auto"/>
            </w:tcBorders>
            <w:vAlign w:val="center"/>
            <w:hideMark/>
          </w:tcPr>
          <w:p w14:paraId="4E6DBE3A" w14:textId="77777777" w:rsidR="00463D42" w:rsidRPr="00463D42" w:rsidRDefault="00463D42" w:rsidP="004127ED">
            <w:pPr>
              <w:spacing w:after="0" w:line="240" w:lineRule="auto"/>
              <w:jc w:val="both"/>
              <w:rPr>
                <w:rFonts w:eastAsia="Times New Roman" w:cstheme="minorHAnsi"/>
                <w:sz w:val="16"/>
                <w:szCs w:val="16"/>
              </w:rPr>
            </w:pPr>
          </w:p>
        </w:tc>
        <w:tc>
          <w:tcPr>
            <w:tcW w:w="720" w:type="dxa"/>
            <w:tcBorders>
              <w:top w:val="nil"/>
              <w:left w:val="nil"/>
              <w:bottom w:val="single" w:sz="8" w:space="0" w:color="auto"/>
              <w:right w:val="single" w:sz="4" w:space="0" w:color="auto"/>
            </w:tcBorders>
            <w:shd w:val="clear" w:color="auto" w:fill="auto"/>
            <w:noWrap/>
            <w:vAlign w:val="center"/>
            <w:hideMark/>
          </w:tcPr>
          <w:p w14:paraId="632799E6"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DES %</w:t>
            </w:r>
          </w:p>
        </w:tc>
        <w:tc>
          <w:tcPr>
            <w:tcW w:w="810" w:type="dxa"/>
            <w:tcBorders>
              <w:top w:val="nil"/>
              <w:left w:val="nil"/>
              <w:bottom w:val="single" w:sz="8" w:space="0" w:color="auto"/>
              <w:right w:val="single" w:sz="8" w:space="0" w:color="auto"/>
            </w:tcBorders>
            <w:shd w:val="clear" w:color="auto" w:fill="auto"/>
            <w:noWrap/>
            <w:vAlign w:val="center"/>
            <w:hideMark/>
          </w:tcPr>
          <w:p w14:paraId="0147FCCD"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BMS %</w:t>
            </w:r>
          </w:p>
        </w:tc>
      </w:tr>
      <w:tr w:rsidR="00463D42" w:rsidRPr="00463D42" w14:paraId="7D201F9E" w14:textId="77777777" w:rsidTr="00463D42">
        <w:trPr>
          <w:trHeight w:val="323"/>
        </w:trPr>
        <w:tc>
          <w:tcPr>
            <w:tcW w:w="1356" w:type="dxa"/>
            <w:tcBorders>
              <w:top w:val="nil"/>
              <w:left w:val="single" w:sz="8" w:space="0" w:color="auto"/>
              <w:bottom w:val="nil"/>
              <w:right w:val="single" w:sz="8" w:space="0" w:color="auto"/>
            </w:tcBorders>
            <w:shd w:val="clear" w:color="auto" w:fill="auto"/>
            <w:noWrap/>
            <w:vAlign w:val="bottom"/>
            <w:hideMark/>
          </w:tcPr>
          <w:p w14:paraId="16F9B07D"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Female</w:t>
            </w:r>
          </w:p>
        </w:tc>
        <w:tc>
          <w:tcPr>
            <w:tcW w:w="1154" w:type="dxa"/>
            <w:tcBorders>
              <w:top w:val="nil"/>
              <w:left w:val="nil"/>
              <w:bottom w:val="nil"/>
              <w:right w:val="single" w:sz="4" w:space="0" w:color="auto"/>
            </w:tcBorders>
            <w:shd w:val="clear" w:color="auto" w:fill="auto"/>
            <w:hideMark/>
          </w:tcPr>
          <w:p w14:paraId="03F45BAB"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376 (32.8.%)</w:t>
            </w:r>
          </w:p>
        </w:tc>
        <w:tc>
          <w:tcPr>
            <w:tcW w:w="1080" w:type="dxa"/>
            <w:tcBorders>
              <w:top w:val="nil"/>
              <w:left w:val="nil"/>
              <w:bottom w:val="nil"/>
              <w:right w:val="single" w:sz="4" w:space="0" w:color="auto"/>
            </w:tcBorders>
            <w:shd w:val="clear" w:color="auto" w:fill="auto"/>
            <w:hideMark/>
          </w:tcPr>
          <w:p w14:paraId="506D61B2"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100 (33.3.%)</w:t>
            </w:r>
          </w:p>
        </w:tc>
        <w:tc>
          <w:tcPr>
            <w:tcW w:w="1080" w:type="dxa"/>
            <w:tcBorders>
              <w:top w:val="nil"/>
              <w:left w:val="nil"/>
              <w:bottom w:val="nil"/>
              <w:right w:val="single" w:sz="8" w:space="0" w:color="auto"/>
            </w:tcBorders>
            <w:shd w:val="clear" w:color="auto" w:fill="auto"/>
            <w:hideMark/>
          </w:tcPr>
          <w:p w14:paraId="0F49DACF"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0.011</w:t>
            </w:r>
          </w:p>
        </w:tc>
        <w:tc>
          <w:tcPr>
            <w:tcW w:w="1260" w:type="dxa"/>
            <w:tcBorders>
              <w:top w:val="nil"/>
              <w:left w:val="nil"/>
              <w:bottom w:val="nil"/>
              <w:right w:val="single" w:sz="4" w:space="0" w:color="auto"/>
            </w:tcBorders>
            <w:shd w:val="clear" w:color="auto" w:fill="auto"/>
            <w:noWrap/>
            <w:vAlign w:val="bottom"/>
            <w:hideMark/>
          </w:tcPr>
          <w:p w14:paraId="1F5BF551"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376 (32.8.%)</w:t>
            </w:r>
          </w:p>
        </w:tc>
        <w:tc>
          <w:tcPr>
            <w:tcW w:w="1170" w:type="dxa"/>
            <w:tcBorders>
              <w:top w:val="nil"/>
              <w:left w:val="nil"/>
              <w:bottom w:val="nil"/>
              <w:right w:val="single" w:sz="4" w:space="0" w:color="auto"/>
            </w:tcBorders>
            <w:shd w:val="clear" w:color="auto" w:fill="auto"/>
            <w:noWrap/>
            <w:vAlign w:val="bottom"/>
            <w:hideMark/>
          </w:tcPr>
          <w:p w14:paraId="25DEEE28"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100 (33.3.%)</w:t>
            </w:r>
          </w:p>
        </w:tc>
        <w:tc>
          <w:tcPr>
            <w:tcW w:w="1170" w:type="dxa"/>
            <w:tcBorders>
              <w:top w:val="nil"/>
              <w:left w:val="nil"/>
              <w:bottom w:val="nil"/>
              <w:right w:val="single" w:sz="8" w:space="0" w:color="auto"/>
            </w:tcBorders>
            <w:shd w:val="clear" w:color="auto" w:fill="auto"/>
            <w:hideMark/>
          </w:tcPr>
          <w:p w14:paraId="7463442D"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0.011</w:t>
            </w:r>
          </w:p>
        </w:tc>
        <w:tc>
          <w:tcPr>
            <w:tcW w:w="720" w:type="dxa"/>
            <w:tcBorders>
              <w:top w:val="nil"/>
              <w:left w:val="nil"/>
              <w:bottom w:val="nil"/>
              <w:right w:val="nil"/>
            </w:tcBorders>
            <w:shd w:val="clear" w:color="auto" w:fill="auto"/>
            <w:hideMark/>
          </w:tcPr>
          <w:p w14:paraId="1F3B75C6"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1.00</w:t>
            </w:r>
          </w:p>
        </w:tc>
        <w:tc>
          <w:tcPr>
            <w:tcW w:w="810" w:type="dxa"/>
            <w:tcBorders>
              <w:top w:val="nil"/>
              <w:left w:val="single" w:sz="4" w:space="0" w:color="auto"/>
              <w:bottom w:val="nil"/>
              <w:right w:val="single" w:sz="8" w:space="0" w:color="auto"/>
            </w:tcBorders>
            <w:shd w:val="clear" w:color="auto" w:fill="auto"/>
            <w:hideMark/>
          </w:tcPr>
          <w:p w14:paraId="4721F77C"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1.00</w:t>
            </w:r>
          </w:p>
        </w:tc>
      </w:tr>
      <w:tr w:rsidR="00463D42" w:rsidRPr="00463D42" w14:paraId="784415C4" w14:textId="77777777" w:rsidTr="00463D42">
        <w:trPr>
          <w:trHeight w:val="323"/>
        </w:trPr>
        <w:tc>
          <w:tcPr>
            <w:tcW w:w="1356" w:type="dxa"/>
            <w:tcBorders>
              <w:top w:val="nil"/>
              <w:left w:val="single" w:sz="8" w:space="0" w:color="auto"/>
              <w:bottom w:val="nil"/>
              <w:right w:val="single" w:sz="8" w:space="0" w:color="auto"/>
            </w:tcBorders>
            <w:shd w:val="clear" w:color="auto" w:fill="auto"/>
            <w:noWrap/>
            <w:vAlign w:val="bottom"/>
            <w:hideMark/>
          </w:tcPr>
          <w:p w14:paraId="5469ECDA"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Age &gt;65</w:t>
            </w:r>
          </w:p>
        </w:tc>
        <w:tc>
          <w:tcPr>
            <w:tcW w:w="1154" w:type="dxa"/>
            <w:tcBorders>
              <w:top w:val="nil"/>
              <w:left w:val="nil"/>
              <w:bottom w:val="nil"/>
              <w:right w:val="single" w:sz="4" w:space="0" w:color="auto"/>
            </w:tcBorders>
            <w:shd w:val="clear" w:color="auto" w:fill="auto"/>
            <w:hideMark/>
          </w:tcPr>
          <w:p w14:paraId="7EB05C28"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600 (52.4.%)</w:t>
            </w:r>
          </w:p>
        </w:tc>
        <w:tc>
          <w:tcPr>
            <w:tcW w:w="1080" w:type="dxa"/>
            <w:tcBorders>
              <w:top w:val="nil"/>
              <w:left w:val="nil"/>
              <w:bottom w:val="nil"/>
              <w:right w:val="single" w:sz="4" w:space="0" w:color="auto"/>
            </w:tcBorders>
            <w:shd w:val="clear" w:color="auto" w:fill="auto"/>
            <w:hideMark/>
          </w:tcPr>
          <w:p w14:paraId="4ECC5920"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191 (63.7.%)</w:t>
            </w:r>
          </w:p>
        </w:tc>
        <w:tc>
          <w:tcPr>
            <w:tcW w:w="1080" w:type="dxa"/>
            <w:tcBorders>
              <w:top w:val="nil"/>
              <w:left w:val="nil"/>
              <w:bottom w:val="nil"/>
              <w:right w:val="single" w:sz="8" w:space="0" w:color="auto"/>
            </w:tcBorders>
            <w:shd w:val="clear" w:color="auto" w:fill="auto"/>
            <w:hideMark/>
          </w:tcPr>
          <w:p w14:paraId="1083FE5D"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0.226</w:t>
            </w:r>
          </w:p>
        </w:tc>
        <w:tc>
          <w:tcPr>
            <w:tcW w:w="1260" w:type="dxa"/>
            <w:tcBorders>
              <w:top w:val="nil"/>
              <w:left w:val="nil"/>
              <w:bottom w:val="nil"/>
              <w:right w:val="single" w:sz="4" w:space="0" w:color="auto"/>
            </w:tcBorders>
            <w:shd w:val="clear" w:color="auto" w:fill="auto"/>
            <w:noWrap/>
            <w:vAlign w:val="bottom"/>
            <w:hideMark/>
          </w:tcPr>
          <w:p w14:paraId="32C1F22E"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600 (52.4.%)</w:t>
            </w:r>
          </w:p>
        </w:tc>
        <w:tc>
          <w:tcPr>
            <w:tcW w:w="1170" w:type="dxa"/>
            <w:tcBorders>
              <w:top w:val="nil"/>
              <w:left w:val="nil"/>
              <w:bottom w:val="nil"/>
              <w:right w:val="single" w:sz="4" w:space="0" w:color="auto"/>
            </w:tcBorders>
            <w:shd w:val="clear" w:color="auto" w:fill="auto"/>
            <w:noWrap/>
            <w:vAlign w:val="bottom"/>
            <w:hideMark/>
          </w:tcPr>
          <w:p w14:paraId="5574919F"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191 (63.7.%)</w:t>
            </w:r>
          </w:p>
        </w:tc>
        <w:tc>
          <w:tcPr>
            <w:tcW w:w="1170" w:type="dxa"/>
            <w:tcBorders>
              <w:top w:val="nil"/>
              <w:left w:val="nil"/>
              <w:bottom w:val="nil"/>
              <w:right w:val="single" w:sz="8" w:space="0" w:color="auto"/>
            </w:tcBorders>
            <w:shd w:val="clear" w:color="auto" w:fill="auto"/>
            <w:hideMark/>
          </w:tcPr>
          <w:p w14:paraId="74036277"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0.230</w:t>
            </w:r>
          </w:p>
        </w:tc>
        <w:tc>
          <w:tcPr>
            <w:tcW w:w="720" w:type="dxa"/>
            <w:tcBorders>
              <w:top w:val="nil"/>
              <w:left w:val="nil"/>
              <w:bottom w:val="nil"/>
              <w:right w:val="nil"/>
            </w:tcBorders>
            <w:shd w:val="clear" w:color="auto" w:fill="auto"/>
            <w:hideMark/>
          </w:tcPr>
          <w:p w14:paraId="40E56A0A"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1.00</w:t>
            </w:r>
          </w:p>
        </w:tc>
        <w:tc>
          <w:tcPr>
            <w:tcW w:w="810" w:type="dxa"/>
            <w:tcBorders>
              <w:top w:val="nil"/>
              <w:left w:val="single" w:sz="4" w:space="0" w:color="auto"/>
              <w:bottom w:val="nil"/>
              <w:right w:val="single" w:sz="8" w:space="0" w:color="auto"/>
            </w:tcBorders>
            <w:shd w:val="clear" w:color="auto" w:fill="auto"/>
            <w:hideMark/>
          </w:tcPr>
          <w:p w14:paraId="3C21D062"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1.00</w:t>
            </w:r>
          </w:p>
        </w:tc>
      </w:tr>
      <w:tr w:rsidR="00463D42" w:rsidRPr="00463D42" w14:paraId="4E5BB98D" w14:textId="77777777" w:rsidTr="00463D42">
        <w:trPr>
          <w:trHeight w:val="323"/>
        </w:trPr>
        <w:tc>
          <w:tcPr>
            <w:tcW w:w="1356" w:type="dxa"/>
            <w:tcBorders>
              <w:top w:val="nil"/>
              <w:left w:val="single" w:sz="8" w:space="0" w:color="auto"/>
              <w:bottom w:val="nil"/>
              <w:right w:val="single" w:sz="8" w:space="0" w:color="auto"/>
            </w:tcBorders>
            <w:shd w:val="clear" w:color="auto" w:fill="auto"/>
            <w:noWrap/>
            <w:vAlign w:val="bottom"/>
            <w:hideMark/>
          </w:tcPr>
          <w:p w14:paraId="6703FC0F"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Caucasian</w:t>
            </w:r>
          </w:p>
        </w:tc>
        <w:tc>
          <w:tcPr>
            <w:tcW w:w="1154" w:type="dxa"/>
            <w:tcBorders>
              <w:top w:val="nil"/>
              <w:left w:val="nil"/>
              <w:bottom w:val="nil"/>
              <w:right w:val="single" w:sz="4" w:space="0" w:color="auto"/>
            </w:tcBorders>
            <w:shd w:val="clear" w:color="auto" w:fill="auto"/>
            <w:hideMark/>
          </w:tcPr>
          <w:p w14:paraId="1EE9AF08"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1095 (95.6.%)</w:t>
            </w:r>
          </w:p>
        </w:tc>
        <w:tc>
          <w:tcPr>
            <w:tcW w:w="1080" w:type="dxa"/>
            <w:tcBorders>
              <w:top w:val="nil"/>
              <w:left w:val="nil"/>
              <w:bottom w:val="nil"/>
              <w:right w:val="single" w:sz="4" w:space="0" w:color="auto"/>
            </w:tcBorders>
            <w:shd w:val="clear" w:color="auto" w:fill="auto"/>
            <w:hideMark/>
          </w:tcPr>
          <w:p w14:paraId="05EC88BF"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286 (95.3.%)</w:t>
            </w:r>
          </w:p>
        </w:tc>
        <w:tc>
          <w:tcPr>
            <w:tcW w:w="1080" w:type="dxa"/>
            <w:tcBorders>
              <w:top w:val="nil"/>
              <w:left w:val="nil"/>
              <w:bottom w:val="nil"/>
              <w:right w:val="single" w:sz="8" w:space="0" w:color="auto"/>
            </w:tcBorders>
            <w:shd w:val="clear" w:color="auto" w:fill="auto"/>
            <w:hideMark/>
          </w:tcPr>
          <w:p w14:paraId="5E46BBC3"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0.015</w:t>
            </w:r>
          </w:p>
        </w:tc>
        <w:tc>
          <w:tcPr>
            <w:tcW w:w="1260" w:type="dxa"/>
            <w:tcBorders>
              <w:top w:val="nil"/>
              <w:left w:val="nil"/>
              <w:bottom w:val="nil"/>
              <w:right w:val="single" w:sz="4" w:space="0" w:color="auto"/>
            </w:tcBorders>
            <w:shd w:val="clear" w:color="auto" w:fill="auto"/>
            <w:noWrap/>
            <w:vAlign w:val="bottom"/>
            <w:hideMark/>
          </w:tcPr>
          <w:p w14:paraId="5A9E0067"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1095 (95.6.%)</w:t>
            </w:r>
          </w:p>
        </w:tc>
        <w:tc>
          <w:tcPr>
            <w:tcW w:w="1170" w:type="dxa"/>
            <w:tcBorders>
              <w:top w:val="nil"/>
              <w:left w:val="nil"/>
              <w:bottom w:val="nil"/>
              <w:right w:val="single" w:sz="4" w:space="0" w:color="auto"/>
            </w:tcBorders>
            <w:shd w:val="clear" w:color="auto" w:fill="auto"/>
            <w:noWrap/>
            <w:vAlign w:val="bottom"/>
            <w:hideMark/>
          </w:tcPr>
          <w:p w14:paraId="7A826414"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286 (95.3.%)</w:t>
            </w:r>
          </w:p>
        </w:tc>
        <w:tc>
          <w:tcPr>
            <w:tcW w:w="1170" w:type="dxa"/>
            <w:tcBorders>
              <w:top w:val="nil"/>
              <w:left w:val="nil"/>
              <w:bottom w:val="nil"/>
              <w:right w:val="single" w:sz="8" w:space="0" w:color="auto"/>
            </w:tcBorders>
            <w:shd w:val="clear" w:color="auto" w:fill="auto"/>
            <w:hideMark/>
          </w:tcPr>
          <w:p w14:paraId="77464C59"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0.014</w:t>
            </w:r>
          </w:p>
        </w:tc>
        <w:tc>
          <w:tcPr>
            <w:tcW w:w="720" w:type="dxa"/>
            <w:tcBorders>
              <w:top w:val="nil"/>
              <w:left w:val="nil"/>
              <w:bottom w:val="nil"/>
              <w:right w:val="nil"/>
            </w:tcBorders>
            <w:shd w:val="clear" w:color="auto" w:fill="auto"/>
            <w:hideMark/>
          </w:tcPr>
          <w:p w14:paraId="5EEBE08D"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1.00</w:t>
            </w:r>
          </w:p>
        </w:tc>
        <w:tc>
          <w:tcPr>
            <w:tcW w:w="810" w:type="dxa"/>
            <w:tcBorders>
              <w:top w:val="nil"/>
              <w:left w:val="single" w:sz="4" w:space="0" w:color="auto"/>
              <w:bottom w:val="nil"/>
              <w:right w:val="single" w:sz="8" w:space="0" w:color="auto"/>
            </w:tcBorders>
            <w:shd w:val="clear" w:color="auto" w:fill="auto"/>
            <w:hideMark/>
          </w:tcPr>
          <w:p w14:paraId="1A12628F"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1.00</w:t>
            </w:r>
          </w:p>
        </w:tc>
      </w:tr>
      <w:tr w:rsidR="00463D42" w:rsidRPr="00463D42" w14:paraId="72E5B021" w14:textId="77777777" w:rsidTr="00463D42">
        <w:trPr>
          <w:trHeight w:val="323"/>
        </w:trPr>
        <w:tc>
          <w:tcPr>
            <w:tcW w:w="1356" w:type="dxa"/>
            <w:tcBorders>
              <w:top w:val="nil"/>
              <w:left w:val="single" w:sz="8" w:space="0" w:color="auto"/>
              <w:bottom w:val="nil"/>
              <w:right w:val="single" w:sz="8" w:space="0" w:color="auto"/>
            </w:tcBorders>
            <w:shd w:val="clear" w:color="auto" w:fill="auto"/>
            <w:noWrap/>
            <w:vAlign w:val="bottom"/>
            <w:hideMark/>
          </w:tcPr>
          <w:p w14:paraId="2FEA3981"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Married</w:t>
            </w:r>
          </w:p>
        </w:tc>
        <w:tc>
          <w:tcPr>
            <w:tcW w:w="1154" w:type="dxa"/>
            <w:tcBorders>
              <w:top w:val="nil"/>
              <w:left w:val="nil"/>
              <w:bottom w:val="nil"/>
              <w:right w:val="single" w:sz="4" w:space="0" w:color="auto"/>
            </w:tcBorders>
            <w:shd w:val="clear" w:color="auto" w:fill="auto"/>
            <w:hideMark/>
          </w:tcPr>
          <w:p w14:paraId="47ACD730"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800 (69.9.%)</w:t>
            </w:r>
          </w:p>
        </w:tc>
        <w:tc>
          <w:tcPr>
            <w:tcW w:w="1080" w:type="dxa"/>
            <w:tcBorders>
              <w:top w:val="nil"/>
              <w:left w:val="nil"/>
              <w:bottom w:val="nil"/>
              <w:right w:val="single" w:sz="4" w:space="0" w:color="auto"/>
            </w:tcBorders>
            <w:shd w:val="clear" w:color="auto" w:fill="auto"/>
            <w:hideMark/>
          </w:tcPr>
          <w:p w14:paraId="4CC837A9"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168 (56.0.%)</w:t>
            </w:r>
          </w:p>
        </w:tc>
        <w:tc>
          <w:tcPr>
            <w:tcW w:w="1080" w:type="dxa"/>
            <w:tcBorders>
              <w:top w:val="nil"/>
              <w:left w:val="nil"/>
              <w:bottom w:val="nil"/>
              <w:right w:val="single" w:sz="8" w:space="0" w:color="auto"/>
            </w:tcBorders>
            <w:shd w:val="clear" w:color="auto" w:fill="auto"/>
            <w:hideMark/>
          </w:tcPr>
          <w:p w14:paraId="380C2576"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0.295</w:t>
            </w:r>
          </w:p>
        </w:tc>
        <w:tc>
          <w:tcPr>
            <w:tcW w:w="1260" w:type="dxa"/>
            <w:tcBorders>
              <w:top w:val="nil"/>
              <w:left w:val="nil"/>
              <w:bottom w:val="nil"/>
              <w:right w:val="single" w:sz="4" w:space="0" w:color="auto"/>
            </w:tcBorders>
            <w:shd w:val="clear" w:color="auto" w:fill="auto"/>
            <w:noWrap/>
            <w:vAlign w:val="bottom"/>
            <w:hideMark/>
          </w:tcPr>
          <w:p w14:paraId="4505FC41"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800 (69.9.%)</w:t>
            </w:r>
          </w:p>
        </w:tc>
        <w:tc>
          <w:tcPr>
            <w:tcW w:w="1170" w:type="dxa"/>
            <w:tcBorders>
              <w:top w:val="nil"/>
              <w:left w:val="nil"/>
              <w:bottom w:val="nil"/>
              <w:right w:val="single" w:sz="4" w:space="0" w:color="auto"/>
            </w:tcBorders>
            <w:shd w:val="clear" w:color="auto" w:fill="auto"/>
            <w:noWrap/>
            <w:vAlign w:val="bottom"/>
            <w:hideMark/>
          </w:tcPr>
          <w:p w14:paraId="11AB2208"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168 (56.0.%)</w:t>
            </w:r>
          </w:p>
        </w:tc>
        <w:tc>
          <w:tcPr>
            <w:tcW w:w="1170" w:type="dxa"/>
            <w:tcBorders>
              <w:top w:val="nil"/>
              <w:left w:val="nil"/>
              <w:bottom w:val="nil"/>
              <w:right w:val="single" w:sz="8" w:space="0" w:color="auto"/>
            </w:tcBorders>
            <w:shd w:val="clear" w:color="auto" w:fill="auto"/>
            <w:hideMark/>
          </w:tcPr>
          <w:p w14:paraId="6D454D44"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0.290</w:t>
            </w:r>
          </w:p>
        </w:tc>
        <w:tc>
          <w:tcPr>
            <w:tcW w:w="720" w:type="dxa"/>
            <w:tcBorders>
              <w:top w:val="nil"/>
              <w:left w:val="nil"/>
              <w:bottom w:val="nil"/>
              <w:right w:val="nil"/>
            </w:tcBorders>
            <w:shd w:val="clear" w:color="auto" w:fill="auto"/>
            <w:hideMark/>
          </w:tcPr>
          <w:p w14:paraId="16B22B08"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1.00</w:t>
            </w:r>
          </w:p>
        </w:tc>
        <w:tc>
          <w:tcPr>
            <w:tcW w:w="810" w:type="dxa"/>
            <w:tcBorders>
              <w:top w:val="nil"/>
              <w:left w:val="single" w:sz="4" w:space="0" w:color="auto"/>
              <w:bottom w:val="nil"/>
              <w:right w:val="single" w:sz="8" w:space="0" w:color="auto"/>
            </w:tcBorders>
            <w:shd w:val="clear" w:color="auto" w:fill="auto"/>
            <w:hideMark/>
          </w:tcPr>
          <w:p w14:paraId="4C29992A"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1.00</w:t>
            </w:r>
          </w:p>
        </w:tc>
      </w:tr>
      <w:tr w:rsidR="00463D42" w:rsidRPr="00463D42" w14:paraId="6955D5EC" w14:textId="77777777" w:rsidTr="00463D42">
        <w:trPr>
          <w:trHeight w:val="323"/>
        </w:trPr>
        <w:tc>
          <w:tcPr>
            <w:tcW w:w="1356" w:type="dxa"/>
            <w:tcBorders>
              <w:top w:val="nil"/>
              <w:left w:val="single" w:sz="8" w:space="0" w:color="auto"/>
              <w:bottom w:val="nil"/>
              <w:right w:val="single" w:sz="8" w:space="0" w:color="auto"/>
            </w:tcBorders>
            <w:shd w:val="clear" w:color="auto" w:fill="auto"/>
            <w:noWrap/>
            <w:vAlign w:val="bottom"/>
            <w:hideMark/>
          </w:tcPr>
          <w:p w14:paraId="70A2D3F4"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Alcohol Use</w:t>
            </w:r>
          </w:p>
        </w:tc>
        <w:tc>
          <w:tcPr>
            <w:tcW w:w="1154" w:type="dxa"/>
            <w:tcBorders>
              <w:top w:val="nil"/>
              <w:left w:val="nil"/>
              <w:bottom w:val="nil"/>
              <w:right w:val="single" w:sz="4" w:space="0" w:color="auto"/>
            </w:tcBorders>
            <w:shd w:val="clear" w:color="auto" w:fill="auto"/>
            <w:hideMark/>
          </w:tcPr>
          <w:p w14:paraId="31AA1C1F"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420 (36.7.%)</w:t>
            </w:r>
          </w:p>
        </w:tc>
        <w:tc>
          <w:tcPr>
            <w:tcW w:w="1080" w:type="dxa"/>
            <w:tcBorders>
              <w:top w:val="nil"/>
              <w:left w:val="nil"/>
              <w:bottom w:val="nil"/>
              <w:right w:val="single" w:sz="4" w:space="0" w:color="auto"/>
            </w:tcBorders>
            <w:shd w:val="clear" w:color="auto" w:fill="auto"/>
            <w:hideMark/>
          </w:tcPr>
          <w:p w14:paraId="66059B10"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90 (30.0.%)</w:t>
            </w:r>
          </w:p>
        </w:tc>
        <w:tc>
          <w:tcPr>
            <w:tcW w:w="1080" w:type="dxa"/>
            <w:tcBorders>
              <w:top w:val="nil"/>
              <w:left w:val="nil"/>
              <w:bottom w:val="nil"/>
              <w:right w:val="single" w:sz="8" w:space="0" w:color="auto"/>
            </w:tcBorders>
            <w:shd w:val="clear" w:color="auto" w:fill="auto"/>
            <w:hideMark/>
          </w:tcPr>
          <w:p w14:paraId="001AB1CC"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0.140</w:t>
            </w:r>
          </w:p>
        </w:tc>
        <w:tc>
          <w:tcPr>
            <w:tcW w:w="1260" w:type="dxa"/>
            <w:tcBorders>
              <w:top w:val="nil"/>
              <w:left w:val="nil"/>
              <w:bottom w:val="nil"/>
              <w:right w:val="single" w:sz="4" w:space="0" w:color="auto"/>
            </w:tcBorders>
            <w:shd w:val="clear" w:color="auto" w:fill="auto"/>
            <w:noWrap/>
            <w:vAlign w:val="bottom"/>
            <w:hideMark/>
          </w:tcPr>
          <w:p w14:paraId="1B2391B0"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420 (36.7.%)</w:t>
            </w:r>
          </w:p>
        </w:tc>
        <w:tc>
          <w:tcPr>
            <w:tcW w:w="1170" w:type="dxa"/>
            <w:tcBorders>
              <w:top w:val="nil"/>
              <w:left w:val="nil"/>
              <w:bottom w:val="nil"/>
              <w:right w:val="single" w:sz="4" w:space="0" w:color="auto"/>
            </w:tcBorders>
            <w:shd w:val="clear" w:color="auto" w:fill="auto"/>
            <w:noWrap/>
            <w:vAlign w:val="bottom"/>
            <w:hideMark/>
          </w:tcPr>
          <w:p w14:paraId="3E98D7B8"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90 (30.0.%)</w:t>
            </w:r>
          </w:p>
        </w:tc>
        <w:tc>
          <w:tcPr>
            <w:tcW w:w="1170" w:type="dxa"/>
            <w:tcBorders>
              <w:top w:val="nil"/>
              <w:left w:val="nil"/>
              <w:bottom w:val="nil"/>
              <w:right w:val="single" w:sz="8" w:space="0" w:color="auto"/>
            </w:tcBorders>
            <w:shd w:val="clear" w:color="auto" w:fill="auto"/>
            <w:hideMark/>
          </w:tcPr>
          <w:p w14:paraId="08987A59"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0.142</w:t>
            </w:r>
          </w:p>
        </w:tc>
        <w:tc>
          <w:tcPr>
            <w:tcW w:w="720" w:type="dxa"/>
            <w:tcBorders>
              <w:top w:val="nil"/>
              <w:left w:val="nil"/>
              <w:bottom w:val="nil"/>
              <w:right w:val="nil"/>
            </w:tcBorders>
            <w:shd w:val="clear" w:color="auto" w:fill="auto"/>
            <w:hideMark/>
          </w:tcPr>
          <w:p w14:paraId="5C9A6D44"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1.00</w:t>
            </w:r>
          </w:p>
        </w:tc>
        <w:tc>
          <w:tcPr>
            <w:tcW w:w="810" w:type="dxa"/>
            <w:tcBorders>
              <w:top w:val="nil"/>
              <w:left w:val="single" w:sz="4" w:space="0" w:color="auto"/>
              <w:bottom w:val="nil"/>
              <w:right w:val="single" w:sz="8" w:space="0" w:color="auto"/>
            </w:tcBorders>
            <w:shd w:val="clear" w:color="auto" w:fill="auto"/>
            <w:hideMark/>
          </w:tcPr>
          <w:p w14:paraId="2B5EA7BD"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1.00</w:t>
            </w:r>
          </w:p>
        </w:tc>
      </w:tr>
      <w:tr w:rsidR="00463D42" w:rsidRPr="00463D42" w14:paraId="4930E135" w14:textId="77777777" w:rsidTr="00463D42">
        <w:trPr>
          <w:trHeight w:val="323"/>
        </w:trPr>
        <w:tc>
          <w:tcPr>
            <w:tcW w:w="1356" w:type="dxa"/>
            <w:tcBorders>
              <w:top w:val="nil"/>
              <w:left w:val="single" w:sz="8" w:space="0" w:color="auto"/>
              <w:bottom w:val="nil"/>
              <w:right w:val="single" w:sz="8" w:space="0" w:color="auto"/>
            </w:tcBorders>
            <w:shd w:val="clear" w:color="auto" w:fill="auto"/>
            <w:noWrap/>
            <w:vAlign w:val="bottom"/>
            <w:hideMark/>
          </w:tcPr>
          <w:p w14:paraId="1CFCBDE4"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Illicit Drug Use</w:t>
            </w:r>
          </w:p>
        </w:tc>
        <w:tc>
          <w:tcPr>
            <w:tcW w:w="1154" w:type="dxa"/>
            <w:tcBorders>
              <w:top w:val="nil"/>
              <w:left w:val="nil"/>
              <w:bottom w:val="nil"/>
              <w:right w:val="single" w:sz="4" w:space="0" w:color="auto"/>
            </w:tcBorders>
            <w:shd w:val="clear" w:color="auto" w:fill="auto"/>
            <w:hideMark/>
          </w:tcPr>
          <w:p w14:paraId="270D90AC"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67 (5.9.%)</w:t>
            </w:r>
          </w:p>
        </w:tc>
        <w:tc>
          <w:tcPr>
            <w:tcW w:w="1080" w:type="dxa"/>
            <w:tcBorders>
              <w:top w:val="nil"/>
              <w:left w:val="nil"/>
              <w:bottom w:val="nil"/>
              <w:right w:val="single" w:sz="4" w:space="0" w:color="auto"/>
            </w:tcBorders>
            <w:shd w:val="clear" w:color="auto" w:fill="auto"/>
            <w:hideMark/>
          </w:tcPr>
          <w:p w14:paraId="4E73DCD7"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28 (9.3.%)</w:t>
            </w:r>
          </w:p>
        </w:tc>
        <w:tc>
          <w:tcPr>
            <w:tcW w:w="1080" w:type="dxa"/>
            <w:tcBorders>
              <w:top w:val="nil"/>
              <w:left w:val="nil"/>
              <w:bottom w:val="nil"/>
              <w:right w:val="single" w:sz="8" w:space="0" w:color="auto"/>
            </w:tcBorders>
            <w:shd w:val="clear" w:color="auto" w:fill="auto"/>
            <w:hideMark/>
          </w:tcPr>
          <w:p w14:paraId="4DEC1373"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0.141</w:t>
            </w:r>
          </w:p>
        </w:tc>
        <w:tc>
          <w:tcPr>
            <w:tcW w:w="1260" w:type="dxa"/>
            <w:tcBorders>
              <w:top w:val="nil"/>
              <w:left w:val="nil"/>
              <w:bottom w:val="nil"/>
              <w:right w:val="single" w:sz="4" w:space="0" w:color="auto"/>
            </w:tcBorders>
            <w:shd w:val="clear" w:color="auto" w:fill="auto"/>
            <w:noWrap/>
            <w:vAlign w:val="bottom"/>
            <w:hideMark/>
          </w:tcPr>
          <w:p w14:paraId="74B2F977"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67 (5.9.%)</w:t>
            </w:r>
          </w:p>
        </w:tc>
        <w:tc>
          <w:tcPr>
            <w:tcW w:w="1170" w:type="dxa"/>
            <w:tcBorders>
              <w:top w:val="nil"/>
              <w:left w:val="nil"/>
              <w:bottom w:val="nil"/>
              <w:right w:val="single" w:sz="4" w:space="0" w:color="auto"/>
            </w:tcBorders>
            <w:shd w:val="clear" w:color="auto" w:fill="auto"/>
            <w:noWrap/>
            <w:vAlign w:val="bottom"/>
            <w:hideMark/>
          </w:tcPr>
          <w:p w14:paraId="11195081"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28 (9.3.%)</w:t>
            </w:r>
          </w:p>
        </w:tc>
        <w:tc>
          <w:tcPr>
            <w:tcW w:w="1170" w:type="dxa"/>
            <w:tcBorders>
              <w:top w:val="nil"/>
              <w:left w:val="nil"/>
              <w:bottom w:val="nil"/>
              <w:right w:val="single" w:sz="8" w:space="0" w:color="auto"/>
            </w:tcBorders>
            <w:shd w:val="clear" w:color="auto" w:fill="auto"/>
            <w:hideMark/>
          </w:tcPr>
          <w:p w14:paraId="13322B86"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0.132</w:t>
            </w:r>
          </w:p>
        </w:tc>
        <w:tc>
          <w:tcPr>
            <w:tcW w:w="720" w:type="dxa"/>
            <w:tcBorders>
              <w:top w:val="nil"/>
              <w:left w:val="nil"/>
              <w:bottom w:val="nil"/>
              <w:right w:val="nil"/>
            </w:tcBorders>
            <w:shd w:val="clear" w:color="auto" w:fill="auto"/>
            <w:hideMark/>
          </w:tcPr>
          <w:p w14:paraId="06BC722C"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0.99</w:t>
            </w:r>
          </w:p>
        </w:tc>
        <w:tc>
          <w:tcPr>
            <w:tcW w:w="810" w:type="dxa"/>
            <w:tcBorders>
              <w:top w:val="nil"/>
              <w:left w:val="single" w:sz="4" w:space="0" w:color="auto"/>
              <w:bottom w:val="nil"/>
              <w:right w:val="single" w:sz="8" w:space="0" w:color="auto"/>
            </w:tcBorders>
            <w:shd w:val="clear" w:color="auto" w:fill="auto"/>
            <w:hideMark/>
          </w:tcPr>
          <w:p w14:paraId="0674C832"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1.00</w:t>
            </w:r>
          </w:p>
        </w:tc>
      </w:tr>
      <w:tr w:rsidR="00463D42" w:rsidRPr="00463D42" w14:paraId="4165C2ED" w14:textId="77777777" w:rsidTr="00463D42">
        <w:trPr>
          <w:trHeight w:val="323"/>
        </w:trPr>
        <w:tc>
          <w:tcPr>
            <w:tcW w:w="1356" w:type="dxa"/>
            <w:tcBorders>
              <w:top w:val="nil"/>
              <w:left w:val="single" w:sz="8" w:space="0" w:color="auto"/>
              <w:bottom w:val="nil"/>
              <w:right w:val="single" w:sz="8" w:space="0" w:color="auto"/>
            </w:tcBorders>
            <w:shd w:val="clear" w:color="auto" w:fill="auto"/>
            <w:noWrap/>
            <w:vAlign w:val="bottom"/>
            <w:hideMark/>
          </w:tcPr>
          <w:p w14:paraId="733C8D2F"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Acute MI</w:t>
            </w:r>
          </w:p>
        </w:tc>
        <w:tc>
          <w:tcPr>
            <w:tcW w:w="1154" w:type="dxa"/>
            <w:tcBorders>
              <w:top w:val="nil"/>
              <w:left w:val="nil"/>
              <w:bottom w:val="nil"/>
              <w:right w:val="single" w:sz="4" w:space="0" w:color="auto"/>
            </w:tcBorders>
            <w:shd w:val="clear" w:color="auto" w:fill="auto"/>
            <w:hideMark/>
          </w:tcPr>
          <w:p w14:paraId="75014998"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400 (34.9.%)</w:t>
            </w:r>
          </w:p>
        </w:tc>
        <w:tc>
          <w:tcPr>
            <w:tcW w:w="1080" w:type="dxa"/>
            <w:tcBorders>
              <w:top w:val="nil"/>
              <w:left w:val="nil"/>
              <w:bottom w:val="nil"/>
              <w:right w:val="single" w:sz="4" w:space="0" w:color="auto"/>
            </w:tcBorders>
            <w:shd w:val="clear" w:color="auto" w:fill="auto"/>
            <w:hideMark/>
          </w:tcPr>
          <w:p w14:paraId="4D71406F"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163 (54.3.%)</w:t>
            </w:r>
          </w:p>
        </w:tc>
        <w:tc>
          <w:tcPr>
            <w:tcW w:w="1080" w:type="dxa"/>
            <w:tcBorders>
              <w:top w:val="nil"/>
              <w:left w:val="nil"/>
              <w:bottom w:val="nil"/>
              <w:right w:val="single" w:sz="8" w:space="0" w:color="auto"/>
            </w:tcBorders>
            <w:shd w:val="clear" w:color="auto" w:fill="auto"/>
            <w:hideMark/>
          </w:tcPr>
          <w:p w14:paraId="0CC1B1AD"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0.398</w:t>
            </w:r>
          </w:p>
        </w:tc>
        <w:tc>
          <w:tcPr>
            <w:tcW w:w="1260" w:type="dxa"/>
            <w:tcBorders>
              <w:top w:val="nil"/>
              <w:left w:val="nil"/>
              <w:bottom w:val="nil"/>
              <w:right w:val="single" w:sz="4" w:space="0" w:color="auto"/>
            </w:tcBorders>
            <w:shd w:val="clear" w:color="auto" w:fill="auto"/>
            <w:noWrap/>
            <w:vAlign w:val="bottom"/>
            <w:hideMark/>
          </w:tcPr>
          <w:p w14:paraId="7DC9FB08"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400 (34.9.%)</w:t>
            </w:r>
          </w:p>
        </w:tc>
        <w:tc>
          <w:tcPr>
            <w:tcW w:w="1170" w:type="dxa"/>
            <w:tcBorders>
              <w:top w:val="nil"/>
              <w:left w:val="nil"/>
              <w:bottom w:val="nil"/>
              <w:right w:val="single" w:sz="4" w:space="0" w:color="auto"/>
            </w:tcBorders>
            <w:shd w:val="clear" w:color="auto" w:fill="auto"/>
            <w:noWrap/>
            <w:vAlign w:val="bottom"/>
            <w:hideMark/>
          </w:tcPr>
          <w:p w14:paraId="48B06328"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163 (54.3.%)</w:t>
            </w:r>
          </w:p>
        </w:tc>
        <w:tc>
          <w:tcPr>
            <w:tcW w:w="1170" w:type="dxa"/>
            <w:tcBorders>
              <w:top w:val="nil"/>
              <w:left w:val="nil"/>
              <w:bottom w:val="nil"/>
              <w:right w:val="single" w:sz="8" w:space="0" w:color="auto"/>
            </w:tcBorders>
            <w:shd w:val="clear" w:color="auto" w:fill="auto"/>
            <w:hideMark/>
          </w:tcPr>
          <w:p w14:paraId="31D8DC1C"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0.398</w:t>
            </w:r>
          </w:p>
        </w:tc>
        <w:tc>
          <w:tcPr>
            <w:tcW w:w="720" w:type="dxa"/>
            <w:tcBorders>
              <w:top w:val="nil"/>
              <w:left w:val="nil"/>
              <w:bottom w:val="nil"/>
              <w:right w:val="nil"/>
            </w:tcBorders>
            <w:shd w:val="clear" w:color="auto" w:fill="auto"/>
            <w:hideMark/>
          </w:tcPr>
          <w:p w14:paraId="6780EB32"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1.00</w:t>
            </w:r>
          </w:p>
        </w:tc>
        <w:tc>
          <w:tcPr>
            <w:tcW w:w="810" w:type="dxa"/>
            <w:tcBorders>
              <w:top w:val="nil"/>
              <w:left w:val="single" w:sz="4" w:space="0" w:color="auto"/>
              <w:bottom w:val="nil"/>
              <w:right w:val="single" w:sz="8" w:space="0" w:color="auto"/>
            </w:tcBorders>
            <w:shd w:val="clear" w:color="auto" w:fill="auto"/>
            <w:hideMark/>
          </w:tcPr>
          <w:p w14:paraId="57CBD2E0"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1.00</w:t>
            </w:r>
          </w:p>
        </w:tc>
      </w:tr>
      <w:tr w:rsidR="00463D42" w:rsidRPr="00463D42" w14:paraId="29BA7398" w14:textId="77777777" w:rsidTr="00463D42">
        <w:trPr>
          <w:trHeight w:val="323"/>
        </w:trPr>
        <w:tc>
          <w:tcPr>
            <w:tcW w:w="1356" w:type="dxa"/>
            <w:tcBorders>
              <w:top w:val="nil"/>
              <w:left w:val="single" w:sz="8" w:space="0" w:color="auto"/>
              <w:bottom w:val="nil"/>
              <w:right w:val="single" w:sz="8" w:space="0" w:color="auto"/>
            </w:tcBorders>
            <w:shd w:val="clear" w:color="auto" w:fill="auto"/>
            <w:noWrap/>
            <w:vAlign w:val="bottom"/>
            <w:hideMark/>
          </w:tcPr>
          <w:p w14:paraId="77F3D8FC"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Shock</w:t>
            </w:r>
          </w:p>
        </w:tc>
        <w:tc>
          <w:tcPr>
            <w:tcW w:w="1154" w:type="dxa"/>
            <w:tcBorders>
              <w:top w:val="nil"/>
              <w:left w:val="nil"/>
              <w:bottom w:val="nil"/>
              <w:right w:val="single" w:sz="4" w:space="0" w:color="auto"/>
            </w:tcBorders>
            <w:shd w:val="clear" w:color="auto" w:fill="auto"/>
            <w:hideMark/>
          </w:tcPr>
          <w:p w14:paraId="60D8220C"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21 (1.8.%)</w:t>
            </w:r>
          </w:p>
        </w:tc>
        <w:tc>
          <w:tcPr>
            <w:tcW w:w="1080" w:type="dxa"/>
            <w:tcBorders>
              <w:top w:val="nil"/>
              <w:left w:val="nil"/>
              <w:bottom w:val="nil"/>
              <w:right w:val="single" w:sz="4" w:space="0" w:color="auto"/>
            </w:tcBorders>
            <w:shd w:val="clear" w:color="auto" w:fill="auto"/>
            <w:hideMark/>
          </w:tcPr>
          <w:p w14:paraId="5E9F12C7"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23 (7.7.%)</w:t>
            </w:r>
          </w:p>
        </w:tc>
        <w:tc>
          <w:tcPr>
            <w:tcW w:w="1080" w:type="dxa"/>
            <w:tcBorders>
              <w:top w:val="nil"/>
              <w:left w:val="nil"/>
              <w:bottom w:val="nil"/>
              <w:right w:val="single" w:sz="8" w:space="0" w:color="auto"/>
            </w:tcBorders>
            <w:shd w:val="clear" w:color="auto" w:fill="auto"/>
            <w:hideMark/>
          </w:tcPr>
          <w:p w14:paraId="17A05621"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0.340</w:t>
            </w:r>
          </w:p>
        </w:tc>
        <w:tc>
          <w:tcPr>
            <w:tcW w:w="1260" w:type="dxa"/>
            <w:tcBorders>
              <w:top w:val="nil"/>
              <w:left w:val="nil"/>
              <w:bottom w:val="nil"/>
              <w:right w:val="single" w:sz="4" w:space="0" w:color="auto"/>
            </w:tcBorders>
            <w:shd w:val="clear" w:color="auto" w:fill="auto"/>
            <w:noWrap/>
            <w:vAlign w:val="bottom"/>
            <w:hideMark/>
          </w:tcPr>
          <w:p w14:paraId="7D14F0CC"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21 (1.8.%)</w:t>
            </w:r>
          </w:p>
        </w:tc>
        <w:tc>
          <w:tcPr>
            <w:tcW w:w="1170" w:type="dxa"/>
            <w:tcBorders>
              <w:top w:val="nil"/>
              <w:left w:val="nil"/>
              <w:bottom w:val="nil"/>
              <w:right w:val="single" w:sz="4" w:space="0" w:color="auto"/>
            </w:tcBorders>
            <w:shd w:val="clear" w:color="auto" w:fill="auto"/>
            <w:noWrap/>
            <w:vAlign w:val="bottom"/>
            <w:hideMark/>
          </w:tcPr>
          <w:p w14:paraId="2766C6E2"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23 (7.7.%)</w:t>
            </w:r>
          </w:p>
        </w:tc>
        <w:tc>
          <w:tcPr>
            <w:tcW w:w="1170" w:type="dxa"/>
            <w:tcBorders>
              <w:top w:val="nil"/>
              <w:left w:val="nil"/>
              <w:bottom w:val="nil"/>
              <w:right w:val="single" w:sz="8" w:space="0" w:color="auto"/>
            </w:tcBorders>
            <w:shd w:val="clear" w:color="auto" w:fill="auto"/>
            <w:hideMark/>
          </w:tcPr>
          <w:p w14:paraId="2CE8A0D9"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0.277</w:t>
            </w:r>
          </w:p>
        </w:tc>
        <w:tc>
          <w:tcPr>
            <w:tcW w:w="720" w:type="dxa"/>
            <w:tcBorders>
              <w:top w:val="nil"/>
              <w:left w:val="nil"/>
              <w:bottom w:val="nil"/>
              <w:right w:val="nil"/>
            </w:tcBorders>
            <w:shd w:val="clear" w:color="auto" w:fill="auto"/>
            <w:hideMark/>
          </w:tcPr>
          <w:p w14:paraId="736F6904"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0.98</w:t>
            </w:r>
          </w:p>
        </w:tc>
        <w:tc>
          <w:tcPr>
            <w:tcW w:w="810" w:type="dxa"/>
            <w:tcBorders>
              <w:top w:val="nil"/>
              <w:left w:val="single" w:sz="4" w:space="0" w:color="auto"/>
              <w:bottom w:val="nil"/>
              <w:right w:val="single" w:sz="8" w:space="0" w:color="auto"/>
            </w:tcBorders>
            <w:shd w:val="clear" w:color="auto" w:fill="auto"/>
            <w:hideMark/>
          </w:tcPr>
          <w:p w14:paraId="141CA389"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1.00</w:t>
            </w:r>
          </w:p>
        </w:tc>
      </w:tr>
      <w:tr w:rsidR="00463D42" w:rsidRPr="00463D42" w14:paraId="67F8519A" w14:textId="77777777" w:rsidTr="00463D42">
        <w:trPr>
          <w:trHeight w:val="323"/>
        </w:trPr>
        <w:tc>
          <w:tcPr>
            <w:tcW w:w="1356" w:type="dxa"/>
            <w:tcBorders>
              <w:top w:val="nil"/>
              <w:left w:val="single" w:sz="8" w:space="0" w:color="auto"/>
              <w:bottom w:val="nil"/>
              <w:right w:val="single" w:sz="8" w:space="0" w:color="auto"/>
            </w:tcBorders>
            <w:shd w:val="clear" w:color="auto" w:fill="auto"/>
            <w:noWrap/>
            <w:vAlign w:val="bottom"/>
            <w:hideMark/>
          </w:tcPr>
          <w:p w14:paraId="70F16A3A"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COPD</w:t>
            </w:r>
          </w:p>
        </w:tc>
        <w:tc>
          <w:tcPr>
            <w:tcW w:w="1154" w:type="dxa"/>
            <w:tcBorders>
              <w:top w:val="nil"/>
              <w:left w:val="nil"/>
              <w:bottom w:val="nil"/>
              <w:right w:val="single" w:sz="4" w:space="0" w:color="auto"/>
            </w:tcBorders>
            <w:shd w:val="clear" w:color="auto" w:fill="auto"/>
            <w:hideMark/>
          </w:tcPr>
          <w:p w14:paraId="7885355E"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148 (12.9.%)</w:t>
            </w:r>
          </w:p>
        </w:tc>
        <w:tc>
          <w:tcPr>
            <w:tcW w:w="1080" w:type="dxa"/>
            <w:tcBorders>
              <w:top w:val="nil"/>
              <w:left w:val="nil"/>
              <w:bottom w:val="nil"/>
              <w:right w:val="single" w:sz="4" w:space="0" w:color="auto"/>
            </w:tcBorders>
            <w:shd w:val="clear" w:color="auto" w:fill="auto"/>
            <w:hideMark/>
          </w:tcPr>
          <w:p w14:paraId="295D528F"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58 (19.3.%)</w:t>
            </w:r>
          </w:p>
        </w:tc>
        <w:tc>
          <w:tcPr>
            <w:tcW w:w="1080" w:type="dxa"/>
            <w:tcBorders>
              <w:top w:val="nil"/>
              <w:left w:val="nil"/>
              <w:bottom w:val="nil"/>
              <w:right w:val="single" w:sz="8" w:space="0" w:color="auto"/>
            </w:tcBorders>
            <w:shd w:val="clear" w:color="auto" w:fill="auto"/>
            <w:hideMark/>
          </w:tcPr>
          <w:p w14:paraId="7C34F1B7"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0.183</w:t>
            </w:r>
          </w:p>
        </w:tc>
        <w:tc>
          <w:tcPr>
            <w:tcW w:w="1260" w:type="dxa"/>
            <w:tcBorders>
              <w:top w:val="nil"/>
              <w:left w:val="nil"/>
              <w:bottom w:val="nil"/>
              <w:right w:val="single" w:sz="4" w:space="0" w:color="auto"/>
            </w:tcBorders>
            <w:shd w:val="clear" w:color="auto" w:fill="auto"/>
            <w:noWrap/>
            <w:vAlign w:val="bottom"/>
            <w:hideMark/>
          </w:tcPr>
          <w:p w14:paraId="1629FB69"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148 (12.9.%)</w:t>
            </w:r>
          </w:p>
        </w:tc>
        <w:tc>
          <w:tcPr>
            <w:tcW w:w="1170" w:type="dxa"/>
            <w:tcBorders>
              <w:top w:val="nil"/>
              <w:left w:val="nil"/>
              <w:bottom w:val="nil"/>
              <w:right w:val="single" w:sz="4" w:space="0" w:color="auto"/>
            </w:tcBorders>
            <w:shd w:val="clear" w:color="auto" w:fill="auto"/>
            <w:noWrap/>
            <w:vAlign w:val="bottom"/>
            <w:hideMark/>
          </w:tcPr>
          <w:p w14:paraId="639E9D6B"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58 (19.3.%)</w:t>
            </w:r>
          </w:p>
        </w:tc>
        <w:tc>
          <w:tcPr>
            <w:tcW w:w="1170" w:type="dxa"/>
            <w:tcBorders>
              <w:top w:val="nil"/>
              <w:left w:val="nil"/>
              <w:bottom w:val="nil"/>
              <w:right w:val="single" w:sz="8" w:space="0" w:color="auto"/>
            </w:tcBorders>
            <w:shd w:val="clear" w:color="auto" w:fill="auto"/>
            <w:hideMark/>
          </w:tcPr>
          <w:p w14:paraId="570A0D80"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0.175</w:t>
            </w:r>
          </w:p>
        </w:tc>
        <w:tc>
          <w:tcPr>
            <w:tcW w:w="720" w:type="dxa"/>
            <w:tcBorders>
              <w:top w:val="nil"/>
              <w:left w:val="nil"/>
              <w:bottom w:val="nil"/>
              <w:right w:val="nil"/>
            </w:tcBorders>
            <w:shd w:val="clear" w:color="auto" w:fill="auto"/>
            <w:hideMark/>
          </w:tcPr>
          <w:p w14:paraId="37B4DC77"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1.00</w:t>
            </w:r>
          </w:p>
        </w:tc>
        <w:tc>
          <w:tcPr>
            <w:tcW w:w="810" w:type="dxa"/>
            <w:tcBorders>
              <w:top w:val="nil"/>
              <w:left w:val="single" w:sz="4" w:space="0" w:color="auto"/>
              <w:bottom w:val="nil"/>
              <w:right w:val="single" w:sz="8" w:space="0" w:color="auto"/>
            </w:tcBorders>
            <w:shd w:val="clear" w:color="auto" w:fill="auto"/>
            <w:hideMark/>
          </w:tcPr>
          <w:p w14:paraId="307A8976"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1.00</w:t>
            </w:r>
          </w:p>
        </w:tc>
      </w:tr>
      <w:tr w:rsidR="00463D42" w:rsidRPr="00463D42" w14:paraId="33705D99" w14:textId="77777777" w:rsidTr="00463D42">
        <w:trPr>
          <w:trHeight w:val="323"/>
        </w:trPr>
        <w:tc>
          <w:tcPr>
            <w:tcW w:w="1356" w:type="dxa"/>
            <w:tcBorders>
              <w:top w:val="nil"/>
              <w:left w:val="single" w:sz="8" w:space="0" w:color="auto"/>
              <w:bottom w:val="nil"/>
              <w:right w:val="single" w:sz="8" w:space="0" w:color="auto"/>
            </w:tcBorders>
            <w:shd w:val="clear" w:color="auto" w:fill="auto"/>
            <w:noWrap/>
            <w:vAlign w:val="bottom"/>
            <w:hideMark/>
          </w:tcPr>
          <w:p w14:paraId="3C5F63B4"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Diabetes</w:t>
            </w:r>
          </w:p>
        </w:tc>
        <w:tc>
          <w:tcPr>
            <w:tcW w:w="1154" w:type="dxa"/>
            <w:tcBorders>
              <w:top w:val="nil"/>
              <w:left w:val="nil"/>
              <w:bottom w:val="nil"/>
              <w:right w:val="single" w:sz="4" w:space="0" w:color="auto"/>
            </w:tcBorders>
            <w:shd w:val="clear" w:color="auto" w:fill="auto"/>
            <w:hideMark/>
          </w:tcPr>
          <w:p w14:paraId="3280B34E"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435 (38.0.%)</w:t>
            </w:r>
          </w:p>
        </w:tc>
        <w:tc>
          <w:tcPr>
            <w:tcW w:w="1080" w:type="dxa"/>
            <w:tcBorders>
              <w:top w:val="nil"/>
              <w:left w:val="nil"/>
              <w:bottom w:val="nil"/>
              <w:right w:val="single" w:sz="4" w:space="0" w:color="auto"/>
            </w:tcBorders>
            <w:shd w:val="clear" w:color="auto" w:fill="auto"/>
            <w:hideMark/>
          </w:tcPr>
          <w:p w14:paraId="0E6B72AF"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102 (34.0.%)</w:t>
            </w:r>
          </w:p>
        </w:tc>
        <w:tc>
          <w:tcPr>
            <w:tcW w:w="1080" w:type="dxa"/>
            <w:tcBorders>
              <w:top w:val="nil"/>
              <w:left w:val="nil"/>
              <w:bottom w:val="nil"/>
              <w:right w:val="single" w:sz="8" w:space="0" w:color="auto"/>
            </w:tcBorders>
            <w:shd w:val="clear" w:color="auto" w:fill="auto"/>
            <w:hideMark/>
          </w:tcPr>
          <w:p w14:paraId="4B1B51A8"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0.083</w:t>
            </w:r>
          </w:p>
        </w:tc>
        <w:tc>
          <w:tcPr>
            <w:tcW w:w="1260" w:type="dxa"/>
            <w:tcBorders>
              <w:top w:val="nil"/>
              <w:left w:val="nil"/>
              <w:bottom w:val="nil"/>
              <w:right w:val="single" w:sz="4" w:space="0" w:color="auto"/>
            </w:tcBorders>
            <w:shd w:val="clear" w:color="auto" w:fill="auto"/>
            <w:noWrap/>
            <w:vAlign w:val="bottom"/>
            <w:hideMark/>
          </w:tcPr>
          <w:p w14:paraId="721868B4"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435 (38.0.%)</w:t>
            </w:r>
          </w:p>
        </w:tc>
        <w:tc>
          <w:tcPr>
            <w:tcW w:w="1170" w:type="dxa"/>
            <w:tcBorders>
              <w:top w:val="nil"/>
              <w:left w:val="nil"/>
              <w:bottom w:val="nil"/>
              <w:right w:val="single" w:sz="4" w:space="0" w:color="auto"/>
            </w:tcBorders>
            <w:shd w:val="clear" w:color="auto" w:fill="auto"/>
            <w:noWrap/>
            <w:vAlign w:val="bottom"/>
            <w:hideMark/>
          </w:tcPr>
          <w:p w14:paraId="2D75B6F4"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102 (34.0.%)</w:t>
            </w:r>
          </w:p>
        </w:tc>
        <w:tc>
          <w:tcPr>
            <w:tcW w:w="1170" w:type="dxa"/>
            <w:tcBorders>
              <w:top w:val="nil"/>
              <w:left w:val="nil"/>
              <w:bottom w:val="nil"/>
              <w:right w:val="single" w:sz="8" w:space="0" w:color="auto"/>
            </w:tcBorders>
            <w:shd w:val="clear" w:color="auto" w:fill="auto"/>
            <w:hideMark/>
          </w:tcPr>
          <w:p w14:paraId="17F88855"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0.083</w:t>
            </w:r>
          </w:p>
        </w:tc>
        <w:tc>
          <w:tcPr>
            <w:tcW w:w="720" w:type="dxa"/>
            <w:tcBorders>
              <w:top w:val="nil"/>
              <w:left w:val="nil"/>
              <w:bottom w:val="nil"/>
              <w:right w:val="nil"/>
            </w:tcBorders>
            <w:shd w:val="clear" w:color="auto" w:fill="auto"/>
            <w:hideMark/>
          </w:tcPr>
          <w:p w14:paraId="3492E89D"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1.00</w:t>
            </w:r>
          </w:p>
        </w:tc>
        <w:tc>
          <w:tcPr>
            <w:tcW w:w="810" w:type="dxa"/>
            <w:tcBorders>
              <w:top w:val="nil"/>
              <w:left w:val="single" w:sz="4" w:space="0" w:color="auto"/>
              <w:bottom w:val="nil"/>
              <w:right w:val="single" w:sz="8" w:space="0" w:color="auto"/>
            </w:tcBorders>
            <w:shd w:val="clear" w:color="auto" w:fill="auto"/>
            <w:hideMark/>
          </w:tcPr>
          <w:p w14:paraId="02F2B0AC"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1.00</w:t>
            </w:r>
          </w:p>
        </w:tc>
      </w:tr>
      <w:tr w:rsidR="00463D42" w:rsidRPr="00463D42" w14:paraId="3A46653F" w14:textId="77777777" w:rsidTr="00463D42">
        <w:trPr>
          <w:trHeight w:val="323"/>
        </w:trPr>
        <w:tc>
          <w:tcPr>
            <w:tcW w:w="1356" w:type="dxa"/>
            <w:tcBorders>
              <w:top w:val="nil"/>
              <w:left w:val="single" w:sz="8" w:space="0" w:color="auto"/>
              <w:bottom w:val="nil"/>
              <w:right w:val="single" w:sz="8" w:space="0" w:color="auto"/>
            </w:tcBorders>
            <w:shd w:val="clear" w:color="auto" w:fill="auto"/>
            <w:noWrap/>
            <w:vAlign w:val="bottom"/>
            <w:hideMark/>
          </w:tcPr>
          <w:p w14:paraId="78C38961"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Dialysis</w:t>
            </w:r>
          </w:p>
        </w:tc>
        <w:tc>
          <w:tcPr>
            <w:tcW w:w="1154" w:type="dxa"/>
            <w:tcBorders>
              <w:top w:val="nil"/>
              <w:left w:val="nil"/>
              <w:bottom w:val="nil"/>
              <w:right w:val="single" w:sz="4" w:space="0" w:color="auto"/>
            </w:tcBorders>
            <w:shd w:val="clear" w:color="auto" w:fill="auto"/>
            <w:hideMark/>
          </w:tcPr>
          <w:p w14:paraId="007A3412"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23 (2.0.%)</w:t>
            </w:r>
          </w:p>
        </w:tc>
        <w:tc>
          <w:tcPr>
            <w:tcW w:w="1080" w:type="dxa"/>
            <w:tcBorders>
              <w:top w:val="nil"/>
              <w:left w:val="nil"/>
              <w:bottom w:val="nil"/>
              <w:right w:val="single" w:sz="4" w:space="0" w:color="auto"/>
            </w:tcBorders>
            <w:shd w:val="clear" w:color="auto" w:fill="auto"/>
            <w:hideMark/>
          </w:tcPr>
          <w:p w14:paraId="6B2C4451"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8 (2.7.%)</w:t>
            </w:r>
          </w:p>
        </w:tc>
        <w:tc>
          <w:tcPr>
            <w:tcW w:w="1080" w:type="dxa"/>
            <w:tcBorders>
              <w:top w:val="nil"/>
              <w:left w:val="nil"/>
              <w:bottom w:val="nil"/>
              <w:right w:val="single" w:sz="8" w:space="0" w:color="auto"/>
            </w:tcBorders>
            <w:shd w:val="clear" w:color="auto" w:fill="auto"/>
            <w:hideMark/>
          </w:tcPr>
          <w:p w14:paraId="1C45D6F5"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0.045</w:t>
            </w:r>
          </w:p>
        </w:tc>
        <w:tc>
          <w:tcPr>
            <w:tcW w:w="1260" w:type="dxa"/>
            <w:tcBorders>
              <w:top w:val="nil"/>
              <w:left w:val="nil"/>
              <w:bottom w:val="nil"/>
              <w:right w:val="single" w:sz="4" w:space="0" w:color="auto"/>
            </w:tcBorders>
            <w:shd w:val="clear" w:color="auto" w:fill="auto"/>
            <w:noWrap/>
            <w:vAlign w:val="bottom"/>
            <w:hideMark/>
          </w:tcPr>
          <w:p w14:paraId="3E5439DD"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23 (2.0.%)</w:t>
            </w:r>
          </w:p>
        </w:tc>
        <w:tc>
          <w:tcPr>
            <w:tcW w:w="1170" w:type="dxa"/>
            <w:tcBorders>
              <w:top w:val="nil"/>
              <w:left w:val="nil"/>
              <w:bottom w:val="nil"/>
              <w:right w:val="single" w:sz="4" w:space="0" w:color="auto"/>
            </w:tcBorders>
            <w:shd w:val="clear" w:color="auto" w:fill="auto"/>
            <w:noWrap/>
            <w:vAlign w:val="bottom"/>
            <w:hideMark/>
          </w:tcPr>
          <w:p w14:paraId="403CAA5A"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8 (2.7.%)</w:t>
            </w:r>
          </w:p>
        </w:tc>
        <w:tc>
          <w:tcPr>
            <w:tcW w:w="1170" w:type="dxa"/>
            <w:tcBorders>
              <w:top w:val="nil"/>
              <w:left w:val="nil"/>
              <w:bottom w:val="nil"/>
              <w:right w:val="single" w:sz="8" w:space="0" w:color="auto"/>
            </w:tcBorders>
            <w:shd w:val="clear" w:color="auto" w:fill="auto"/>
            <w:hideMark/>
          </w:tcPr>
          <w:p w14:paraId="72601B14"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0.044</w:t>
            </w:r>
          </w:p>
        </w:tc>
        <w:tc>
          <w:tcPr>
            <w:tcW w:w="720" w:type="dxa"/>
            <w:tcBorders>
              <w:top w:val="nil"/>
              <w:left w:val="nil"/>
              <w:bottom w:val="nil"/>
              <w:right w:val="nil"/>
            </w:tcBorders>
            <w:shd w:val="clear" w:color="auto" w:fill="auto"/>
            <w:hideMark/>
          </w:tcPr>
          <w:p w14:paraId="6BFBCD0B"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1.00</w:t>
            </w:r>
          </w:p>
        </w:tc>
        <w:tc>
          <w:tcPr>
            <w:tcW w:w="810" w:type="dxa"/>
            <w:tcBorders>
              <w:top w:val="nil"/>
              <w:left w:val="single" w:sz="4" w:space="0" w:color="auto"/>
              <w:bottom w:val="nil"/>
              <w:right w:val="single" w:sz="8" w:space="0" w:color="auto"/>
            </w:tcBorders>
            <w:shd w:val="clear" w:color="auto" w:fill="auto"/>
            <w:hideMark/>
          </w:tcPr>
          <w:p w14:paraId="35F605B9"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1.00</w:t>
            </w:r>
          </w:p>
        </w:tc>
      </w:tr>
      <w:tr w:rsidR="00463D42" w:rsidRPr="00463D42" w14:paraId="02D227BB" w14:textId="77777777" w:rsidTr="00463D42">
        <w:trPr>
          <w:trHeight w:val="339"/>
        </w:trPr>
        <w:tc>
          <w:tcPr>
            <w:tcW w:w="1356" w:type="dxa"/>
            <w:tcBorders>
              <w:top w:val="nil"/>
              <w:left w:val="single" w:sz="8" w:space="0" w:color="auto"/>
              <w:bottom w:val="single" w:sz="8" w:space="0" w:color="auto"/>
              <w:right w:val="single" w:sz="8" w:space="0" w:color="auto"/>
            </w:tcBorders>
            <w:shd w:val="clear" w:color="auto" w:fill="auto"/>
            <w:noWrap/>
            <w:vAlign w:val="bottom"/>
            <w:hideMark/>
          </w:tcPr>
          <w:p w14:paraId="39A6EFF6"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EF &lt;30%</w:t>
            </w:r>
          </w:p>
        </w:tc>
        <w:tc>
          <w:tcPr>
            <w:tcW w:w="1154" w:type="dxa"/>
            <w:tcBorders>
              <w:top w:val="nil"/>
              <w:left w:val="nil"/>
              <w:bottom w:val="single" w:sz="8" w:space="0" w:color="auto"/>
              <w:right w:val="single" w:sz="4" w:space="0" w:color="auto"/>
            </w:tcBorders>
            <w:shd w:val="clear" w:color="auto" w:fill="auto"/>
            <w:hideMark/>
          </w:tcPr>
          <w:p w14:paraId="5450948C"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24 (2.1.%)</w:t>
            </w:r>
          </w:p>
        </w:tc>
        <w:tc>
          <w:tcPr>
            <w:tcW w:w="1080" w:type="dxa"/>
            <w:tcBorders>
              <w:top w:val="nil"/>
              <w:left w:val="nil"/>
              <w:bottom w:val="single" w:sz="8" w:space="0" w:color="auto"/>
              <w:right w:val="single" w:sz="4" w:space="0" w:color="auto"/>
            </w:tcBorders>
            <w:shd w:val="clear" w:color="auto" w:fill="auto"/>
            <w:hideMark/>
          </w:tcPr>
          <w:p w14:paraId="325F9314"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10 (3.3.%)</w:t>
            </w:r>
          </w:p>
        </w:tc>
        <w:tc>
          <w:tcPr>
            <w:tcW w:w="1080" w:type="dxa"/>
            <w:tcBorders>
              <w:top w:val="nil"/>
              <w:left w:val="nil"/>
              <w:bottom w:val="single" w:sz="8" w:space="0" w:color="auto"/>
              <w:right w:val="single" w:sz="8" w:space="0" w:color="auto"/>
            </w:tcBorders>
            <w:shd w:val="clear" w:color="auto" w:fill="auto"/>
            <w:hideMark/>
          </w:tcPr>
          <w:p w14:paraId="179A4667"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0.082</w:t>
            </w:r>
          </w:p>
        </w:tc>
        <w:tc>
          <w:tcPr>
            <w:tcW w:w="1260" w:type="dxa"/>
            <w:tcBorders>
              <w:top w:val="nil"/>
              <w:left w:val="nil"/>
              <w:bottom w:val="single" w:sz="8" w:space="0" w:color="auto"/>
              <w:right w:val="single" w:sz="4" w:space="0" w:color="auto"/>
            </w:tcBorders>
            <w:shd w:val="clear" w:color="auto" w:fill="auto"/>
            <w:noWrap/>
            <w:vAlign w:val="bottom"/>
            <w:hideMark/>
          </w:tcPr>
          <w:p w14:paraId="148B929F"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24 (2.1.%)</w:t>
            </w:r>
          </w:p>
        </w:tc>
        <w:tc>
          <w:tcPr>
            <w:tcW w:w="1170" w:type="dxa"/>
            <w:tcBorders>
              <w:top w:val="nil"/>
              <w:left w:val="nil"/>
              <w:bottom w:val="single" w:sz="8" w:space="0" w:color="auto"/>
              <w:right w:val="single" w:sz="4" w:space="0" w:color="auto"/>
            </w:tcBorders>
            <w:shd w:val="clear" w:color="auto" w:fill="auto"/>
            <w:noWrap/>
            <w:vAlign w:val="bottom"/>
            <w:hideMark/>
          </w:tcPr>
          <w:p w14:paraId="49848FE3"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10 (3.3.%)</w:t>
            </w:r>
          </w:p>
        </w:tc>
        <w:tc>
          <w:tcPr>
            <w:tcW w:w="1170" w:type="dxa"/>
            <w:tcBorders>
              <w:top w:val="nil"/>
              <w:left w:val="nil"/>
              <w:bottom w:val="single" w:sz="8" w:space="0" w:color="auto"/>
              <w:right w:val="single" w:sz="8" w:space="0" w:color="auto"/>
            </w:tcBorders>
            <w:shd w:val="clear" w:color="auto" w:fill="auto"/>
            <w:hideMark/>
          </w:tcPr>
          <w:p w14:paraId="7D90E528"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0.076</w:t>
            </w:r>
          </w:p>
        </w:tc>
        <w:tc>
          <w:tcPr>
            <w:tcW w:w="720" w:type="dxa"/>
            <w:tcBorders>
              <w:top w:val="nil"/>
              <w:left w:val="nil"/>
              <w:bottom w:val="single" w:sz="8" w:space="0" w:color="auto"/>
              <w:right w:val="nil"/>
            </w:tcBorders>
            <w:shd w:val="clear" w:color="auto" w:fill="auto"/>
            <w:hideMark/>
          </w:tcPr>
          <w:p w14:paraId="3AB42CBD"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1.00</w:t>
            </w:r>
          </w:p>
        </w:tc>
        <w:tc>
          <w:tcPr>
            <w:tcW w:w="810" w:type="dxa"/>
            <w:tcBorders>
              <w:top w:val="nil"/>
              <w:left w:val="single" w:sz="4" w:space="0" w:color="auto"/>
              <w:bottom w:val="single" w:sz="8" w:space="0" w:color="auto"/>
              <w:right w:val="single" w:sz="8" w:space="0" w:color="auto"/>
            </w:tcBorders>
            <w:shd w:val="clear" w:color="auto" w:fill="auto"/>
            <w:hideMark/>
          </w:tcPr>
          <w:p w14:paraId="2D251638" w14:textId="77777777" w:rsidR="00463D42" w:rsidRPr="00463D42" w:rsidRDefault="00463D42" w:rsidP="004127ED">
            <w:pPr>
              <w:spacing w:after="0" w:line="240" w:lineRule="auto"/>
              <w:jc w:val="both"/>
              <w:rPr>
                <w:rFonts w:eastAsia="Times New Roman" w:cstheme="minorHAnsi"/>
                <w:sz w:val="16"/>
                <w:szCs w:val="16"/>
              </w:rPr>
            </w:pPr>
            <w:r w:rsidRPr="00463D42">
              <w:rPr>
                <w:rFonts w:eastAsia="Times New Roman" w:cstheme="minorHAnsi"/>
                <w:sz w:val="16"/>
                <w:szCs w:val="16"/>
              </w:rPr>
              <w:t>1.00</w:t>
            </w:r>
          </w:p>
        </w:tc>
      </w:tr>
    </w:tbl>
    <w:p w14:paraId="310597FD" w14:textId="77777777" w:rsidR="00463D42" w:rsidRPr="00463D42" w:rsidRDefault="00463D42" w:rsidP="004127ED">
      <w:pPr>
        <w:spacing w:after="0" w:line="240" w:lineRule="auto"/>
        <w:jc w:val="both"/>
        <w:rPr>
          <w:rFonts w:cstheme="minorHAnsi"/>
        </w:rPr>
      </w:pPr>
    </w:p>
    <w:p w14:paraId="18971C7F" w14:textId="584AC524" w:rsidR="005E4C1C" w:rsidRPr="00463D42" w:rsidRDefault="000212BF" w:rsidP="004127ED">
      <w:pPr>
        <w:spacing w:after="0" w:line="240" w:lineRule="auto"/>
        <w:jc w:val="both"/>
        <w:rPr>
          <w:rFonts w:cstheme="minorHAnsi"/>
        </w:rPr>
      </w:pPr>
      <w:r w:rsidRPr="00463D42">
        <w:rPr>
          <w:rFonts w:cstheme="minorHAnsi"/>
        </w:rPr>
        <w:lastRenderedPageBreak/>
        <w:t>Both IPTW and PSM demonstrated a significant reduction in mortality for patients receiving DES as compared to BMS (0.470, 95% CI 0.328 – 0.668 and 0.500, 95% CI 0.422 – 0.592 respectively)</w:t>
      </w:r>
      <w:r w:rsidR="009913EB" w:rsidRPr="00463D42">
        <w:rPr>
          <w:rFonts w:cstheme="minorHAnsi"/>
        </w:rPr>
        <w:t>, which closely approximated the results from the published study</w:t>
      </w:r>
      <w:r w:rsidRPr="00463D42">
        <w:rPr>
          <w:rFonts w:cstheme="minorHAnsi"/>
        </w:rPr>
        <w:t xml:space="preserve">. </w:t>
      </w:r>
      <w:r w:rsidR="009913EB" w:rsidRPr="00463D42">
        <w:rPr>
          <w:rFonts w:cstheme="minorHAnsi"/>
        </w:rPr>
        <w:t xml:space="preserve">   Figure S1 illustrates </w:t>
      </w:r>
      <w:r w:rsidRPr="00463D42">
        <w:rPr>
          <w:rFonts w:cstheme="minorHAnsi"/>
        </w:rPr>
        <w:t xml:space="preserve">the </w:t>
      </w:r>
      <w:r w:rsidR="009913EB" w:rsidRPr="00463D42">
        <w:rPr>
          <w:rFonts w:cstheme="minorHAnsi"/>
        </w:rPr>
        <w:t>adjusted OR from Drozda</w:t>
      </w:r>
      <w:r w:rsidRPr="00463D42">
        <w:rPr>
          <w:rFonts w:cstheme="minorHAnsi"/>
        </w:rPr>
        <w:t xml:space="preserve"> along w</w:t>
      </w:r>
      <w:r w:rsidR="004220E0" w:rsidRPr="00463D42">
        <w:rPr>
          <w:rFonts w:cstheme="minorHAnsi"/>
        </w:rPr>
        <w:t>ith the results from DELTA</w:t>
      </w:r>
      <w:r w:rsidR="009913EB" w:rsidRPr="00463D42">
        <w:rPr>
          <w:rFonts w:cstheme="minorHAnsi"/>
        </w:rPr>
        <w:t xml:space="preserve"> for both matched survival analysis and IPTW</w:t>
      </w:r>
      <w:r w:rsidR="004220E0" w:rsidRPr="00463D42">
        <w:rPr>
          <w:rFonts w:cstheme="minorHAnsi"/>
        </w:rPr>
        <w:t>.</w:t>
      </w:r>
      <w:r w:rsidR="00456CB4" w:rsidRPr="00463D42">
        <w:rPr>
          <w:rFonts w:cstheme="minorHAnsi"/>
        </w:rPr>
        <w:t xml:space="preserve"> </w:t>
      </w:r>
    </w:p>
    <w:p w14:paraId="107B84ED" w14:textId="77777777" w:rsidR="00463D42" w:rsidRDefault="00463D42" w:rsidP="004127ED">
      <w:pPr>
        <w:spacing w:after="0" w:line="240" w:lineRule="auto"/>
        <w:jc w:val="both"/>
        <w:rPr>
          <w:rFonts w:cstheme="minorHAnsi"/>
        </w:rPr>
      </w:pPr>
    </w:p>
    <w:p w14:paraId="4BAEFB98" w14:textId="77777777" w:rsidR="00463D42" w:rsidRDefault="00463D42" w:rsidP="004127ED">
      <w:pPr>
        <w:spacing w:after="0" w:line="240" w:lineRule="auto"/>
        <w:jc w:val="both"/>
        <w:rPr>
          <w:rFonts w:cstheme="minorHAnsi"/>
        </w:rPr>
      </w:pPr>
    </w:p>
    <w:p w14:paraId="3FF434F4" w14:textId="77777777" w:rsidR="00463D42" w:rsidRPr="00463D42" w:rsidRDefault="00463D42" w:rsidP="004127ED">
      <w:pPr>
        <w:spacing w:after="0" w:line="240" w:lineRule="auto"/>
        <w:jc w:val="both"/>
        <w:rPr>
          <w:rFonts w:cstheme="minorHAnsi"/>
        </w:rPr>
      </w:pPr>
      <w:r w:rsidRPr="00463D42">
        <w:rPr>
          <w:rFonts w:cstheme="minorHAnsi"/>
          <w:b/>
        </w:rPr>
        <w:t>Figure S1:</w:t>
      </w:r>
      <w:r w:rsidRPr="00463D42">
        <w:rPr>
          <w:rFonts w:cstheme="minorHAnsi"/>
        </w:rPr>
        <w:t xml:space="preserve">  </w:t>
      </w:r>
      <w:r w:rsidRPr="00463D42">
        <w:rPr>
          <w:rFonts w:cstheme="minorHAnsi"/>
          <w:i/>
        </w:rPr>
        <w:t>Adjusted hazard ratios from Drozda et al. study and DELTA, demonstrating similar reductions in mortality in patients receiving DES as compared to those receiving BMS</w:t>
      </w:r>
    </w:p>
    <w:p w14:paraId="4119824F" w14:textId="401A8F7C" w:rsidR="00CA3F6B" w:rsidRPr="00463D42" w:rsidRDefault="009A3703" w:rsidP="004127ED">
      <w:pPr>
        <w:spacing w:after="0" w:line="240" w:lineRule="auto"/>
        <w:jc w:val="both"/>
        <w:rPr>
          <w:rFonts w:cstheme="minorHAnsi"/>
        </w:rPr>
      </w:pPr>
      <w:r w:rsidRPr="00463D42">
        <w:rPr>
          <w:rFonts w:cstheme="minorHAnsi"/>
          <w:noProof/>
        </w:rPr>
        <w:drawing>
          <wp:anchor distT="0" distB="0" distL="114300" distR="114300" simplePos="0" relativeHeight="251658240" behindDoc="0" locked="0" layoutInCell="1" allowOverlap="1" wp14:anchorId="3AA78433" wp14:editId="1FB615EF">
            <wp:simplePos x="0" y="0"/>
            <wp:positionH relativeFrom="column">
              <wp:posOffset>838200</wp:posOffset>
            </wp:positionH>
            <wp:positionV relativeFrom="paragraph">
              <wp:posOffset>196850</wp:posOffset>
            </wp:positionV>
            <wp:extent cx="3838575" cy="2217843"/>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8575" cy="2217843"/>
                    </a:xfrm>
                    <a:prstGeom prst="rect">
                      <a:avLst/>
                    </a:prstGeom>
                    <a:noFill/>
                    <a:ln>
                      <a:noFill/>
                    </a:ln>
                  </pic:spPr>
                </pic:pic>
              </a:graphicData>
            </a:graphic>
          </wp:anchor>
        </w:drawing>
      </w:r>
    </w:p>
    <w:p w14:paraId="76B5D6F0" w14:textId="77777777" w:rsidR="009A3703" w:rsidRPr="00463D42" w:rsidRDefault="009A3703" w:rsidP="004127ED">
      <w:pPr>
        <w:spacing w:after="0" w:line="240" w:lineRule="auto"/>
        <w:jc w:val="both"/>
        <w:rPr>
          <w:rFonts w:cstheme="minorHAnsi"/>
        </w:rPr>
      </w:pPr>
    </w:p>
    <w:p w14:paraId="3E697BDA" w14:textId="77777777" w:rsidR="00463D42" w:rsidRDefault="00463D42" w:rsidP="004127ED">
      <w:pPr>
        <w:spacing w:after="0" w:line="240" w:lineRule="auto"/>
        <w:jc w:val="both"/>
        <w:rPr>
          <w:rFonts w:cstheme="minorHAnsi"/>
        </w:rPr>
      </w:pPr>
    </w:p>
    <w:p w14:paraId="61409AA1" w14:textId="3CCA77FA" w:rsidR="007C3098" w:rsidRPr="00463D42" w:rsidRDefault="004E360D" w:rsidP="004127ED">
      <w:pPr>
        <w:spacing w:after="0" w:line="240" w:lineRule="auto"/>
        <w:jc w:val="both"/>
        <w:rPr>
          <w:rFonts w:cstheme="minorHAnsi"/>
          <w:b/>
        </w:rPr>
      </w:pPr>
      <w:r w:rsidRPr="00463D42">
        <w:rPr>
          <w:rFonts w:cstheme="minorHAnsi"/>
        </w:rPr>
        <w:t xml:space="preserve">The </w:t>
      </w:r>
      <w:r w:rsidR="000212BF" w:rsidRPr="00463D42">
        <w:rPr>
          <w:rFonts w:cstheme="minorHAnsi"/>
        </w:rPr>
        <w:t xml:space="preserve">small </w:t>
      </w:r>
      <w:r w:rsidRPr="00463D42">
        <w:rPr>
          <w:rFonts w:cstheme="minorHAnsi"/>
        </w:rPr>
        <w:t xml:space="preserve">discrepancy between DELTA and the results from Drozda et al. can be attributed to differences in </w:t>
      </w:r>
      <w:r w:rsidR="00E01810" w:rsidRPr="00463D42">
        <w:rPr>
          <w:rFonts w:cstheme="minorHAnsi"/>
        </w:rPr>
        <w:t>propensity weighting methods</w:t>
      </w:r>
      <w:r w:rsidRPr="00463D42">
        <w:rPr>
          <w:rFonts w:cstheme="minorHAnsi"/>
        </w:rPr>
        <w:t>.</w:t>
      </w:r>
      <w:r w:rsidR="00E01810" w:rsidRPr="00463D42">
        <w:rPr>
          <w:rFonts w:cstheme="minorHAnsi"/>
        </w:rPr>
        <w:t xml:space="preserve"> </w:t>
      </w:r>
      <w:r w:rsidR="00784BB9" w:rsidRPr="00463D42">
        <w:rPr>
          <w:rFonts w:cstheme="minorHAnsi"/>
        </w:rPr>
        <w:t xml:space="preserve">IPTW, as implemented within </w:t>
      </w:r>
      <w:r w:rsidR="00E01810" w:rsidRPr="00463D42">
        <w:rPr>
          <w:rFonts w:cstheme="minorHAnsi"/>
        </w:rPr>
        <w:t>DELTA</w:t>
      </w:r>
      <w:r w:rsidR="00784BB9" w:rsidRPr="00463D42">
        <w:rPr>
          <w:rFonts w:cstheme="minorHAnsi"/>
        </w:rPr>
        <w:t>,</w:t>
      </w:r>
      <w:r w:rsidR="00E01810" w:rsidRPr="00463D42">
        <w:rPr>
          <w:rFonts w:cstheme="minorHAnsi"/>
        </w:rPr>
        <w:t xml:space="preserve"> seeks to match patients with similar risk from a</w:t>
      </w:r>
      <w:r w:rsidR="005139E8" w:rsidRPr="00463D42">
        <w:rPr>
          <w:rFonts w:cstheme="minorHAnsi"/>
        </w:rPr>
        <w:t xml:space="preserve"> single population, whereas the</w:t>
      </w:r>
      <w:r w:rsidR="00E01810" w:rsidRPr="00463D42">
        <w:rPr>
          <w:rFonts w:cstheme="minorHAnsi"/>
        </w:rPr>
        <w:t xml:space="preserve"> Drozda et al. study used a weighting system to generate a hypothetical population of DES patients with the same balance of covariates as the BMS cases. </w:t>
      </w:r>
      <w:r w:rsidR="009913EB" w:rsidRPr="00463D42">
        <w:rPr>
          <w:rFonts w:cstheme="minorHAnsi"/>
        </w:rPr>
        <w:t xml:space="preserve"> </w:t>
      </w:r>
      <w:r w:rsidR="00E01810" w:rsidRPr="00463D42">
        <w:rPr>
          <w:rFonts w:cstheme="minorHAnsi"/>
        </w:rPr>
        <w:t xml:space="preserve">Despite these methodological differences, DELTA was able ascertain the same </w:t>
      </w:r>
      <w:r w:rsidR="005139E8" w:rsidRPr="00463D42">
        <w:rPr>
          <w:rFonts w:cstheme="minorHAnsi"/>
        </w:rPr>
        <w:t>safety signal</w:t>
      </w:r>
      <w:r w:rsidRPr="00463D42">
        <w:rPr>
          <w:rFonts w:cstheme="minorHAnsi"/>
        </w:rPr>
        <w:t xml:space="preserve"> as detected by Drozda et al</w:t>
      </w:r>
      <w:r w:rsidR="000212BF" w:rsidRPr="00463D42">
        <w:rPr>
          <w:rFonts w:cstheme="minorHAnsi"/>
        </w:rPr>
        <w:t xml:space="preserve">. and </w:t>
      </w:r>
      <w:r w:rsidR="009913EB" w:rsidRPr="00463D42">
        <w:rPr>
          <w:rFonts w:cstheme="minorHAnsi"/>
        </w:rPr>
        <w:t xml:space="preserve">therefore satisfy the pre-specified </w:t>
      </w:r>
      <w:r w:rsidR="000212BF" w:rsidRPr="00463D42">
        <w:rPr>
          <w:rFonts w:cstheme="minorHAnsi"/>
        </w:rPr>
        <w:t xml:space="preserve">validation requirements. </w:t>
      </w:r>
    </w:p>
    <w:p w14:paraId="3C7502A3" w14:textId="36BCDBD4" w:rsidR="00D31EEB" w:rsidRPr="00463D42" w:rsidRDefault="00D31EEB" w:rsidP="004127ED">
      <w:pPr>
        <w:spacing w:after="0" w:line="240" w:lineRule="auto"/>
        <w:jc w:val="both"/>
        <w:rPr>
          <w:rFonts w:cstheme="minorHAnsi"/>
        </w:rPr>
      </w:pPr>
    </w:p>
    <w:p w14:paraId="5FF23F53" w14:textId="77777777" w:rsidR="009A3703" w:rsidRPr="00463D42" w:rsidRDefault="009A3703" w:rsidP="004127ED">
      <w:pPr>
        <w:spacing w:after="0" w:line="240" w:lineRule="auto"/>
        <w:jc w:val="both"/>
        <w:rPr>
          <w:rFonts w:cstheme="minorHAnsi"/>
          <w:b/>
        </w:rPr>
      </w:pPr>
    </w:p>
    <w:p w14:paraId="483EFE26" w14:textId="77777777" w:rsidR="009A3703" w:rsidRPr="00463D42" w:rsidRDefault="009A3703" w:rsidP="004127ED">
      <w:pPr>
        <w:spacing w:after="0" w:line="240" w:lineRule="auto"/>
        <w:jc w:val="both"/>
        <w:rPr>
          <w:rFonts w:cstheme="minorHAnsi"/>
          <w:b/>
        </w:rPr>
      </w:pPr>
    </w:p>
    <w:p w14:paraId="1DA44C63" w14:textId="77777777" w:rsidR="009A3703" w:rsidRPr="00463D42" w:rsidRDefault="009A3703" w:rsidP="004127ED">
      <w:pPr>
        <w:spacing w:after="0" w:line="240" w:lineRule="auto"/>
        <w:jc w:val="both"/>
        <w:rPr>
          <w:rFonts w:cstheme="minorHAnsi"/>
          <w:b/>
        </w:rPr>
      </w:pPr>
    </w:p>
    <w:p w14:paraId="32BA9BB0" w14:textId="77777777" w:rsidR="009A3703" w:rsidRPr="00463D42" w:rsidRDefault="009A3703" w:rsidP="004127ED">
      <w:pPr>
        <w:spacing w:after="0" w:line="240" w:lineRule="auto"/>
        <w:jc w:val="both"/>
        <w:rPr>
          <w:rFonts w:cstheme="minorHAnsi"/>
          <w:b/>
        </w:rPr>
      </w:pPr>
    </w:p>
    <w:p w14:paraId="0416B0D5" w14:textId="77777777" w:rsidR="009A3703" w:rsidRPr="00463D42" w:rsidRDefault="009A3703" w:rsidP="004127ED">
      <w:pPr>
        <w:spacing w:after="0" w:line="240" w:lineRule="auto"/>
        <w:jc w:val="both"/>
        <w:rPr>
          <w:rFonts w:cstheme="minorHAnsi"/>
          <w:b/>
        </w:rPr>
      </w:pPr>
    </w:p>
    <w:p w14:paraId="19716278" w14:textId="77777777" w:rsidR="009A3703" w:rsidRPr="00463D42" w:rsidRDefault="009A3703" w:rsidP="004127ED">
      <w:pPr>
        <w:jc w:val="both"/>
        <w:rPr>
          <w:rFonts w:cstheme="minorHAnsi"/>
          <w:b/>
        </w:rPr>
      </w:pPr>
      <w:r w:rsidRPr="00463D42">
        <w:rPr>
          <w:rFonts w:cstheme="minorHAnsi"/>
          <w:b/>
        </w:rPr>
        <w:br w:type="page"/>
      </w:r>
    </w:p>
    <w:p w14:paraId="0D2F6626" w14:textId="7DBB6728" w:rsidR="009913EB" w:rsidRPr="00463D42" w:rsidRDefault="009913EB" w:rsidP="004127ED">
      <w:pPr>
        <w:pStyle w:val="Heading1"/>
        <w:jc w:val="both"/>
      </w:pPr>
      <w:bookmarkStart w:id="6" w:name="_Toc107395624"/>
      <w:r w:rsidRPr="00463D42">
        <w:lastRenderedPageBreak/>
        <w:t>5.  References:</w:t>
      </w:r>
      <w:bookmarkEnd w:id="6"/>
      <w:r w:rsidRPr="00463D42">
        <w:t xml:space="preserve">   </w:t>
      </w:r>
    </w:p>
    <w:p w14:paraId="2387A7A3" w14:textId="035E5633" w:rsidR="00991585" w:rsidRDefault="00991585" w:rsidP="004127ED">
      <w:pPr>
        <w:pStyle w:val="ListParagraph"/>
        <w:numPr>
          <w:ilvl w:val="0"/>
          <w:numId w:val="7"/>
        </w:numPr>
        <w:spacing w:after="120" w:line="240" w:lineRule="auto"/>
        <w:contextualSpacing w:val="0"/>
        <w:jc w:val="both"/>
        <w:rPr>
          <w:rFonts w:cstheme="minorHAnsi"/>
        </w:rPr>
      </w:pPr>
      <w:r w:rsidRPr="00991585">
        <w:rPr>
          <w:rFonts w:cstheme="minorHAnsi"/>
          <w:bCs/>
        </w:rPr>
        <w:t>Resnic FS</w:t>
      </w:r>
      <w:r w:rsidRPr="00991585">
        <w:rPr>
          <w:rFonts w:cstheme="minorHAnsi"/>
        </w:rPr>
        <w:t xml:space="preserve">, Gross TP, Marinac-Dabic D, Loyo-Berrios N, Donnelly S, Normand SLT </w:t>
      </w:r>
      <w:r>
        <w:rPr>
          <w:rFonts w:cstheme="minorHAnsi"/>
        </w:rPr>
        <w:t xml:space="preserve">&amp; </w:t>
      </w:r>
      <w:r w:rsidRPr="00991585">
        <w:rPr>
          <w:rFonts w:cstheme="minorHAnsi"/>
        </w:rPr>
        <w:t xml:space="preserve">Matheny ME.  Automated surveillance to detect post-procedure safety signals of approved medical devices.  </w:t>
      </w:r>
      <w:r w:rsidRPr="00991585">
        <w:rPr>
          <w:rFonts w:cstheme="minorHAnsi"/>
          <w:i/>
        </w:rPr>
        <w:t xml:space="preserve">JAMA. </w:t>
      </w:r>
      <w:r w:rsidRPr="00991585">
        <w:rPr>
          <w:rFonts w:cstheme="minorHAnsi"/>
        </w:rPr>
        <w:t>2010 Nov 10; 304(18): 2019-2028</w:t>
      </w:r>
      <w:r>
        <w:rPr>
          <w:rFonts w:cstheme="minorHAnsi"/>
        </w:rPr>
        <w:t>.</w:t>
      </w:r>
    </w:p>
    <w:p w14:paraId="389B9475" w14:textId="66049B2B" w:rsidR="00991585" w:rsidRDefault="00991585" w:rsidP="004127ED">
      <w:pPr>
        <w:pStyle w:val="ListParagraph"/>
        <w:numPr>
          <w:ilvl w:val="0"/>
          <w:numId w:val="7"/>
        </w:numPr>
        <w:spacing w:after="120" w:line="240" w:lineRule="auto"/>
        <w:contextualSpacing w:val="0"/>
        <w:jc w:val="both"/>
        <w:rPr>
          <w:rFonts w:cstheme="minorHAnsi"/>
        </w:rPr>
      </w:pPr>
      <w:r w:rsidRPr="00991585">
        <w:rPr>
          <w:rFonts w:cstheme="minorHAnsi"/>
          <w:bCs/>
        </w:rPr>
        <w:t>Resnic FS,</w:t>
      </w:r>
      <w:r w:rsidRPr="00991585">
        <w:rPr>
          <w:rFonts w:cstheme="minorHAnsi"/>
        </w:rPr>
        <w:t xml:space="preserve"> Majithia A, Marinac-Dabic D, Robbins S, Ssemaganda, Hewitt K, Ponirakis A, Loyo-Berrios N, Moussa I, Drozda J, Normand SL </w:t>
      </w:r>
      <w:r>
        <w:rPr>
          <w:rFonts w:cstheme="minorHAnsi"/>
        </w:rPr>
        <w:t xml:space="preserve">&amp; </w:t>
      </w:r>
      <w:r w:rsidRPr="00991585">
        <w:rPr>
          <w:rFonts w:cstheme="minorHAnsi"/>
        </w:rPr>
        <w:t xml:space="preserve">Matheny ME.  Registry-Based Prospective Active Medical Device Safety Surveillance.  </w:t>
      </w:r>
      <w:r w:rsidRPr="00991585">
        <w:rPr>
          <w:rFonts w:cstheme="minorHAnsi"/>
          <w:i/>
        </w:rPr>
        <w:t>N Engl J Med</w:t>
      </w:r>
      <w:r w:rsidRPr="00991585">
        <w:rPr>
          <w:rFonts w:cstheme="minorHAnsi"/>
        </w:rPr>
        <w:t>.  2017 Feb 9; 376(6):526-535.</w:t>
      </w:r>
    </w:p>
    <w:p w14:paraId="59C1A300" w14:textId="7B17D8FE" w:rsidR="00991585" w:rsidRDefault="00991585" w:rsidP="004127ED">
      <w:pPr>
        <w:pStyle w:val="ListParagraph"/>
        <w:numPr>
          <w:ilvl w:val="0"/>
          <w:numId w:val="7"/>
        </w:numPr>
        <w:spacing w:after="120" w:line="240" w:lineRule="auto"/>
        <w:contextualSpacing w:val="0"/>
        <w:jc w:val="both"/>
        <w:rPr>
          <w:rFonts w:cstheme="minorHAnsi"/>
        </w:rPr>
      </w:pPr>
      <w:r w:rsidRPr="00991585">
        <w:rPr>
          <w:rFonts w:cstheme="minorHAnsi"/>
          <w:bCs/>
        </w:rPr>
        <w:t>Resnic FS</w:t>
      </w:r>
      <w:r w:rsidRPr="00991585">
        <w:rPr>
          <w:rFonts w:cstheme="minorHAnsi"/>
        </w:rPr>
        <w:t xml:space="preserve">, Majithia A, Dhruva SS, Ssemaganda H, Robbins S,  Marinac-Dabic D, Hewitt K, Ohno-Machado L, Reynolds M and Matheny ME.  Active Surveillance of the ICD Registry for Defibrillator Lead Failures.   </w:t>
      </w:r>
      <w:r w:rsidRPr="00991585">
        <w:rPr>
          <w:rFonts w:cstheme="minorHAnsi"/>
          <w:i/>
        </w:rPr>
        <w:t xml:space="preserve">Circ Cardiovasc Qual Outcomes.  </w:t>
      </w:r>
      <w:r w:rsidRPr="00991585">
        <w:rPr>
          <w:rFonts w:cstheme="minorHAnsi"/>
        </w:rPr>
        <w:t xml:space="preserve">2020 April;13(4)  </w:t>
      </w:r>
    </w:p>
    <w:p w14:paraId="5CEC84F4" w14:textId="3D6C3CA4" w:rsidR="00594F2D" w:rsidRDefault="00594F2D" w:rsidP="004127ED">
      <w:pPr>
        <w:pStyle w:val="ListParagraph"/>
        <w:numPr>
          <w:ilvl w:val="0"/>
          <w:numId w:val="7"/>
        </w:numPr>
        <w:spacing w:after="120" w:line="240" w:lineRule="auto"/>
        <w:contextualSpacing w:val="0"/>
        <w:jc w:val="both"/>
        <w:rPr>
          <w:rFonts w:cstheme="minorHAnsi"/>
        </w:rPr>
      </w:pPr>
      <w:r w:rsidRPr="00594F2D">
        <w:rPr>
          <w:rFonts w:cstheme="minorHAnsi"/>
        </w:rPr>
        <w:t>Kumar A, Matheny ME, Ho KK, Yeh RW, Piemonte TC, Waldman H, Shah PB, Cope R, Normand SL, Donnelly S, Robbins S</w:t>
      </w:r>
      <w:r>
        <w:rPr>
          <w:rFonts w:cstheme="minorHAnsi"/>
        </w:rPr>
        <w:t xml:space="preserve"> &amp;</w:t>
      </w:r>
      <w:r w:rsidRPr="00594F2D">
        <w:rPr>
          <w:rFonts w:cstheme="minorHAnsi"/>
        </w:rPr>
        <w:t xml:space="preserve"> </w:t>
      </w:r>
      <w:r w:rsidRPr="00594F2D">
        <w:rPr>
          <w:rFonts w:cstheme="minorHAnsi"/>
          <w:bCs/>
        </w:rPr>
        <w:t>Resnic FS.</w:t>
      </w:r>
      <w:r w:rsidRPr="00594F2D">
        <w:rPr>
          <w:rFonts w:cstheme="minorHAnsi"/>
        </w:rPr>
        <w:t xml:space="preserve">   The Data Extraction and Longitudinal Trend Analysis Network Study of Distributed Automated Postmarket Cardiovascular Device Safety Surveillance.  </w:t>
      </w:r>
      <w:r w:rsidRPr="00594F2D">
        <w:rPr>
          <w:rFonts w:cstheme="minorHAnsi"/>
          <w:i/>
        </w:rPr>
        <w:t>Circ Cardiovasc Qual Outcomes</w:t>
      </w:r>
      <w:r w:rsidRPr="00594F2D">
        <w:rPr>
          <w:rFonts w:cstheme="minorHAnsi"/>
        </w:rPr>
        <w:t>. 2015 Jan;8(1)38-46</w:t>
      </w:r>
    </w:p>
    <w:p w14:paraId="7C5F275B" w14:textId="1661D255" w:rsidR="00594F2D" w:rsidRDefault="00594F2D" w:rsidP="004127ED">
      <w:pPr>
        <w:pStyle w:val="ListParagraph"/>
        <w:numPr>
          <w:ilvl w:val="0"/>
          <w:numId w:val="7"/>
        </w:numPr>
        <w:spacing w:after="120" w:line="240" w:lineRule="auto"/>
        <w:contextualSpacing w:val="0"/>
        <w:jc w:val="both"/>
        <w:rPr>
          <w:rFonts w:cstheme="minorHAnsi"/>
        </w:rPr>
      </w:pPr>
      <w:r w:rsidRPr="00594F2D">
        <w:rPr>
          <w:rFonts w:cstheme="minorHAnsi"/>
        </w:rPr>
        <w:t xml:space="preserve">Frankenberger EA, </w:t>
      </w:r>
      <w:r w:rsidRPr="00594F2D">
        <w:rPr>
          <w:rFonts w:cstheme="minorHAnsi"/>
          <w:bCs/>
        </w:rPr>
        <w:t>Resnic FS</w:t>
      </w:r>
      <w:r w:rsidRPr="00594F2D">
        <w:rPr>
          <w:rFonts w:cstheme="minorHAnsi"/>
        </w:rPr>
        <w:t xml:space="preserve">, Ssemaganda H, Robbins S, Dunbar MR, Coplan P, Zhang S, Bruno C, </w:t>
      </w:r>
      <w:proofErr w:type="spellStart"/>
      <w:r w:rsidRPr="00594F2D">
        <w:rPr>
          <w:rFonts w:cstheme="minorHAnsi"/>
        </w:rPr>
        <w:t>Maltenfort</w:t>
      </w:r>
      <w:proofErr w:type="spellEnd"/>
      <w:r w:rsidRPr="00594F2D">
        <w:rPr>
          <w:rFonts w:cstheme="minorHAnsi"/>
        </w:rPr>
        <w:t xml:space="preserve"> M, Benedetti JB, Matheny ME </w:t>
      </w:r>
      <w:r>
        <w:rPr>
          <w:rFonts w:cstheme="minorHAnsi"/>
        </w:rPr>
        <w:t xml:space="preserve">and </w:t>
      </w:r>
      <w:proofErr w:type="spellStart"/>
      <w:r w:rsidRPr="00594F2D">
        <w:rPr>
          <w:rFonts w:cstheme="minorHAnsi"/>
        </w:rPr>
        <w:t>Ghogawala</w:t>
      </w:r>
      <w:proofErr w:type="spellEnd"/>
      <w:r w:rsidRPr="00594F2D">
        <w:rPr>
          <w:rFonts w:cstheme="minorHAnsi"/>
        </w:rPr>
        <w:t xml:space="preserve"> Z.  Evaluation of intervertebral body implant performance using active surveillance of electronic health records.   </w:t>
      </w:r>
      <w:r w:rsidRPr="00594F2D">
        <w:rPr>
          <w:rFonts w:cstheme="minorHAnsi"/>
          <w:i/>
        </w:rPr>
        <w:t xml:space="preserve">BMJ Surg </w:t>
      </w:r>
      <w:proofErr w:type="spellStart"/>
      <w:r w:rsidRPr="00594F2D">
        <w:rPr>
          <w:rFonts w:cstheme="minorHAnsi"/>
          <w:i/>
        </w:rPr>
        <w:t>Interv</w:t>
      </w:r>
      <w:proofErr w:type="spellEnd"/>
      <w:r w:rsidRPr="00594F2D">
        <w:rPr>
          <w:rFonts w:cstheme="minorHAnsi"/>
          <w:i/>
        </w:rPr>
        <w:t xml:space="preserve"> Health Technol</w:t>
      </w:r>
      <w:r w:rsidRPr="00594F2D">
        <w:rPr>
          <w:rFonts w:cstheme="minorHAnsi"/>
        </w:rPr>
        <w:t>. 2022 Jul 8</w:t>
      </w:r>
      <w:r w:rsidR="004127ED" w:rsidRPr="00594F2D">
        <w:rPr>
          <w:rFonts w:cstheme="minorHAnsi"/>
        </w:rPr>
        <w:t>; 4</w:t>
      </w:r>
      <w:r w:rsidRPr="00594F2D">
        <w:rPr>
          <w:rFonts w:cstheme="minorHAnsi"/>
        </w:rPr>
        <w:t xml:space="preserve">(1).  </w:t>
      </w:r>
    </w:p>
    <w:p w14:paraId="2F352EF8" w14:textId="3D9F4E32" w:rsidR="009913EB" w:rsidRPr="00463D42" w:rsidRDefault="003E4026" w:rsidP="004127ED">
      <w:pPr>
        <w:pStyle w:val="ListParagraph"/>
        <w:numPr>
          <w:ilvl w:val="0"/>
          <w:numId w:val="7"/>
        </w:numPr>
        <w:spacing w:after="120" w:line="240" w:lineRule="auto"/>
        <w:contextualSpacing w:val="0"/>
        <w:jc w:val="both"/>
        <w:rPr>
          <w:rFonts w:cstheme="minorHAnsi"/>
        </w:rPr>
      </w:pPr>
      <w:r w:rsidRPr="00463D42">
        <w:rPr>
          <w:rFonts w:cstheme="minorHAnsi"/>
        </w:rPr>
        <w:t xml:space="preserve">Schober, P., &amp; Vetter, T. R. (2021). Logistic Regression in Medical Research. </w:t>
      </w:r>
      <w:r w:rsidRPr="00463D42">
        <w:rPr>
          <w:rFonts w:cstheme="minorHAnsi"/>
          <w:i/>
          <w:iCs/>
        </w:rPr>
        <w:t>Anesthesia and analgesia</w:t>
      </w:r>
      <w:r w:rsidRPr="00463D42">
        <w:rPr>
          <w:rFonts w:cstheme="minorHAnsi"/>
        </w:rPr>
        <w:t xml:space="preserve">, </w:t>
      </w:r>
      <w:r w:rsidRPr="00463D42">
        <w:rPr>
          <w:rFonts w:cstheme="minorHAnsi"/>
          <w:i/>
          <w:iCs/>
        </w:rPr>
        <w:t>132</w:t>
      </w:r>
      <w:r w:rsidRPr="00463D42">
        <w:rPr>
          <w:rFonts w:cstheme="minorHAnsi"/>
        </w:rPr>
        <w:t xml:space="preserve">(2), 365–366. </w:t>
      </w:r>
      <w:hyperlink r:id="rId9" w:history="1">
        <w:r w:rsidRPr="00463D42">
          <w:rPr>
            <w:rStyle w:val="Hyperlink"/>
            <w:rFonts w:cstheme="minorHAnsi"/>
            <w:color w:val="auto"/>
          </w:rPr>
          <w:t>https://doi.org/10.1213/ANE.0000000000005247</w:t>
        </w:r>
      </w:hyperlink>
    </w:p>
    <w:p w14:paraId="6736C0D1" w14:textId="49992358" w:rsidR="003E4026" w:rsidRPr="00463D42" w:rsidRDefault="003E4026" w:rsidP="004127ED">
      <w:pPr>
        <w:pStyle w:val="ListParagraph"/>
        <w:numPr>
          <w:ilvl w:val="0"/>
          <w:numId w:val="7"/>
        </w:numPr>
        <w:spacing w:after="120" w:line="240" w:lineRule="auto"/>
        <w:contextualSpacing w:val="0"/>
        <w:jc w:val="both"/>
        <w:rPr>
          <w:rStyle w:val="referencesnote"/>
          <w:rFonts w:cstheme="minorHAnsi"/>
        </w:rPr>
      </w:pPr>
      <w:proofErr w:type="spellStart"/>
      <w:r w:rsidRPr="00463D42">
        <w:rPr>
          <w:rStyle w:val="referencesname"/>
          <w:rFonts w:cstheme="minorHAnsi"/>
        </w:rPr>
        <w:t>Tibshirani</w:t>
      </w:r>
      <w:proofErr w:type="spellEnd"/>
      <w:r w:rsidRPr="00463D42">
        <w:rPr>
          <w:rStyle w:val="referencesname"/>
          <w:rFonts w:cstheme="minorHAnsi"/>
        </w:rPr>
        <w:t xml:space="preserve"> </w:t>
      </w:r>
      <w:proofErr w:type="gramStart"/>
      <w:r w:rsidRPr="00463D42">
        <w:rPr>
          <w:rStyle w:val="referencesname"/>
          <w:rFonts w:cstheme="minorHAnsi"/>
        </w:rPr>
        <w:t>R.</w:t>
      </w:r>
      <w:r w:rsidRPr="00463D42">
        <w:rPr>
          <w:rStyle w:val="referencesnote"/>
          <w:rFonts w:cstheme="minorHAnsi"/>
        </w:rPr>
        <w:t>.</w:t>
      </w:r>
      <w:proofErr w:type="gramEnd"/>
      <w:r w:rsidRPr="00463D42">
        <w:rPr>
          <w:rStyle w:val="referencesnote"/>
          <w:rFonts w:cstheme="minorHAnsi"/>
        </w:rPr>
        <w:t xml:space="preserve"> </w:t>
      </w:r>
      <w:r w:rsidRPr="00463D42">
        <w:rPr>
          <w:rStyle w:val="referencesyear"/>
          <w:rFonts w:cstheme="minorHAnsi"/>
        </w:rPr>
        <w:t>1996</w:t>
      </w:r>
      <w:r w:rsidRPr="00463D42">
        <w:rPr>
          <w:rStyle w:val="referencesnote"/>
          <w:rFonts w:cstheme="minorHAnsi"/>
        </w:rPr>
        <w:t xml:space="preserve">. </w:t>
      </w:r>
      <w:r w:rsidRPr="00463D42">
        <w:rPr>
          <w:rStyle w:val="referencesarticle-title"/>
          <w:rFonts w:cstheme="minorHAnsi"/>
        </w:rPr>
        <w:t>Regression shrinkage and selection via the lasso</w:t>
      </w:r>
      <w:r w:rsidRPr="00463D42">
        <w:rPr>
          <w:rStyle w:val="referencesnote"/>
          <w:rFonts w:cstheme="minorHAnsi"/>
        </w:rPr>
        <w:t xml:space="preserve">. </w:t>
      </w:r>
      <w:r w:rsidRPr="00463D42">
        <w:rPr>
          <w:rStyle w:val="referencessource"/>
          <w:rFonts w:cstheme="minorHAnsi"/>
          <w:i/>
          <w:iCs/>
        </w:rPr>
        <w:t>Journal of the Royal Statistical Society: Series B (Methodological)</w:t>
      </w:r>
      <w:r w:rsidRPr="00463D42">
        <w:rPr>
          <w:rStyle w:val="referencesnote"/>
          <w:rFonts w:cstheme="minorHAnsi"/>
        </w:rPr>
        <w:t xml:space="preserve"> </w:t>
      </w:r>
      <w:r w:rsidRPr="00463D42">
        <w:rPr>
          <w:rStyle w:val="referencesvolume"/>
          <w:rFonts w:cstheme="minorHAnsi"/>
        </w:rPr>
        <w:t>58</w:t>
      </w:r>
      <w:r w:rsidRPr="00463D42">
        <w:rPr>
          <w:rStyle w:val="referencesnote"/>
          <w:rFonts w:cstheme="minorHAnsi"/>
        </w:rPr>
        <w:t xml:space="preserve">, </w:t>
      </w:r>
      <w:r w:rsidRPr="00463D42">
        <w:rPr>
          <w:rStyle w:val="referencesissue"/>
          <w:rFonts w:cstheme="minorHAnsi"/>
        </w:rPr>
        <w:t>1</w:t>
      </w:r>
      <w:r w:rsidRPr="00463D42">
        <w:rPr>
          <w:rStyle w:val="referencesnote"/>
          <w:rFonts w:cstheme="minorHAnsi"/>
        </w:rPr>
        <w:t xml:space="preserve"> (</w:t>
      </w:r>
      <w:r w:rsidRPr="00463D42">
        <w:rPr>
          <w:rStyle w:val="referencesyear"/>
          <w:rFonts w:cstheme="minorHAnsi"/>
        </w:rPr>
        <w:t>1996</w:t>
      </w:r>
      <w:r w:rsidRPr="00463D42">
        <w:rPr>
          <w:rStyle w:val="referencesnote"/>
          <w:rFonts w:cstheme="minorHAnsi"/>
        </w:rPr>
        <w:t xml:space="preserve">), </w:t>
      </w:r>
      <w:r w:rsidRPr="00463D42">
        <w:rPr>
          <w:rStyle w:val="referencesfpage"/>
          <w:rFonts w:cstheme="minorHAnsi"/>
        </w:rPr>
        <w:t>267</w:t>
      </w:r>
      <w:r w:rsidRPr="00463D42">
        <w:rPr>
          <w:rStyle w:val="referencesnote"/>
          <w:rFonts w:cstheme="minorHAnsi"/>
        </w:rPr>
        <w:t>–</w:t>
      </w:r>
      <w:r w:rsidRPr="00463D42">
        <w:rPr>
          <w:rStyle w:val="referenceslpage"/>
          <w:rFonts w:cstheme="minorHAnsi"/>
        </w:rPr>
        <w:t>288</w:t>
      </w:r>
      <w:r w:rsidRPr="00463D42">
        <w:rPr>
          <w:rStyle w:val="referencesnote"/>
          <w:rFonts w:cstheme="minorHAnsi"/>
        </w:rPr>
        <w:t>.</w:t>
      </w:r>
    </w:p>
    <w:p w14:paraId="12EDCDC6" w14:textId="50982D08" w:rsidR="00797F3A" w:rsidRPr="00463D42" w:rsidRDefault="00797F3A" w:rsidP="004127ED">
      <w:pPr>
        <w:pStyle w:val="ListParagraph"/>
        <w:numPr>
          <w:ilvl w:val="0"/>
          <w:numId w:val="7"/>
        </w:numPr>
        <w:spacing w:after="120" w:line="240" w:lineRule="auto"/>
        <w:contextualSpacing w:val="0"/>
        <w:jc w:val="both"/>
        <w:rPr>
          <w:rFonts w:cstheme="minorHAnsi"/>
        </w:rPr>
      </w:pPr>
      <w:r w:rsidRPr="00463D42">
        <w:rPr>
          <w:rFonts w:cstheme="minorHAnsi"/>
        </w:rPr>
        <w:t xml:space="preserve">Rosenbaum, P., Rubin, D., The central role of the propensity score in observational studies for causal effects, </w:t>
      </w:r>
      <w:proofErr w:type="spellStart"/>
      <w:r w:rsidRPr="00463D42">
        <w:rPr>
          <w:rStyle w:val="Emphasis"/>
          <w:rFonts w:cstheme="minorHAnsi"/>
        </w:rPr>
        <w:t>Biometrika</w:t>
      </w:r>
      <w:proofErr w:type="spellEnd"/>
      <w:r w:rsidRPr="00463D42">
        <w:rPr>
          <w:rFonts w:cstheme="minorHAnsi"/>
        </w:rPr>
        <w:t xml:space="preserve">, Volume 70, Issue 1, April 1983, Pages 41–55, </w:t>
      </w:r>
      <w:hyperlink r:id="rId10" w:history="1">
        <w:r w:rsidRPr="00463D42">
          <w:rPr>
            <w:rStyle w:val="Hyperlink"/>
            <w:rFonts w:cstheme="minorHAnsi"/>
            <w:color w:val="auto"/>
          </w:rPr>
          <w:t>https://doi.org/10.1093/biomet/70.1.41</w:t>
        </w:r>
      </w:hyperlink>
    </w:p>
    <w:p w14:paraId="3C4566EB" w14:textId="77777777" w:rsidR="00D9030E" w:rsidRPr="00463D42" w:rsidRDefault="00D9030E" w:rsidP="004127ED">
      <w:pPr>
        <w:pStyle w:val="ListParagraph"/>
        <w:numPr>
          <w:ilvl w:val="0"/>
          <w:numId w:val="7"/>
        </w:numPr>
        <w:spacing w:after="120"/>
        <w:contextualSpacing w:val="0"/>
        <w:jc w:val="both"/>
        <w:rPr>
          <w:rFonts w:cstheme="minorHAnsi"/>
        </w:rPr>
      </w:pPr>
      <w:r w:rsidRPr="00463D42">
        <w:rPr>
          <w:rFonts w:cstheme="minorHAnsi"/>
        </w:rPr>
        <w:t>Garrido, M. M., Kelley, A. S., Paris, J., Roza, K., Meier, D. E., Morrison, R. S., &amp; Aldridge, M. D. (2014). Methods for constructing and assessing propensity scores. Health services research, 49(5), 1701–1720. https://doi.org/10.1111/1475-6773.12182</w:t>
      </w:r>
    </w:p>
    <w:p w14:paraId="74E4ED3D" w14:textId="60619E83" w:rsidR="00953805" w:rsidRPr="00463D42" w:rsidRDefault="00953805" w:rsidP="004127ED">
      <w:pPr>
        <w:pStyle w:val="ListParagraph"/>
        <w:numPr>
          <w:ilvl w:val="0"/>
          <w:numId w:val="7"/>
        </w:numPr>
        <w:spacing w:after="120" w:line="240" w:lineRule="auto"/>
        <w:contextualSpacing w:val="0"/>
        <w:jc w:val="both"/>
        <w:rPr>
          <w:rFonts w:cstheme="minorHAnsi"/>
        </w:rPr>
      </w:pPr>
      <w:r w:rsidRPr="00463D42">
        <w:rPr>
          <w:rFonts w:cstheme="minorHAnsi"/>
        </w:rPr>
        <w:t xml:space="preserve">Hirano K, </w:t>
      </w:r>
      <w:proofErr w:type="spellStart"/>
      <w:r w:rsidRPr="00463D42">
        <w:rPr>
          <w:rFonts w:cstheme="minorHAnsi"/>
        </w:rPr>
        <w:t>Imbens</w:t>
      </w:r>
      <w:proofErr w:type="spellEnd"/>
      <w:r w:rsidRPr="00463D42">
        <w:rPr>
          <w:rFonts w:cstheme="minorHAnsi"/>
        </w:rPr>
        <w:t xml:space="preserve"> G, Ridder G. Efficient estimation of average treatment effects using the estimated propensity score. </w:t>
      </w:r>
      <w:proofErr w:type="spellStart"/>
      <w:r w:rsidRPr="00463D42">
        <w:rPr>
          <w:rFonts w:cstheme="minorHAnsi"/>
        </w:rPr>
        <w:t>Econometrica</w:t>
      </w:r>
      <w:proofErr w:type="spellEnd"/>
      <w:r w:rsidRPr="00463D42">
        <w:rPr>
          <w:rFonts w:cstheme="minorHAnsi"/>
        </w:rPr>
        <w:t>. 2003; 71:1161–1189. doi:10.1111/1468-0262.00442.</w:t>
      </w:r>
    </w:p>
    <w:p w14:paraId="1C0AEA7F" w14:textId="4F38024B" w:rsidR="00D9030E" w:rsidRPr="00463D42" w:rsidRDefault="00D9030E" w:rsidP="004127ED">
      <w:pPr>
        <w:pStyle w:val="ListParagraph"/>
        <w:numPr>
          <w:ilvl w:val="0"/>
          <w:numId w:val="7"/>
        </w:numPr>
        <w:spacing w:after="120" w:line="240" w:lineRule="auto"/>
        <w:contextualSpacing w:val="0"/>
        <w:jc w:val="both"/>
        <w:rPr>
          <w:rFonts w:cstheme="minorHAnsi"/>
        </w:rPr>
      </w:pPr>
      <w:r w:rsidRPr="00463D42">
        <w:rPr>
          <w:rFonts w:cstheme="minorHAnsi"/>
        </w:rPr>
        <w:t xml:space="preserve">Harder, V. S., Stuart, E. A., &amp; Anthony, J. C. (2010). Propensity score techniques and the assessment of measured covariate balance to test causal associations in psychological research. </w:t>
      </w:r>
      <w:r w:rsidRPr="00463D42">
        <w:rPr>
          <w:rFonts w:cstheme="minorHAnsi"/>
          <w:i/>
          <w:iCs/>
        </w:rPr>
        <w:t>Psychological methods</w:t>
      </w:r>
      <w:r w:rsidRPr="00463D42">
        <w:rPr>
          <w:rFonts w:cstheme="minorHAnsi"/>
        </w:rPr>
        <w:t xml:space="preserve">, </w:t>
      </w:r>
      <w:r w:rsidRPr="00463D42">
        <w:rPr>
          <w:rFonts w:cstheme="minorHAnsi"/>
          <w:i/>
          <w:iCs/>
        </w:rPr>
        <w:t>15</w:t>
      </w:r>
      <w:r w:rsidRPr="00463D42">
        <w:rPr>
          <w:rFonts w:cstheme="minorHAnsi"/>
        </w:rPr>
        <w:t>(3), 234–249. https://doi.org/10.1037/a0019623</w:t>
      </w:r>
    </w:p>
    <w:p w14:paraId="368900D9" w14:textId="7A15D3DF" w:rsidR="00621F63" w:rsidRPr="00463D42" w:rsidRDefault="00621F63" w:rsidP="004127ED">
      <w:pPr>
        <w:pStyle w:val="ListParagraph"/>
        <w:numPr>
          <w:ilvl w:val="0"/>
          <w:numId w:val="7"/>
        </w:numPr>
        <w:spacing w:after="120" w:line="240" w:lineRule="auto"/>
        <w:contextualSpacing w:val="0"/>
        <w:jc w:val="both"/>
        <w:rPr>
          <w:rFonts w:cstheme="minorHAnsi"/>
        </w:rPr>
      </w:pPr>
      <w:r w:rsidRPr="00463D42">
        <w:rPr>
          <w:rFonts w:cstheme="minorHAnsi"/>
        </w:rPr>
        <w:t xml:space="preserve">Austin P. C. (2011). Optimal caliper widths for propensity-score matching when estimating differences in means and differences in proportions in observational studies. </w:t>
      </w:r>
      <w:r w:rsidRPr="00463D42">
        <w:rPr>
          <w:rFonts w:cstheme="minorHAnsi"/>
          <w:i/>
          <w:iCs/>
        </w:rPr>
        <w:t>Pharmaceutical statistics</w:t>
      </w:r>
      <w:r w:rsidRPr="00463D42">
        <w:rPr>
          <w:rFonts w:cstheme="minorHAnsi"/>
        </w:rPr>
        <w:t xml:space="preserve">, </w:t>
      </w:r>
      <w:r w:rsidRPr="00463D42">
        <w:rPr>
          <w:rFonts w:cstheme="minorHAnsi"/>
          <w:i/>
          <w:iCs/>
        </w:rPr>
        <w:t>10</w:t>
      </w:r>
      <w:r w:rsidRPr="00463D42">
        <w:rPr>
          <w:rFonts w:cstheme="minorHAnsi"/>
        </w:rPr>
        <w:t xml:space="preserve">(2), 150–161. </w:t>
      </w:r>
      <w:hyperlink r:id="rId11" w:history="1">
        <w:r w:rsidR="00A01329" w:rsidRPr="00463D42">
          <w:rPr>
            <w:rStyle w:val="Hyperlink"/>
            <w:rFonts w:cstheme="minorHAnsi"/>
            <w:color w:val="auto"/>
          </w:rPr>
          <w:t>https://doi.org/10.1002/pst.433</w:t>
        </w:r>
      </w:hyperlink>
      <w:r w:rsidR="00A01329" w:rsidRPr="00463D42">
        <w:rPr>
          <w:rFonts w:cstheme="minorHAnsi"/>
        </w:rPr>
        <w:t>.</w:t>
      </w:r>
    </w:p>
    <w:p w14:paraId="633D8BD5" w14:textId="04E1705C" w:rsidR="00A01329" w:rsidRPr="00463D42" w:rsidRDefault="00A01329" w:rsidP="004127ED">
      <w:pPr>
        <w:pStyle w:val="ListParagraph"/>
        <w:numPr>
          <w:ilvl w:val="0"/>
          <w:numId w:val="7"/>
        </w:numPr>
        <w:spacing w:after="120" w:line="240" w:lineRule="auto"/>
        <w:contextualSpacing w:val="0"/>
        <w:jc w:val="both"/>
        <w:rPr>
          <w:rFonts w:cstheme="minorHAnsi"/>
        </w:rPr>
      </w:pPr>
      <w:r w:rsidRPr="00463D42">
        <w:rPr>
          <w:rFonts w:cstheme="minorHAnsi"/>
        </w:rPr>
        <w:t xml:space="preserve">Wang, Y., Cai, H., Li, C., Jiang, Z., Wang, L., Song, J., &amp; Xia, J. (2013). Optimal caliper width for propensity score matching of three treatment groups: a Monte Carlo study. </w:t>
      </w:r>
      <w:proofErr w:type="spellStart"/>
      <w:r w:rsidRPr="00463D42">
        <w:rPr>
          <w:rFonts w:cstheme="minorHAnsi"/>
          <w:i/>
          <w:iCs/>
        </w:rPr>
        <w:t>PloS</w:t>
      </w:r>
      <w:proofErr w:type="spellEnd"/>
      <w:r w:rsidRPr="00463D42">
        <w:rPr>
          <w:rFonts w:cstheme="minorHAnsi"/>
          <w:i/>
          <w:iCs/>
        </w:rPr>
        <w:t xml:space="preserve"> one</w:t>
      </w:r>
      <w:r w:rsidRPr="00463D42">
        <w:rPr>
          <w:rFonts w:cstheme="minorHAnsi"/>
        </w:rPr>
        <w:t xml:space="preserve">, </w:t>
      </w:r>
      <w:r w:rsidRPr="00463D42">
        <w:rPr>
          <w:rFonts w:cstheme="minorHAnsi"/>
          <w:i/>
          <w:iCs/>
        </w:rPr>
        <w:t>8</w:t>
      </w:r>
      <w:r w:rsidRPr="00463D42">
        <w:rPr>
          <w:rFonts w:cstheme="minorHAnsi"/>
        </w:rPr>
        <w:t xml:space="preserve">(12), e81045. </w:t>
      </w:r>
      <w:hyperlink r:id="rId12" w:history="1">
        <w:r w:rsidR="00627175" w:rsidRPr="00463D42">
          <w:rPr>
            <w:rStyle w:val="Hyperlink"/>
            <w:rFonts w:cstheme="minorHAnsi"/>
            <w:color w:val="auto"/>
          </w:rPr>
          <w:t>https://doi.org/10.1371/journal.pone.0081045</w:t>
        </w:r>
      </w:hyperlink>
      <w:r w:rsidR="00627175" w:rsidRPr="00463D42">
        <w:rPr>
          <w:rFonts w:cstheme="minorHAnsi"/>
        </w:rPr>
        <w:t>.</w:t>
      </w:r>
    </w:p>
    <w:p w14:paraId="57A0324B" w14:textId="427C033C" w:rsidR="00E37A4B" w:rsidRPr="00463D42" w:rsidRDefault="00E37A4B" w:rsidP="004127ED">
      <w:pPr>
        <w:pStyle w:val="ListParagraph"/>
        <w:numPr>
          <w:ilvl w:val="0"/>
          <w:numId w:val="7"/>
        </w:numPr>
        <w:spacing w:after="120" w:line="240" w:lineRule="auto"/>
        <w:contextualSpacing w:val="0"/>
        <w:jc w:val="both"/>
        <w:rPr>
          <w:rFonts w:cstheme="minorHAnsi"/>
        </w:rPr>
      </w:pPr>
      <w:r w:rsidRPr="00463D42">
        <w:rPr>
          <w:rFonts w:cstheme="minorHAnsi"/>
        </w:rPr>
        <w:lastRenderedPageBreak/>
        <w:t xml:space="preserve">Robins, J. M., Hernán, M. A., &amp; Brumback, B. (2000). Marginal structural models and causal inference in epidemiology. </w:t>
      </w:r>
      <w:r w:rsidRPr="00463D42">
        <w:rPr>
          <w:rFonts w:cstheme="minorHAnsi"/>
          <w:i/>
          <w:iCs/>
        </w:rPr>
        <w:t>Epidemiology (Cambridge, Mass.)</w:t>
      </w:r>
      <w:r w:rsidRPr="00463D42">
        <w:rPr>
          <w:rFonts w:cstheme="minorHAnsi"/>
        </w:rPr>
        <w:t xml:space="preserve">, </w:t>
      </w:r>
      <w:r w:rsidRPr="00463D42">
        <w:rPr>
          <w:rFonts w:cstheme="minorHAnsi"/>
          <w:i/>
          <w:iCs/>
        </w:rPr>
        <w:t>11</w:t>
      </w:r>
      <w:r w:rsidRPr="00463D42">
        <w:rPr>
          <w:rFonts w:cstheme="minorHAnsi"/>
        </w:rPr>
        <w:t xml:space="preserve">(5), 550–560. </w:t>
      </w:r>
      <w:hyperlink r:id="rId13" w:history="1">
        <w:r w:rsidR="00A60EE9" w:rsidRPr="00463D42">
          <w:rPr>
            <w:rStyle w:val="Hyperlink"/>
            <w:rFonts w:cstheme="minorHAnsi"/>
            <w:color w:val="auto"/>
          </w:rPr>
          <w:t>https://doi.org/10.1097/00001648-200009000-00011</w:t>
        </w:r>
      </w:hyperlink>
    </w:p>
    <w:p w14:paraId="3A5A42D6" w14:textId="578CD4FC" w:rsidR="00A60EE9" w:rsidRPr="00463D42" w:rsidRDefault="00A60EE9" w:rsidP="004127ED">
      <w:pPr>
        <w:pStyle w:val="ListParagraph"/>
        <w:numPr>
          <w:ilvl w:val="0"/>
          <w:numId w:val="7"/>
        </w:numPr>
        <w:spacing w:after="120" w:line="240" w:lineRule="auto"/>
        <w:contextualSpacing w:val="0"/>
        <w:jc w:val="both"/>
        <w:rPr>
          <w:rFonts w:cstheme="minorHAnsi"/>
        </w:rPr>
      </w:pPr>
      <w:r w:rsidRPr="00463D42">
        <w:rPr>
          <w:rFonts w:cstheme="minorHAnsi"/>
        </w:rPr>
        <w:t xml:space="preserve">Spiegelhalter, D., Grigg, O., Kinsman, R., &amp; Treasure, T. (2003). Risk-adjusted sequential probability ratio tests: applications to Bristol, Shipman and adult cardiac surgery. International journal for quality in health </w:t>
      </w:r>
      <w:proofErr w:type="gramStart"/>
      <w:r w:rsidRPr="00463D42">
        <w:rPr>
          <w:rFonts w:cstheme="minorHAnsi"/>
        </w:rPr>
        <w:t>care :</w:t>
      </w:r>
      <w:proofErr w:type="gramEnd"/>
      <w:r w:rsidRPr="00463D42">
        <w:rPr>
          <w:rFonts w:cstheme="minorHAnsi"/>
        </w:rPr>
        <w:t xml:space="preserve"> journal of the International Society for Quality in Health Care, 15(1), 7–13. </w:t>
      </w:r>
      <w:hyperlink r:id="rId14" w:history="1">
        <w:r w:rsidR="00B307BE" w:rsidRPr="00463D42">
          <w:rPr>
            <w:rStyle w:val="Hyperlink"/>
            <w:rFonts w:cstheme="minorHAnsi"/>
            <w:color w:val="auto"/>
          </w:rPr>
          <w:t>https://doi.org/10.1093/intqhc/15.1.7</w:t>
        </w:r>
      </w:hyperlink>
    </w:p>
    <w:p w14:paraId="1F1E4604" w14:textId="14F78257" w:rsidR="009D384F" w:rsidRPr="00463D42" w:rsidRDefault="00B307BE" w:rsidP="004127ED">
      <w:pPr>
        <w:pStyle w:val="ListParagraph"/>
        <w:numPr>
          <w:ilvl w:val="0"/>
          <w:numId w:val="7"/>
        </w:numPr>
        <w:spacing w:after="120" w:line="240" w:lineRule="auto"/>
        <w:contextualSpacing w:val="0"/>
        <w:jc w:val="both"/>
        <w:rPr>
          <w:rFonts w:cstheme="minorHAnsi"/>
        </w:rPr>
      </w:pPr>
      <w:r w:rsidRPr="00463D42">
        <w:rPr>
          <w:rFonts w:cstheme="minorHAnsi"/>
        </w:rPr>
        <w:t xml:space="preserve">Matheny, M. E., Normand, S. L., Gross, T. P., Marinac-Dabic, D., Loyo-Berrios, N., Vidi, V. D., Donnelly, S., &amp; Resnic, F. S. (2011). Evaluation of an automated safety surveillance system using risk adjusted sequential probability ratio testing. </w:t>
      </w:r>
      <w:r w:rsidRPr="00463D42">
        <w:rPr>
          <w:rFonts w:cstheme="minorHAnsi"/>
          <w:i/>
          <w:iCs/>
        </w:rPr>
        <w:t xml:space="preserve">BMC </w:t>
      </w:r>
      <w:r w:rsidR="00991585">
        <w:rPr>
          <w:rFonts w:cstheme="minorHAnsi"/>
          <w:i/>
          <w:iCs/>
        </w:rPr>
        <w:t>M</w:t>
      </w:r>
      <w:r w:rsidRPr="00463D42">
        <w:rPr>
          <w:rFonts w:cstheme="minorHAnsi"/>
          <w:i/>
          <w:iCs/>
        </w:rPr>
        <w:t xml:space="preserve">edical </w:t>
      </w:r>
      <w:r w:rsidR="00991585">
        <w:rPr>
          <w:rFonts w:cstheme="minorHAnsi"/>
          <w:i/>
          <w:iCs/>
        </w:rPr>
        <w:t>I</w:t>
      </w:r>
      <w:r w:rsidRPr="00463D42">
        <w:rPr>
          <w:rFonts w:cstheme="minorHAnsi"/>
          <w:i/>
          <w:iCs/>
        </w:rPr>
        <w:t xml:space="preserve">nformatics and </w:t>
      </w:r>
      <w:r w:rsidR="00991585">
        <w:rPr>
          <w:rFonts w:cstheme="minorHAnsi"/>
          <w:i/>
          <w:iCs/>
        </w:rPr>
        <w:t>D</w:t>
      </w:r>
      <w:r w:rsidRPr="00463D42">
        <w:rPr>
          <w:rFonts w:cstheme="minorHAnsi"/>
          <w:i/>
          <w:iCs/>
        </w:rPr>
        <w:t xml:space="preserve">ecision </w:t>
      </w:r>
      <w:r w:rsidR="00991585">
        <w:rPr>
          <w:rFonts w:cstheme="minorHAnsi"/>
          <w:i/>
          <w:iCs/>
        </w:rPr>
        <w:t>M</w:t>
      </w:r>
      <w:r w:rsidRPr="00463D42">
        <w:rPr>
          <w:rFonts w:cstheme="minorHAnsi"/>
          <w:i/>
          <w:iCs/>
        </w:rPr>
        <w:t>aking</w:t>
      </w:r>
      <w:r w:rsidRPr="00463D42">
        <w:rPr>
          <w:rFonts w:cstheme="minorHAnsi"/>
        </w:rPr>
        <w:t xml:space="preserve">, </w:t>
      </w:r>
      <w:r w:rsidRPr="00463D42">
        <w:rPr>
          <w:rFonts w:cstheme="minorHAnsi"/>
          <w:i/>
          <w:iCs/>
        </w:rPr>
        <w:t>11</w:t>
      </w:r>
      <w:r w:rsidRPr="00463D42">
        <w:rPr>
          <w:rFonts w:cstheme="minorHAnsi"/>
        </w:rPr>
        <w:t xml:space="preserve">, 75. </w:t>
      </w:r>
      <w:hyperlink r:id="rId15" w:history="1">
        <w:r w:rsidR="00C14802" w:rsidRPr="00463D42">
          <w:rPr>
            <w:rStyle w:val="Hyperlink"/>
            <w:rFonts w:cstheme="minorHAnsi"/>
            <w:color w:val="auto"/>
          </w:rPr>
          <w:t>https://doi.org/10.1186/1472-6947-11-75</w:t>
        </w:r>
      </w:hyperlink>
    </w:p>
    <w:p w14:paraId="3F95D732" w14:textId="77777777" w:rsidR="00CA3F6B" w:rsidRPr="00463D42" w:rsidRDefault="00C14802" w:rsidP="004127ED">
      <w:pPr>
        <w:pStyle w:val="ListParagraph"/>
        <w:numPr>
          <w:ilvl w:val="0"/>
          <w:numId w:val="7"/>
        </w:numPr>
        <w:spacing w:after="120" w:line="240" w:lineRule="auto"/>
        <w:contextualSpacing w:val="0"/>
        <w:jc w:val="both"/>
        <w:rPr>
          <w:rFonts w:cstheme="minorHAnsi"/>
        </w:rPr>
      </w:pPr>
      <w:r w:rsidRPr="00463D42">
        <w:rPr>
          <w:rFonts w:cstheme="minorHAnsi"/>
        </w:rPr>
        <w:t xml:space="preserve">Goel, M. K., Khanna, P., &amp; Kishore, J. (2010). Understanding survival analysis: Kaplan-Meier estimate. </w:t>
      </w:r>
      <w:r w:rsidRPr="00463D42">
        <w:rPr>
          <w:rFonts w:cstheme="minorHAnsi"/>
          <w:i/>
          <w:iCs/>
        </w:rPr>
        <w:t>International journal of Ayurveda research</w:t>
      </w:r>
      <w:r w:rsidRPr="00463D42">
        <w:rPr>
          <w:rFonts w:cstheme="minorHAnsi"/>
        </w:rPr>
        <w:t xml:space="preserve">, </w:t>
      </w:r>
      <w:r w:rsidRPr="00463D42">
        <w:rPr>
          <w:rFonts w:cstheme="minorHAnsi"/>
          <w:i/>
          <w:iCs/>
        </w:rPr>
        <w:t>1</w:t>
      </w:r>
      <w:r w:rsidRPr="00463D42">
        <w:rPr>
          <w:rFonts w:cstheme="minorHAnsi"/>
        </w:rPr>
        <w:t xml:space="preserve">(4), 274–278. </w:t>
      </w:r>
      <w:hyperlink r:id="rId16" w:history="1">
        <w:r w:rsidR="009D384F" w:rsidRPr="00463D42">
          <w:rPr>
            <w:rStyle w:val="Hyperlink"/>
            <w:rFonts w:cstheme="minorHAnsi"/>
            <w:color w:val="auto"/>
          </w:rPr>
          <w:t>https://doi.org/10.4103/0974-7788.76794</w:t>
        </w:r>
      </w:hyperlink>
    </w:p>
    <w:p w14:paraId="624CFB04" w14:textId="5F1EE721" w:rsidR="00D31EEB" w:rsidRPr="00CA3F6B" w:rsidRDefault="009D384F" w:rsidP="004127ED">
      <w:pPr>
        <w:pStyle w:val="ListParagraph"/>
        <w:numPr>
          <w:ilvl w:val="0"/>
          <w:numId w:val="7"/>
        </w:numPr>
        <w:spacing w:after="120" w:line="240" w:lineRule="auto"/>
        <w:contextualSpacing w:val="0"/>
        <w:jc w:val="both"/>
        <w:rPr>
          <w:rFonts w:ascii="Times New Roman" w:hAnsi="Times New Roman" w:cs="Times New Roman"/>
        </w:rPr>
      </w:pPr>
      <w:r w:rsidRPr="00463D42">
        <w:rPr>
          <w:rFonts w:eastAsia="Times New Roman" w:cstheme="minorHAnsi"/>
        </w:rPr>
        <w:t xml:space="preserve">Drozda, J., Zeringue, A., Dummitt, B., Yount, B., &amp; Resnic, F. (2020). How real-world evidence can really deliver: a case study of data source development and use. </w:t>
      </w:r>
      <w:r w:rsidRPr="00463D42">
        <w:rPr>
          <w:rFonts w:eastAsia="Times New Roman" w:cstheme="minorHAnsi"/>
          <w:i/>
          <w:iCs/>
        </w:rPr>
        <w:t>BMJ surgery, interventions, &amp; health technologies</w:t>
      </w:r>
      <w:r w:rsidRPr="00463D42">
        <w:rPr>
          <w:rFonts w:eastAsia="Times New Roman" w:cstheme="minorHAnsi"/>
        </w:rPr>
        <w:t xml:space="preserve">, </w:t>
      </w:r>
      <w:r w:rsidRPr="00463D42">
        <w:rPr>
          <w:rFonts w:eastAsia="Times New Roman" w:cstheme="minorHAnsi"/>
          <w:i/>
          <w:iCs/>
        </w:rPr>
        <w:t>2</w:t>
      </w:r>
      <w:r w:rsidRPr="00463D42">
        <w:rPr>
          <w:rFonts w:eastAsia="Times New Roman" w:cstheme="minorHAnsi"/>
        </w:rPr>
        <w:t>(1), e000024. https://doi.org/10.1136/bmjsit-2019-000024</w:t>
      </w:r>
    </w:p>
    <w:sectPr w:rsidR="00D31EEB" w:rsidRPr="00CA3F6B" w:rsidSect="00463D42">
      <w:footerReference w:type="default" r:id="rId17"/>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122F8" w14:textId="77777777" w:rsidR="002E0AE9" w:rsidRDefault="002E0AE9" w:rsidP="00720379">
      <w:pPr>
        <w:spacing w:after="0" w:line="240" w:lineRule="auto"/>
      </w:pPr>
      <w:r>
        <w:separator/>
      </w:r>
    </w:p>
  </w:endnote>
  <w:endnote w:type="continuationSeparator" w:id="0">
    <w:p w14:paraId="1E07631C" w14:textId="77777777" w:rsidR="002E0AE9" w:rsidRDefault="002E0AE9" w:rsidP="00720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7387061"/>
      <w:docPartObj>
        <w:docPartGallery w:val="Page Numbers (Bottom of Page)"/>
        <w:docPartUnique/>
      </w:docPartObj>
    </w:sdtPr>
    <w:sdtEndPr>
      <w:rPr>
        <w:noProof/>
      </w:rPr>
    </w:sdtEndPr>
    <w:sdtContent>
      <w:p w14:paraId="2BD2A923" w14:textId="78FA4D26" w:rsidR="004127ED" w:rsidRDefault="004127ED">
        <w:pPr>
          <w:pStyle w:val="Footer"/>
          <w:jc w:val="right"/>
        </w:pPr>
        <w:r>
          <w:fldChar w:fldCharType="begin"/>
        </w:r>
        <w:r>
          <w:instrText xml:space="preserve"> PAGE   \* MERGEFORMAT </w:instrText>
        </w:r>
        <w:r>
          <w:fldChar w:fldCharType="separate"/>
        </w:r>
        <w:r w:rsidR="00E9028F">
          <w:rPr>
            <w:noProof/>
          </w:rPr>
          <w:t>10</w:t>
        </w:r>
        <w:r>
          <w:rPr>
            <w:noProof/>
          </w:rPr>
          <w:fldChar w:fldCharType="end"/>
        </w:r>
      </w:p>
    </w:sdtContent>
  </w:sdt>
  <w:p w14:paraId="557655D2" w14:textId="77777777" w:rsidR="004127ED" w:rsidRDefault="00412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A44EE" w14:textId="77777777" w:rsidR="002E0AE9" w:rsidRDefault="002E0AE9" w:rsidP="00720379">
      <w:pPr>
        <w:spacing w:after="0" w:line="240" w:lineRule="auto"/>
      </w:pPr>
      <w:r>
        <w:separator/>
      </w:r>
    </w:p>
  </w:footnote>
  <w:footnote w:type="continuationSeparator" w:id="0">
    <w:p w14:paraId="45001B55" w14:textId="77777777" w:rsidR="002E0AE9" w:rsidRDefault="002E0AE9" w:rsidP="007203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6D52"/>
    <w:multiLevelType w:val="hybridMultilevel"/>
    <w:tmpl w:val="78665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552318"/>
    <w:multiLevelType w:val="multilevel"/>
    <w:tmpl w:val="EE84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BC3895"/>
    <w:multiLevelType w:val="hybridMultilevel"/>
    <w:tmpl w:val="F2D435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1D77C49"/>
    <w:multiLevelType w:val="multilevel"/>
    <w:tmpl w:val="A0EA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4D591E"/>
    <w:multiLevelType w:val="hybridMultilevel"/>
    <w:tmpl w:val="89F60252"/>
    <w:lvl w:ilvl="0" w:tplc="27789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51477D9"/>
    <w:multiLevelType w:val="hybridMultilevel"/>
    <w:tmpl w:val="4780708A"/>
    <w:lvl w:ilvl="0" w:tplc="43BA968E">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50027F"/>
    <w:multiLevelType w:val="hybridMultilevel"/>
    <w:tmpl w:val="45728650"/>
    <w:lvl w:ilvl="0" w:tplc="3F38B20E">
      <w:numFmt w:val="bullet"/>
      <w:lvlText w:val="-"/>
      <w:lvlJc w:val="left"/>
      <w:pPr>
        <w:ind w:left="1800" w:hanging="360"/>
      </w:pPr>
      <w:rPr>
        <w:rFonts w:ascii="Calibri" w:eastAsiaTheme="minorHAns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6760F9C"/>
    <w:multiLevelType w:val="hybridMultilevel"/>
    <w:tmpl w:val="51A469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562879"/>
    <w:multiLevelType w:val="hybridMultilevel"/>
    <w:tmpl w:val="1F3A552A"/>
    <w:lvl w:ilvl="0" w:tplc="FDDEC38A">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5894614">
    <w:abstractNumId w:val="8"/>
  </w:num>
  <w:num w:numId="2" w16cid:durableId="1011686124">
    <w:abstractNumId w:val="6"/>
  </w:num>
  <w:num w:numId="3" w16cid:durableId="769550076">
    <w:abstractNumId w:val="7"/>
  </w:num>
  <w:num w:numId="4" w16cid:durableId="741485141">
    <w:abstractNumId w:val="1"/>
  </w:num>
  <w:num w:numId="5" w16cid:durableId="2038306434">
    <w:abstractNumId w:val="3"/>
  </w:num>
  <w:num w:numId="6" w16cid:durableId="21102684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086731">
    <w:abstractNumId w:val="5"/>
  </w:num>
  <w:num w:numId="8" w16cid:durableId="1594243223">
    <w:abstractNumId w:val="2"/>
  </w:num>
  <w:num w:numId="9" w16cid:durableId="1360352747">
    <w:abstractNumId w:val="0"/>
  </w:num>
  <w:num w:numId="10" w16cid:durableId="15793640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702"/>
    <w:rsid w:val="00004379"/>
    <w:rsid w:val="0000766E"/>
    <w:rsid w:val="00007F01"/>
    <w:rsid w:val="00012813"/>
    <w:rsid w:val="000212BF"/>
    <w:rsid w:val="000244D9"/>
    <w:rsid w:val="0002482A"/>
    <w:rsid w:val="00035AE2"/>
    <w:rsid w:val="00042EED"/>
    <w:rsid w:val="00044416"/>
    <w:rsid w:val="000559DF"/>
    <w:rsid w:val="000570A9"/>
    <w:rsid w:val="00062345"/>
    <w:rsid w:val="00066730"/>
    <w:rsid w:val="000672AF"/>
    <w:rsid w:val="0007094D"/>
    <w:rsid w:val="000717B5"/>
    <w:rsid w:val="000841AE"/>
    <w:rsid w:val="00086B24"/>
    <w:rsid w:val="000918D2"/>
    <w:rsid w:val="00095DAE"/>
    <w:rsid w:val="000B4226"/>
    <w:rsid w:val="000B6E47"/>
    <w:rsid w:val="000C04BA"/>
    <w:rsid w:val="000C2375"/>
    <w:rsid w:val="000C3499"/>
    <w:rsid w:val="000C7BF7"/>
    <w:rsid w:val="000E155C"/>
    <w:rsid w:val="000E375D"/>
    <w:rsid w:val="000E5F85"/>
    <w:rsid w:val="000F0E2B"/>
    <w:rsid w:val="000F36A3"/>
    <w:rsid w:val="000F5E4C"/>
    <w:rsid w:val="000F6FD4"/>
    <w:rsid w:val="001035C5"/>
    <w:rsid w:val="00111439"/>
    <w:rsid w:val="00111900"/>
    <w:rsid w:val="0012012B"/>
    <w:rsid w:val="0012154F"/>
    <w:rsid w:val="001225F0"/>
    <w:rsid w:val="00123CCE"/>
    <w:rsid w:val="00126410"/>
    <w:rsid w:val="00137A70"/>
    <w:rsid w:val="00144F2B"/>
    <w:rsid w:val="00156C65"/>
    <w:rsid w:val="001763CE"/>
    <w:rsid w:val="00176F7A"/>
    <w:rsid w:val="00186E07"/>
    <w:rsid w:val="001970D8"/>
    <w:rsid w:val="001A08DC"/>
    <w:rsid w:val="001A6801"/>
    <w:rsid w:val="001B38F4"/>
    <w:rsid w:val="001B7632"/>
    <w:rsid w:val="001C2F9C"/>
    <w:rsid w:val="001C7E23"/>
    <w:rsid w:val="001D302C"/>
    <w:rsid w:val="001D36EF"/>
    <w:rsid w:val="001E23CF"/>
    <w:rsid w:val="001E3382"/>
    <w:rsid w:val="001E3C87"/>
    <w:rsid w:val="001E5622"/>
    <w:rsid w:val="001F08E0"/>
    <w:rsid w:val="001F115D"/>
    <w:rsid w:val="001F392E"/>
    <w:rsid w:val="001F71FB"/>
    <w:rsid w:val="0020029C"/>
    <w:rsid w:val="00200C0C"/>
    <w:rsid w:val="0020164E"/>
    <w:rsid w:val="002066A9"/>
    <w:rsid w:val="00207498"/>
    <w:rsid w:val="002101C5"/>
    <w:rsid w:val="0022005B"/>
    <w:rsid w:val="00222489"/>
    <w:rsid w:val="00230D77"/>
    <w:rsid w:val="0023280C"/>
    <w:rsid w:val="00233BA0"/>
    <w:rsid w:val="00236245"/>
    <w:rsid w:val="00244E69"/>
    <w:rsid w:val="00245442"/>
    <w:rsid w:val="00245FE1"/>
    <w:rsid w:val="00252576"/>
    <w:rsid w:val="00254B88"/>
    <w:rsid w:val="00260668"/>
    <w:rsid w:val="00266F6C"/>
    <w:rsid w:val="0027514F"/>
    <w:rsid w:val="0028146B"/>
    <w:rsid w:val="00294012"/>
    <w:rsid w:val="002940D0"/>
    <w:rsid w:val="002A1DBF"/>
    <w:rsid w:val="002A4C1C"/>
    <w:rsid w:val="002A520E"/>
    <w:rsid w:val="002A7698"/>
    <w:rsid w:val="002B0795"/>
    <w:rsid w:val="002B2505"/>
    <w:rsid w:val="002B4968"/>
    <w:rsid w:val="002B76A3"/>
    <w:rsid w:val="002C1B83"/>
    <w:rsid w:val="002C595E"/>
    <w:rsid w:val="002D012C"/>
    <w:rsid w:val="002D6907"/>
    <w:rsid w:val="002E0AE9"/>
    <w:rsid w:val="002E30B3"/>
    <w:rsid w:val="002F5A2B"/>
    <w:rsid w:val="00305AA6"/>
    <w:rsid w:val="00307627"/>
    <w:rsid w:val="00307885"/>
    <w:rsid w:val="00307AF5"/>
    <w:rsid w:val="003154E6"/>
    <w:rsid w:val="0031790A"/>
    <w:rsid w:val="00327EA4"/>
    <w:rsid w:val="00330696"/>
    <w:rsid w:val="00330B9B"/>
    <w:rsid w:val="003312E0"/>
    <w:rsid w:val="00332C17"/>
    <w:rsid w:val="00333439"/>
    <w:rsid w:val="00341061"/>
    <w:rsid w:val="00347B30"/>
    <w:rsid w:val="00350187"/>
    <w:rsid w:val="003535E0"/>
    <w:rsid w:val="0035515A"/>
    <w:rsid w:val="00372D3F"/>
    <w:rsid w:val="00375791"/>
    <w:rsid w:val="00384DCA"/>
    <w:rsid w:val="00397131"/>
    <w:rsid w:val="00397E2C"/>
    <w:rsid w:val="003A44F1"/>
    <w:rsid w:val="003A47A7"/>
    <w:rsid w:val="003A490E"/>
    <w:rsid w:val="003B0D44"/>
    <w:rsid w:val="003B3514"/>
    <w:rsid w:val="003C0BA2"/>
    <w:rsid w:val="003C2697"/>
    <w:rsid w:val="003C5A26"/>
    <w:rsid w:val="003C716F"/>
    <w:rsid w:val="003D0105"/>
    <w:rsid w:val="003E0639"/>
    <w:rsid w:val="003E2EB2"/>
    <w:rsid w:val="003E4026"/>
    <w:rsid w:val="003E49A9"/>
    <w:rsid w:val="003E6C31"/>
    <w:rsid w:val="003F1C9F"/>
    <w:rsid w:val="003F6557"/>
    <w:rsid w:val="003F6D80"/>
    <w:rsid w:val="004003B3"/>
    <w:rsid w:val="00400C6E"/>
    <w:rsid w:val="00411702"/>
    <w:rsid w:val="004127ED"/>
    <w:rsid w:val="00413716"/>
    <w:rsid w:val="004220E0"/>
    <w:rsid w:val="00423D64"/>
    <w:rsid w:val="00425558"/>
    <w:rsid w:val="0043696F"/>
    <w:rsid w:val="004409B4"/>
    <w:rsid w:val="00445555"/>
    <w:rsid w:val="00451649"/>
    <w:rsid w:val="004565CE"/>
    <w:rsid w:val="00456CB4"/>
    <w:rsid w:val="00457267"/>
    <w:rsid w:val="00463D42"/>
    <w:rsid w:val="00480CD0"/>
    <w:rsid w:val="00496AA6"/>
    <w:rsid w:val="004A38C4"/>
    <w:rsid w:val="004B2563"/>
    <w:rsid w:val="004B2BD6"/>
    <w:rsid w:val="004B62FF"/>
    <w:rsid w:val="004C0AFB"/>
    <w:rsid w:val="004C6C92"/>
    <w:rsid w:val="004D33FE"/>
    <w:rsid w:val="004D368C"/>
    <w:rsid w:val="004D3735"/>
    <w:rsid w:val="004D7D67"/>
    <w:rsid w:val="004E196F"/>
    <w:rsid w:val="004E360D"/>
    <w:rsid w:val="004E3878"/>
    <w:rsid w:val="00501C1D"/>
    <w:rsid w:val="00511F91"/>
    <w:rsid w:val="005139E8"/>
    <w:rsid w:val="00514EEF"/>
    <w:rsid w:val="00515725"/>
    <w:rsid w:val="00521184"/>
    <w:rsid w:val="00522EB3"/>
    <w:rsid w:val="005249B9"/>
    <w:rsid w:val="00526102"/>
    <w:rsid w:val="00526340"/>
    <w:rsid w:val="00531996"/>
    <w:rsid w:val="00541173"/>
    <w:rsid w:val="00551091"/>
    <w:rsid w:val="00552A2A"/>
    <w:rsid w:val="00562047"/>
    <w:rsid w:val="00564670"/>
    <w:rsid w:val="00564884"/>
    <w:rsid w:val="005871D0"/>
    <w:rsid w:val="005912E0"/>
    <w:rsid w:val="00591C43"/>
    <w:rsid w:val="00594F2C"/>
    <w:rsid w:val="00594F2D"/>
    <w:rsid w:val="005A04BB"/>
    <w:rsid w:val="005B29C3"/>
    <w:rsid w:val="005B30F9"/>
    <w:rsid w:val="005D74D4"/>
    <w:rsid w:val="005E00DE"/>
    <w:rsid w:val="005E4C1C"/>
    <w:rsid w:val="005E7D74"/>
    <w:rsid w:val="005F5EF6"/>
    <w:rsid w:val="00605704"/>
    <w:rsid w:val="00605A1A"/>
    <w:rsid w:val="00605A83"/>
    <w:rsid w:val="006130C4"/>
    <w:rsid w:val="00616D3D"/>
    <w:rsid w:val="00621EC1"/>
    <w:rsid w:val="00621F63"/>
    <w:rsid w:val="00627175"/>
    <w:rsid w:val="0063094E"/>
    <w:rsid w:val="00634BED"/>
    <w:rsid w:val="0063608F"/>
    <w:rsid w:val="00650F1E"/>
    <w:rsid w:val="006541A9"/>
    <w:rsid w:val="0065570A"/>
    <w:rsid w:val="00655994"/>
    <w:rsid w:val="00656535"/>
    <w:rsid w:val="0066052D"/>
    <w:rsid w:val="00664252"/>
    <w:rsid w:val="00664877"/>
    <w:rsid w:val="0067638D"/>
    <w:rsid w:val="0067791C"/>
    <w:rsid w:val="00682940"/>
    <w:rsid w:val="00683A69"/>
    <w:rsid w:val="00684552"/>
    <w:rsid w:val="00693250"/>
    <w:rsid w:val="006A1159"/>
    <w:rsid w:val="006A337C"/>
    <w:rsid w:val="006A518F"/>
    <w:rsid w:val="006C0954"/>
    <w:rsid w:val="006D1D93"/>
    <w:rsid w:val="006D37CF"/>
    <w:rsid w:val="006E3441"/>
    <w:rsid w:val="006E4298"/>
    <w:rsid w:val="006E7AE1"/>
    <w:rsid w:val="006F2544"/>
    <w:rsid w:val="006F7416"/>
    <w:rsid w:val="00707E52"/>
    <w:rsid w:val="007141A0"/>
    <w:rsid w:val="00720379"/>
    <w:rsid w:val="00722C5B"/>
    <w:rsid w:val="0072586A"/>
    <w:rsid w:val="007464D2"/>
    <w:rsid w:val="0074790D"/>
    <w:rsid w:val="007529D3"/>
    <w:rsid w:val="00766E5C"/>
    <w:rsid w:val="00771455"/>
    <w:rsid w:val="00784BB9"/>
    <w:rsid w:val="00793A18"/>
    <w:rsid w:val="00794E47"/>
    <w:rsid w:val="007974BF"/>
    <w:rsid w:val="00797F3A"/>
    <w:rsid w:val="007A0874"/>
    <w:rsid w:val="007A3F6B"/>
    <w:rsid w:val="007A4F69"/>
    <w:rsid w:val="007A5641"/>
    <w:rsid w:val="007A7E8D"/>
    <w:rsid w:val="007B1905"/>
    <w:rsid w:val="007B52CF"/>
    <w:rsid w:val="007B5D2C"/>
    <w:rsid w:val="007C3098"/>
    <w:rsid w:val="007C5E42"/>
    <w:rsid w:val="007D57C8"/>
    <w:rsid w:val="007D57E6"/>
    <w:rsid w:val="007E7F93"/>
    <w:rsid w:val="007F1A9E"/>
    <w:rsid w:val="007F4BC2"/>
    <w:rsid w:val="007F4F04"/>
    <w:rsid w:val="008021CB"/>
    <w:rsid w:val="00802DC4"/>
    <w:rsid w:val="008046B2"/>
    <w:rsid w:val="00805917"/>
    <w:rsid w:val="00817C16"/>
    <w:rsid w:val="00823D5D"/>
    <w:rsid w:val="008245D4"/>
    <w:rsid w:val="0083156B"/>
    <w:rsid w:val="0083504E"/>
    <w:rsid w:val="0083540C"/>
    <w:rsid w:val="00842BB4"/>
    <w:rsid w:val="00845030"/>
    <w:rsid w:val="008462AE"/>
    <w:rsid w:val="0086798F"/>
    <w:rsid w:val="00871848"/>
    <w:rsid w:val="00875E6E"/>
    <w:rsid w:val="00880196"/>
    <w:rsid w:val="008815FB"/>
    <w:rsid w:val="0088336E"/>
    <w:rsid w:val="00886373"/>
    <w:rsid w:val="00886D82"/>
    <w:rsid w:val="008913FA"/>
    <w:rsid w:val="00895D9A"/>
    <w:rsid w:val="00896A5E"/>
    <w:rsid w:val="00896AA6"/>
    <w:rsid w:val="008A71D5"/>
    <w:rsid w:val="008B2154"/>
    <w:rsid w:val="008B49E3"/>
    <w:rsid w:val="008B7A87"/>
    <w:rsid w:val="008D4C6D"/>
    <w:rsid w:val="008E1D90"/>
    <w:rsid w:val="008E4564"/>
    <w:rsid w:val="008E78A0"/>
    <w:rsid w:val="008F5001"/>
    <w:rsid w:val="00917976"/>
    <w:rsid w:val="00917F15"/>
    <w:rsid w:val="00922876"/>
    <w:rsid w:val="009268FF"/>
    <w:rsid w:val="009270D9"/>
    <w:rsid w:val="00930EE6"/>
    <w:rsid w:val="009318E2"/>
    <w:rsid w:val="00951EE3"/>
    <w:rsid w:val="00953394"/>
    <w:rsid w:val="00953805"/>
    <w:rsid w:val="009605FC"/>
    <w:rsid w:val="00962163"/>
    <w:rsid w:val="0096494E"/>
    <w:rsid w:val="00971A2B"/>
    <w:rsid w:val="009749C5"/>
    <w:rsid w:val="00977640"/>
    <w:rsid w:val="00982819"/>
    <w:rsid w:val="00990A42"/>
    <w:rsid w:val="009912EA"/>
    <w:rsid w:val="009913EB"/>
    <w:rsid w:val="00991585"/>
    <w:rsid w:val="00995DF5"/>
    <w:rsid w:val="00995F73"/>
    <w:rsid w:val="009965FE"/>
    <w:rsid w:val="00997ACF"/>
    <w:rsid w:val="009A1898"/>
    <w:rsid w:val="009A3703"/>
    <w:rsid w:val="009A65BF"/>
    <w:rsid w:val="009B3307"/>
    <w:rsid w:val="009B4085"/>
    <w:rsid w:val="009B53E7"/>
    <w:rsid w:val="009B7C0E"/>
    <w:rsid w:val="009B7D2E"/>
    <w:rsid w:val="009B7E9F"/>
    <w:rsid w:val="009D10FE"/>
    <w:rsid w:val="009D384F"/>
    <w:rsid w:val="009E7AFF"/>
    <w:rsid w:val="009F4495"/>
    <w:rsid w:val="009F75CF"/>
    <w:rsid w:val="00A01329"/>
    <w:rsid w:val="00A02C15"/>
    <w:rsid w:val="00A0479A"/>
    <w:rsid w:val="00A05C0F"/>
    <w:rsid w:val="00A07C9B"/>
    <w:rsid w:val="00A10BCC"/>
    <w:rsid w:val="00A13CE5"/>
    <w:rsid w:val="00A166F9"/>
    <w:rsid w:val="00A203E0"/>
    <w:rsid w:val="00A24307"/>
    <w:rsid w:val="00A303C4"/>
    <w:rsid w:val="00A32577"/>
    <w:rsid w:val="00A329AE"/>
    <w:rsid w:val="00A333EC"/>
    <w:rsid w:val="00A33B00"/>
    <w:rsid w:val="00A36870"/>
    <w:rsid w:val="00A44C77"/>
    <w:rsid w:val="00A50B7D"/>
    <w:rsid w:val="00A53985"/>
    <w:rsid w:val="00A56C4A"/>
    <w:rsid w:val="00A600D4"/>
    <w:rsid w:val="00A60EE9"/>
    <w:rsid w:val="00A653FC"/>
    <w:rsid w:val="00A66646"/>
    <w:rsid w:val="00A676FC"/>
    <w:rsid w:val="00A71A8E"/>
    <w:rsid w:val="00A8427B"/>
    <w:rsid w:val="00A84D35"/>
    <w:rsid w:val="00A87D0B"/>
    <w:rsid w:val="00A91DFE"/>
    <w:rsid w:val="00A9246D"/>
    <w:rsid w:val="00AA1398"/>
    <w:rsid w:val="00AA55B1"/>
    <w:rsid w:val="00AB5A35"/>
    <w:rsid w:val="00AB6554"/>
    <w:rsid w:val="00AC1D95"/>
    <w:rsid w:val="00AC2F61"/>
    <w:rsid w:val="00AC4951"/>
    <w:rsid w:val="00AC65E7"/>
    <w:rsid w:val="00AD11E0"/>
    <w:rsid w:val="00AD35A0"/>
    <w:rsid w:val="00AD3C22"/>
    <w:rsid w:val="00AD4EF7"/>
    <w:rsid w:val="00AD5E91"/>
    <w:rsid w:val="00AE1353"/>
    <w:rsid w:val="00AF162C"/>
    <w:rsid w:val="00B006C2"/>
    <w:rsid w:val="00B03C4F"/>
    <w:rsid w:val="00B03C9A"/>
    <w:rsid w:val="00B13A28"/>
    <w:rsid w:val="00B14AF0"/>
    <w:rsid w:val="00B227C3"/>
    <w:rsid w:val="00B22ADC"/>
    <w:rsid w:val="00B2351B"/>
    <w:rsid w:val="00B2652D"/>
    <w:rsid w:val="00B307BE"/>
    <w:rsid w:val="00B335AB"/>
    <w:rsid w:val="00B42BE2"/>
    <w:rsid w:val="00B57D0C"/>
    <w:rsid w:val="00B60760"/>
    <w:rsid w:val="00B64652"/>
    <w:rsid w:val="00B850EC"/>
    <w:rsid w:val="00B87613"/>
    <w:rsid w:val="00B9625B"/>
    <w:rsid w:val="00BA048D"/>
    <w:rsid w:val="00BB2999"/>
    <w:rsid w:val="00BB3739"/>
    <w:rsid w:val="00BD345E"/>
    <w:rsid w:val="00BE1D6E"/>
    <w:rsid w:val="00BE229D"/>
    <w:rsid w:val="00BE2FE7"/>
    <w:rsid w:val="00BE5C70"/>
    <w:rsid w:val="00BE66B5"/>
    <w:rsid w:val="00C04601"/>
    <w:rsid w:val="00C105FF"/>
    <w:rsid w:val="00C11508"/>
    <w:rsid w:val="00C1343E"/>
    <w:rsid w:val="00C13AC3"/>
    <w:rsid w:val="00C14802"/>
    <w:rsid w:val="00C177FF"/>
    <w:rsid w:val="00C20C5D"/>
    <w:rsid w:val="00C23A30"/>
    <w:rsid w:val="00C23E5C"/>
    <w:rsid w:val="00C34485"/>
    <w:rsid w:val="00C352C9"/>
    <w:rsid w:val="00C36E5E"/>
    <w:rsid w:val="00C42D78"/>
    <w:rsid w:val="00C57FDD"/>
    <w:rsid w:val="00C60060"/>
    <w:rsid w:val="00C607DF"/>
    <w:rsid w:val="00C6191D"/>
    <w:rsid w:val="00C6239C"/>
    <w:rsid w:val="00C650AD"/>
    <w:rsid w:val="00C80829"/>
    <w:rsid w:val="00CA2940"/>
    <w:rsid w:val="00CA3F6B"/>
    <w:rsid w:val="00CA70A2"/>
    <w:rsid w:val="00CB12F5"/>
    <w:rsid w:val="00CB24AE"/>
    <w:rsid w:val="00CB4AEC"/>
    <w:rsid w:val="00CB623C"/>
    <w:rsid w:val="00CB641A"/>
    <w:rsid w:val="00CB77BD"/>
    <w:rsid w:val="00CC377A"/>
    <w:rsid w:val="00CC666C"/>
    <w:rsid w:val="00CD4051"/>
    <w:rsid w:val="00CD4E0F"/>
    <w:rsid w:val="00CE6706"/>
    <w:rsid w:val="00CF728C"/>
    <w:rsid w:val="00D0169E"/>
    <w:rsid w:val="00D1154C"/>
    <w:rsid w:val="00D11C7F"/>
    <w:rsid w:val="00D157CC"/>
    <w:rsid w:val="00D20730"/>
    <w:rsid w:val="00D23E5B"/>
    <w:rsid w:val="00D31EEB"/>
    <w:rsid w:val="00D34759"/>
    <w:rsid w:val="00D40148"/>
    <w:rsid w:val="00D41CC8"/>
    <w:rsid w:val="00D42637"/>
    <w:rsid w:val="00D47CBC"/>
    <w:rsid w:val="00D5531F"/>
    <w:rsid w:val="00D63C34"/>
    <w:rsid w:val="00D63CBC"/>
    <w:rsid w:val="00D63F11"/>
    <w:rsid w:val="00D66E6E"/>
    <w:rsid w:val="00D673D8"/>
    <w:rsid w:val="00D7168B"/>
    <w:rsid w:val="00D72F0D"/>
    <w:rsid w:val="00D7601C"/>
    <w:rsid w:val="00D820CF"/>
    <w:rsid w:val="00D8518C"/>
    <w:rsid w:val="00D9030E"/>
    <w:rsid w:val="00D924D5"/>
    <w:rsid w:val="00D97E40"/>
    <w:rsid w:val="00DA193E"/>
    <w:rsid w:val="00DA274A"/>
    <w:rsid w:val="00DA3107"/>
    <w:rsid w:val="00DA3D4C"/>
    <w:rsid w:val="00DA46FE"/>
    <w:rsid w:val="00DA4B13"/>
    <w:rsid w:val="00DC096A"/>
    <w:rsid w:val="00DC568B"/>
    <w:rsid w:val="00DC6337"/>
    <w:rsid w:val="00DC6959"/>
    <w:rsid w:val="00DD297E"/>
    <w:rsid w:val="00DD2B6D"/>
    <w:rsid w:val="00DD2FCD"/>
    <w:rsid w:val="00DD51D9"/>
    <w:rsid w:val="00DE4533"/>
    <w:rsid w:val="00E01810"/>
    <w:rsid w:val="00E03D0C"/>
    <w:rsid w:val="00E071F2"/>
    <w:rsid w:val="00E103EC"/>
    <w:rsid w:val="00E1091C"/>
    <w:rsid w:val="00E23F4C"/>
    <w:rsid w:val="00E256F9"/>
    <w:rsid w:val="00E25FAD"/>
    <w:rsid w:val="00E312ED"/>
    <w:rsid w:val="00E366FB"/>
    <w:rsid w:val="00E37A4B"/>
    <w:rsid w:val="00E4126F"/>
    <w:rsid w:val="00E455CC"/>
    <w:rsid w:val="00E45983"/>
    <w:rsid w:val="00E50F68"/>
    <w:rsid w:val="00E54A89"/>
    <w:rsid w:val="00E565B1"/>
    <w:rsid w:val="00E5662F"/>
    <w:rsid w:val="00E75C90"/>
    <w:rsid w:val="00E83585"/>
    <w:rsid w:val="00E84706"/>
    <w:rsid w:val="00E863CE"/>
    <w:rsid w:val="00E9028F"/>
    <w:rsid w:val="00E921DB"/>
    <w:rsid w:val="00E92716"/>
    <w:rsid w:val="00E92856"/>
    <w:rsid w:val="00E94A50"/>
    <w:rsid w:val="00EA0C1F"/>
    <w:rsid w:val="00EA2B31"/>
    <w:rsid w:val="00EA5107"/>
    <w:rsid w:val="00EA648D"/>
    <w:rsid w:val="00EA707A"/>
    <w:rsid w:val="00EA7FAE"/>
    <w:rsid w:val="00EC0DF0"/>
    <w:rsid w:val="00EC1A62"/>
    <w:rsid w:val="00EC355A"/>
    <w:rsid w:val="00EC417D"/>
    <w:rsid w:val="00EC736C"/>
    <w:rsid w:val="00EC7660"/>
    <w:rsid w:val="00ED0AA2"/>
    <w:rsid w:val="00EE06B1"/>
    <w:rsid w:val="00EE38E7"/>
    <w:rsid w:val="00EE4E67"/>
    <w:rsid w:val="00EE5E33"/>
    <w:rsid w:val="00EE67A8"/>
    <w:rsid w:val="00EF089C"/>
    <w:rsid w:val="00EF2AF8"/>
    <w:rsid w:val="00EF399F"/>
    <w:rsid w:val="00F04F80"/>
    <w:rsid w:val="00F12ED2"/>
    <w:rsid w:val="00F13C1F"/>
    <w:rsid w:val="00F23BF4"/>
    <w:rsid w:val="00F27439"/>
    <w:rsid w:val="00F468F6"/>
    <w:rsid w:val="00F47F74"/>
    <w:rsid w:val="00F50462"/>
    <w:rsid w:val="00F57134"/>
    <w:rsid w:val="00F57D35"/>
    <w:rsid w:val="00F64677"/>
    <w:rsid w:val="00F667CC"/>
    <w:rsid w:val="00F80FC8"/>
    <w:rsid w:val="00F82691"/>
    <w:rsid w:val="00F9188C"/>
    <w:rsid w:val="00F931B8"/>
    <w:rsid w:val="00F951AC"/>
    <w:rsid w:val="00FA298C"/>
    <w:rsid w:val="00FA38EF"/>
    <w:rsid w:val="00FB5AD0"/>
    <w:rsid w:val="00FB5C92"/>
    <w:rsid w:val="00FB78DD"/>
    <w:rsid w:val="00FC673A"/>
    <w:rsid w:val="00FD3481"/>
    <w:rsid w:val="00FD70DF"/>
    <w:rsid w:val="00FE7170"/>
    <w:rsid w:val="00FF11FE"/>
    <w:rsid w:val="00FF4021"/>
    <w:rsid w:val="00FF42B4"/>
    <w:rsid w:val="00FF4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4EA3D"/>
  <w15:chartTrackingRefBased/>
  <w15:docId w15:val="{7D725207-328D-4D5E-A147-4153E2931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3C4F"/>
    <w:pPr>
      <w:keepNext/>
      <w:keepLines/>
      <w:spacing w:after="240"/>
      <w:outlineLvl w:val="0"/>
    </w:pPr>
    <w:rPr>
      <w:rFonts w:asciiTheme="majorHAnsi" w:eastAsiaTheme="majorEastAsia" w:hAnsiTheme="majorHAnsi" w:cstheme="majorHAnsi"/>
      <w:b/>
    </w:rPr>
  </w:style>
  <w:style w:type="paragraph" w:styleId="Heading2">
    <w:name w:val="heading 2"/>
    <w:basedOn w:val="Normal"/>
    <w:next w:val="Normal"/>
    <w:link w:val="Heading2Char"/>
    <w:uiPriority w:val="9"/>
    <w:unhideWhenUsed/>
    <w:qFormat/>
    <w:rsid w:val="00B03C4F"/>
    <w:pPr>
      <w:spacing w:after="0" w:line="240" w:lineRule="auto"/>
      <w:outlineLvl w:val="1"/>
    </w:pPr>
    <w:rPr>
      <w:rFonts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basedOn w:val="Normal"/>
    <w:rsid w:val="00A87D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87D0B"/>
    <w:rPr>
      <w:color w:val="0000FF"/>
      <w:u w:val="single"/>
    </w:rPr>
  </w:style>
  <w:style w:type="paragraph" w:styleId="BalloonText">
    <w:name w:val="Balloon Text"/>
    <w:basedOn w:val="Normal"/>
    <w:link w:val="BalloonTextChar"/>
    <w:uiPriority w:val="99"/>
    <w:semiHidden/>
    <w:unhideWhenUsed/>
    <w:rsid w:val="004255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558"/>
    <w:rPr>
      <w:rFonts w:ascii="Segoe UI" w:hAnsi="Segoe UI" w:cs="Segoe UI"/>
      <w:sz w:val="18"/>
      <w:szCs w:val="18"/>
    </w:rPr>
  </w:style>
  <w:style w:type="character" w:styleId="CommentReference">
    <w:name w:val="annotation reference"/>
    <w:basedOn w:val="DefaultParagraphFont"/>
    <w:uiPriority w:val="99"/>
    <w:semiHidden/>
    <w:unhideWhenUsed/>
    <w:rsid w:val="00425558"/>
    <w:rPr>
      <w:sz w:val="16"/>
      <w:szCs w:val="16"/>
    </w:rPr>
  </w:style>
  <w:style w:type="paragraph" w:styleId="CommentText">
    <w:name w:val="annotation text"/>
    <w:basedOn w:val="Normal"/>
    <w:link w:val="CommentTextChar"/>
    <w:uiPriority w:val="99"/>
    <w:semiHidden/>
    <w:unhideWhenUsed/>
    <w:rsid w:val="00425558"/>
    <w:pPr>
      <w:spacing w:line="240" w:lineRule="auto"/>
    </w:pPr>
    <w:rPr>
      <w:sz w:val="20"/>
      <w:szCs w:val="20"/>
    </w:rPr>
  </w:style>
  <w:style w:type="character" w:customStyle="1" w:styleId="CommentTextChar">
    <w:name w:val="Comment Text Char"/>
    <w:basedOn w:val="DefaultParagraphFont"/>
    <w:link w:val="CommentText"/>
    <w:uiPriority w:val="99"/>
    <w:semiHidden/>
    <w:rsid w:val="00425558"/>
    <w:rPr>
      <w:sz w:val="20"/>
      <w:szCs w:val="20"/>
    </w:rPr>
  </w:style>
  <w:style w:type="paragraph" w:styleId="CommentSubject">
    <w:name w:val="annotation subject"/>
    <w:basedOn w:val="CommentText"/>
    <w:next w:val="CommentText"/>
    <w:link w:val="CommentSubjectChar"/>
    <w:uiPriority w:val="99"/>
    <w:semiHidden/>
    <w:unhideWhenUsed/>
    <w:rsid w:val="00425558"/>
    <w:rPr>
      <w:b/>
      <w:bCs/>
    </w:rPr>
  </w:style>
  <w:style w:type="character" w:customStyle="1" w:styleId="CommentSubjectChar">
    <w:name w:val="Comment Subject Char"/>
    <w:basedOn w:val="CommentTextChar"/>
    <w:link w:val="CommentSubject"/>
    <w:uiPriority w:val="99"/>
    <w:semiHidden/>
    <w:rsid w:val="00425558"/>
    <w:rPr>
      <w:b/>
      <w:bCs/>
      <w:sz w:val="20"/>
      <w:szCs w:val="20"/>
    </w:rPr>
  </w:style>
  <w:style w:type="paragraph" w:styleId="ListParagraph">
    <w:name w:val="List Paragraph"/>
    <w:basedOn w:val="Normal"/>
    <w:uiPriority w:val="34"/>
    <w:qFormat/>
    <w:rsid w:val="00350187"/>
    <w:pPr>
      <w:ind w:left="720"/>
      <w:contextualSpacing/>
    </w:pPr>
  </w:style>
  <w:style w:type="paragraph" w:styleId="Header">
    <w:name w:val="header"/>
    <w:basedOn w:val="Normal"/>
    <w:link w:val="HeaderChar"/>
    <w:uiPriority w:val="99"/>
    <w:unhideWhenUsed/>
    <w:rsid w:val="007203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379"/>
  </w:style>
  <w:style w:type="paragraph" w:styleId="Footer">
    <w:name w:val="footer"/>
    <w:basedOn w:val="Normal"/>
    <w:link w:val="FooterChar"/>
    <w:uiPriority w:val="99"/>
    <w:unhideWhenUsed/>
    <w:rsid w:val="007203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379"/>
  </w:style>
  <w:style w:type="character" w:customStyle="1" w:styleId="element-citation">
    <w:name w:val="element-citation"/>
    <w:basedOn w:val="DefaultParagraphFont"/>
    <w:rsid w:val="002A1DBF"/>
  </w:style>
  <w:style w:type="character" w:customStyle="1" w:styleId="ref-journal">
    <w:name w:val="ref-journal"/>
    <w:basedOn w:val="DefaultParagraphFont"/>
    <w:rsid w:val="002A1DBF"/>
  </w:style>
  <w:style w:type="character" w:customStyle="1" w:styleId="ref-vol">
    <w:name w:val="ref-vol"/>
    <w:basedOn w:val="DefaultParagraphFont"/>
    <w:rsid w:val="002A1DBF"/>
  </w:style>
  <w:style w:type="character" w:styleId="Emphasis">
    <w:name w:val="Emphasis"/>
    <w:basedOn w:val="DefaultParagraphFont"/>
    <w:uiPriority w:val="20"/>
    <w:qFormat/>
    <w:rsid w:val="00EE38E7"/>
    <w:rPr>
      <w:i/>
      <w:iCs/>
    </w:rPr>
  </w:style>
  <w:style w:type="character" w:customStyle="1" w:styleId="identifier">
    <w:name w:val="identifier"/>
    <w:basedOn w:val="DefaultParagraphFont"/>
    <w:rsid w:val="004C0AFB"/>
  </w:style>
  <w:style w:type="character" w:customStyle="1" w:styleId="mi">
    <w:name w:val="mi"/>
    <w:basedOn w:val="DefaultParagraphFont"/>
    <w:rsid w:val="00AD11E0"/>
  </w:style>
  <w:style w:type="character" w:customStyle="1" w:styleId="mn">
    <w:name w:val="mn"/>
    <w:basedOn w:val="DefaultParagraphFont"/>
    <w:rsid w:val="00AD11E0"/>
  </w:style>
  <w:style w:type="character" w:customStyle="1" w:styleId="mo">
    <w:name w:val="mo"/>
    <w:basedOn w:val="DefaultParagraphFont"/>
    <w:rsid w:val="00AD11E0"/>
  </w:style>
  <w:style w:type="table" w:styleId="TableGrid">
    <w:name w:val="Table Grid"/>
    <w:basedOn w:val="TableNormal"/>
    <w:uiPriority w:val="39"/>
    <w:rsid w:val="005E0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E4026"/>
    <w:rPr>
      <w:color w:val="954F72" w:themeColor="followedHyperlink"/>
      <w:u w:val="single"/>
    </w:rPr>
  </w:style>
  <w:style w:type="character" w:customStyle="1" w:styleId="referencesnote">
    <w:name w:val="references__note"/>
    <w:basedOn w:val="DefaultParagraphFont"/>
    <w:rsid w:val="003E4026"/>
  </w:style>
  <w:style w:type="character" w:customStyle="1" w:styleId="referencesname">
    <w:name w:val="references__name"/>
    <w:basedOn w:val="DefaultParagraphFont"/>
    <w:rsid w:val="003E4026"/>
  </w:style>
  <w:style w:type="character" w:customStyle="1" w:styleId="referencesyear">
    <w:name w:val="references__year"/>
    <w:basedOn w:val="DefaultParagraphFont"/>
    <w:rsid w:val="003E4026"/>
  </w:style>
  <w:style w:type="character" w:customStyle="1" w:styleId="referencesarticle-title">
    <w:name w:val="references__article-title"/>
    <w:basedOn w:val="DefaultParagraphFont"/>
    <w:rsid w:val="003E4026"/>
  </w:style>
  <w:style w:type="character" w:customStyle="1" w:styleId="referencessource">
    <w:name w:val="references__source"/>
    <w:basedOn w:val="DefaultParagraphFont"/>
    <w:rsid w:val="003E4026"/>
  </w:style>
  <w:style w:type="character" w:customStyle="1" w:styleId="referencesvolume">
    <w:name w:val="references__volume"/>
    <w:basedOn w:val="DefaultParagraphFont"/>
    <w:rsid w:val="003E4026"/>
  </w:style>
  <w:style w:type="character" w:customStyle="1" w:styleId="referencesissue">
    <w:name w:val="references__issue"/>
    <w:basedOn w:val="DefaultParagraphFont"/>
    <w:rsid w:val="003E4026"/>
  </w:style>
  <w:style w:type="character" w:customStyle="1" w:styleId="referencesfpage">
    <w:name w:val="references__fpage"/>
    <w:basedOn w:val="DefaultParagraphFont"/>
    <w:rsid w:val="003E4026"/>
  </w:style>
  <w:style w:type="character" w:customStyle="1" w:styleId="referenceslpage">
    <w:name w:val="references__lpage"/>
    <w:basedOn w:val="DefaultParagraphFont"/>
    <w:rsid w:val="003E4026"/>
  </w:style>
  <w:style w:type="paragraph" w:styleId="Revision">
    <w:name w:val="Revision"/>
    <w:hidden/>
    <w:uiPriority w:val="99"/>
    <w:semiHidden/>
    <w:rsid w:val="00233BA0"/>
    <w:pPr>
      <w:spacing w:after="0" w:line="240" w:lineRule="auto"/>
    </w:pPr>
  </w:style>
  <w:style w:type="character" w:customStyle="1" w:styleId="Heading1Char">
    <w:name w:val="Heading 1 Char"/>
    <w:basedOn w:val="DefaultParagraphFont"/>
    <w:link w:val="Heading1"/>
    <w:uiPriority w:val="9"/>
    <w:rsid w:val="00B03C4F"/>
    <w:rPr>
      <w:rFonts w:asciiTheme="majorHAnsi" w:eastAsiaTheme="majorEastAsia" w:hAnsiTheme="majorHAnsi" w:cstheme="majorHAnsi"/>
      <w:b/>
    </w:rPr>
  </w:style>
  <w:style w:type="character" w:customStyle="1" w:styleId="Heading2Char">
    <w:name w:val="Heading 2 Char"/>
    <w:basedOn w:val="DefaultParagraphFont"/>
    <w:link w:val="Heading2"/>
    <w:uiPriority w:val="9"/>
    <w:rsid w:val="00B03C4F"/>
    <w:rPr>
      <w:rFonts w:cstheme="minorHAnsi"/>
      <w:b/>
    </w:rPr>
  </w:style>
  <w:style w:type="paragraph" w:styleId="TOCHeading">
    <w:name w:val="TOC Heading"/>
    <w:basedOn w:val="Heading1"/>
    <w:next w:val="Normal"/>
    <w:uiPriority w:val="39"/>
    <w:unhideWhenUsed/>
    <w:qFormat/>
    <w:rsid w:val="00B03C4F"/>
    <w:pPr>
      <w:spacing w:before="240" w:after="0"/>
      <w:outlineLvl w:val="9"/>
    </w:pPr>
    <w:rPr>
      <w:rFonts w:cstheme="majorBidi"/>
      <w:b w:val="0"/>
      <w:color w:val="2E74B5" w:themeColor="accent1" w:themeShade="BF"/>
      <w:sz w:val="32"/>
      <w:szCs w:val="32"/>
    </w:rPr>
  </w:style>
  <w:style w:type="paragraph" w:styleId="TOC1">
    <w:name w:val="toc 1"/>
    <w:basedOn w:val="Normal"/>
    <w:next w:val="Normal"/>
    <w:autoRedefine/>
    <w:uiPriority w:val="39"/>
    <w:unhideWhenUsed/>
    <w:rsid w:val="00B03C4F"/>
    <w:pPr>
      <w:spacing w:after="100"/>
    </w:pPr>
  </w:style>
  <w:style w:type="paragraph" w:styleId="TOC2">
    <w:name w:val="toc 2"/>
    <w:basedOn w:val="Normal"/>
    <w:next w:val="Normal"/>
    <w:autoRedefine/>
    <w:uiPriority w:val="39"/>
    <w:unhideWhenUsed/>
    <w:rsid w:val="00B03C4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9714">
      <w:bodyDiv w:val="1"/>
      <w:marLeft w:val="0"/>
      <w:marRight w:val="0"/>
      <w:marTop w:val="0"/>
      <w:marBottom w:val="0"/>
      <w:divBdr>
        <w:top w:val="none" w:sz="0" w:space="0" w:color="auto"/>
        <w:left w:val="none" w:sz="0" w:space="0" w:color="auto"/>
        <w:bottom w:val="none" w:sz="0" w:space="0" w:color="auto"/>
        <w:right w:val="none" w:sz="0" w:space="0" w:color="auto"/>
      </w:divBdr>
    </w:div>
    <w:div w:id="216476427">
      <w:bodyDiv w:val="1"/>
      <w:marLeft w:val="0"/>
      <w:marRight w:val="0"/>
      <w:marTop w:val="0"/>
      <w:marBottom w:val="0"/>
      <w:divBdr>
        <w:top w:val="none" w:sz="0" w:space="0" w:color="auto"/>
        <w:left w:val="none" w:sz="0" w:space="0" w:color="auto"/>
        <w:bottom w:val="none" w:sz="0" w:space="0" w:color="auto"/>
        <w:right w:val="none" w:sz="0" w:space="0" w:color="auto"/>
      </w:divBdr>
    </w:div>
    <w:div w:id="369887220">
      <w:bodyDiv w:val="1"/>
      <w:marLeft w:val="0"/>
      <w:marRight w:val="0"/>
      <w:marTop w:val="0"/>
      <w:marBottom w:val="0"/>
      <w:divBdr>
        <w:top w:val="none" w:sz="0" w:space="0" w:color="auto"/>
        <w:left w:val="none" w:sz="0" w:space="0" w:color="auto"/>
        <w:bottom w:val="none" w:sz="0" w:space="0" w:color="auto"/>
        <w:right w:val="none" w:sz="0" w:space="0" w:color="auto"/>
      </w:divBdr>
      <w:divsChild>
        <w:div w:id="264659185">
          <w:marLeft w:val="0"/>
          <w:marRight w:val="0"/>
          <w:marTop w:val="0"/>
          <w:marBottom w:val="0"/>
          <w:divBdr>
            <w:top w:val="none" w:sz="0" w:space="0" w:color="auto"/>
            <w:left w:val="none" w:sz="0" w:space="0" w:color="auto"/>
            <w:bottom w:val="none" w:sz="0" w:space="0" w:color="auto"/>
            <w:right w:val="none" w:sz="0" w:space="0" w:color="auto"/>
          </w:divBdr>
        </w:div>
      </w:divsChild>
    </w:div>
    <w:div w:id="828524298">
      <w:bodyDiv w:val="1"/>
      <w:marLeft w:val="0"/>
      <w:marRight w:val="0"/>
      <w:marTop w:val="0"/>
      <w:marBottom w:val="0"/>
      <w:divBdr>
        <w:top w:val="none" w:sz="0" w:space="0" w:color="auto"/>
        <w:left w:val="none" w:sz="0" w:space="0" w:color="auto"/>
        <w:bottom w:val="none" w:sz="0" w:space="0" w:color="auto"/>
        <w:right w:val="none" w:sz="0" w:space="0" w:color="auto"/>
      </w:divBdr>
      <w:divsChild>
        <w:div w:id="2080975679">
          <w:marLeft w:val="0"/>
          <w:marRight w:val="0"/>
          <w:marTop w:val="0"/>
          <w:marBottom w:val="0"/>
          <w:divBdr>
            <w:top w:val="none" w:sz="0" w:space="0" w:color="auto"/>
            <w:left w:val="none" w:sz="0" w:space="0" w:color="auto"/>
            <w:bottom w:val="none" w:sz="0" w:space="0" w:color="auto"/>
            <w:right w:val="none" w:sz="0" w:space="0" w:color="auto"/>
          </w:divBdr>
        </w:div>
      </w:divsChild>
    </w:div>
    <w:div w:id="1298145338">
      <w:bodyDiv w:val="1"/>
      <w:marLeft w:val="0"/>
      <w:marRight w:val="0"/>
      <w:marTop w:val="0"/>
      <w:marBottom w:val="0"/>
      <w:divBdr>
        <w:top w:val="none" w:sz="0" w:space="0" w:color="auto"/>
        <w:left w:val="none" w:sz="0" w:space="0" w:color="auto"/>
        <w:bottom w:val="none" w:sz="0" w:space="0" w:color="auto"/>
        <w:right w:val="none" w:sz="0" w:space="0" w:color="auto"/>
      </w:divBdr>
    </w:div>
    <w:div w:id="1458134575">
      <w:bodyDiv w:val="1"/>
      <w:marLeft w:val="0"/>
      <w:marRight w:val="0"/>
      <w:marTop w:val="0"/>
      <w:marBottom w:val="0"/>
      <w:divBdr>
        <w:top w:val="none" w:sz="0" w:space="0" w:color="auto"/>
        <w:left w:val="none" w:sz="0" w:space="0" w:color="auto"/>
        <w:bottom w:val="none" w:sz="0" w:space="0" w:color="auto"/>
        <w:right w:val="none" w:sz="0" w:space="0" w:color="auto"/>
      </w:divBdr>
      <w:divsChild>
        <w:div w:id="527717854">
          <w:marLeft w:val="0"/>
          <w:marRight w:val="0"/>
          <w:marTop w:val="0"/>
          <w:marBottom w:val="0"/>
          <w:divBdr>
            <w:top w:val="none" w:sz="0" w:space="0" w:color="auto"/>
            <w:left w:val="none" w:sz="0" w:space="0" w:color="auto"/>
            <w:bottom w:val="none" w:sz="0" w:space="0" w:color="auto"/>
            <w:right w:val="none" w:sz="0" w:space="0" w:color="auto"/>
          </w:divBdr>
        </w:div>
      </w:divsChild>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72155580">
      <w:bodyDiv w:val="1"/>
      <w:marLeft w:val="0"/>
      <w:marRight w:val="0"/>
      <w:marTop w:val="0"/>
      <w:marBottom w:val="0"/>
      <w:divBdr>
        <w:top w:val="none" w:sz="0" w:space="0" w:color="auto"/>
        <w:left w:val="none" w:sz="0" w:space="0" w:color="auto"/>
        <w:bottom w:val="none" w:sz="0" w:space="0" w:color="auto"/>
        <w:right w:val="none" w:sz="0" w:space="0" w:color="auto"/>
      </w:divBdr>
    </w:div>
    <w:div w:id="1625892802">
      <w:bodyDiv w:val="1"/>
      <w:marLeft w:val="0"/>
      <w:marRight w:val="0"/>
      <w:marTop w:val="0"/>
      <w:marBottom w:val="0"/>
      <w:divBdr>
        <w:top w:val="none" w:sz="0" w:space="0" w:color="auto"/>
        <w:left w:val="none" w:sz="0" w:space="0" w:color="auto"/>
        <w:bottom w:val="none" w:sz="0" w:space="0" w:color="auto"/>
        <w:right w:val="none" w:sz="0" w:space="0" w:color="auto"/>
      </w:divBdr>
    </w:div>
    <w:div w:id="1652248521">
      <w:bodyDiv w:val="1"/>
      <w:marLeft w:val="0"/>
      <w:marRight w:val="0"/>
      <w:marTop w:val="0"/>
      <w:marBottom w:val="0"/>
      <w:divBdr>
        <w:top w:val="none" w:sz="0" w:space="0" w:color="auto"/>
        <w:left w:val="none" w:sz="0" w:space="0" w:color="auto"/>
        <w:bottom w:val="none" w:sz="0" w:space="0" w:color="auto"/>
        <w:right w:val="none" w:sz="0" w:space="0" w:color="auto"/>
      </w:divBdr>
    </w:div>
    <w:div w:id="1762989444">
      <w:bodyDiv w:val="1"/>
      <w:marLeft w:val="0"/>
      <w:marRight w:val="0"/>
      <w:marTop w:val="0"/>
      <w:marBottom w:val="0"/>
      <w:divBdr>
        <w:top w:val="none" w:sz="0" w:space="0" w:color="auto"/>
        <w:left w:val="none" w:sz="0" w:space="0" w:color="auto"/>
        <w:bottom w:val="none" w:sz="0" w:space="0" w:color="auto"/>
        <w:right w:val="none" w:sz="0" w:space="0" w:color="auto"/>
      </w:divBdr>
    </w:div>
    <w:div w:id="1810783749">
      <w:bodyDiv w:val="1"/>
      <w:marLeft w:val="0"/>
      <w:marRight w:val="0"/>
      <w:marTop w:val="0"/>
      <w:marBottom w:val="0"/>
      <w:divBdr>
        <w:top w:val="none" w:sz="0" w:space="0" w:color="auto"/>
        <w:left w:val="none" w:sz="0" w:space="0" w:color="auto"/>
        <w:bottom w:val="none" w:sz="0" w:space="0" w:color="auto"/>
        <w:right w:val="none" w:sz="0" w:space="0" w:color="auto"/>
      </w:divBdr>
    </w:div>
    <w:div w:id="188062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97/00001648-200009000-0001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371/journal.pone.008104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4103/0974-7788.7679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pst.433" TargetMode="External"/><Relationship Id="rId5" Type="http://schemas.openxmlformats.org/officeDocument/2006/relationships/webSettings" Target="webSettings.xml"/><Relationship Id="rId15" Type="http://schemas.openxmlformats.org/officeDocument/2006/relationships/hyperlink" Target="https://doi.org/10.1186/1472-6947-11-75" TargetMode="External"/><Relationship Id="rId10" Type="http://schemas.openxmlformats.org/officeDocument/2006/relationships/hyperlink" Target="https://doi.org/10.1093/biomet/70.1.4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213/ANE.0000000000005247" TargetMode="External"/><Relationship Id="rId14" Type="http://schemas.openxmlformats.org/officeDocument/2006/relationships/hyperlink" Target="https://doi.org/10.1093/intqhc/15.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097FF-AE90-4BA7-948F-204CFEED1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4623</Words>
  <Characters>26352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Lahey Health</Company>
  <LinksUpToDate>false</LinksUpToDate>
  <CharactersWithSpaces>30914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Frankenberger, Edward Anthony</dc:creator>
  <cp:keywords/>
  <dc:description/>
  <cp:lastModifiedBy>Joseph Drozda</cp:lastModifiedBy>
  <cp:revision>3</cp:revision>
  <cp:lastPrinted>2021-08-18T16:36:00Z</cp:lastPrinted>
  <dcterms:created xsi:type="dcterms:W3CDTF">2023-12-22T21:58:00Z</dcterms:created>
  <dcterms:modified xsi:type="dcterms:W3CDTF">2023-12-29T18:02:00Z</dcterms:modified>
</cp:coreProperties>
</file>