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DBF" w:rsidRPr="00F61C93" w:rsidRDefault="007B7DBF" w:rsidP="007B7DBF">
      <w:pPr>
        <w:keepNext/>
        <w:widowControl/>
        <w:spacing w:before="240" w:after="60" w:line="480" w:lineRule="auto"/>
        <w:jc w:val="left"/>
        <w:outlineLvl w:val="0"/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</w:pPr>
      <w:r w:rsidRPr="00F61C93"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  <w:t>Supplemental Material</w:t>
      </w:r>
    </w:p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  <w:r w:rsidRPr="00F61C93">
        <w:rPr>
          <w:rFonts w:ascii="Arial" w:eastAsia="DengXian" w:hAnsi="Arial" w:cs="Arial"/>
          <w:color w:val="000000"/>
          <w:kern w:val="0"/>
          <w:sz w:val="24"/>
        </w:rPr>
        <w:t>Supplemental table 1. Determinants of QFR-defined positive functional ischemia (QFR ≤ 0.80).</w:t>
      </w:r>
    </w:p>
    <w:tbl>
      <w:tblPr>
        <w:tblW w:w="8455" w:type="dxa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07"/>
        <w:gridCol w:w="1106"/>
        <w:gridCol w:w="1107"/>
        <w:gridCol w:w="1109"/>
        <w:gridCol w:w="1107"/>
        <w:gridCol w:w="1107"/>
        <w:gridCol w:w="1112"/>
      </w:tblGrid>
      <w:tr w:rsidR="007B7DBF" w:rsidRPr="00F61C93" w:rsidTr="00F964A2">
        <w:trPr>
          <w:trHeight w:val="615"/>
          <w:jc w:val="center"/>
        </w:trPr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Univariable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Multivariable</w:t>
            </w:r>
          </w:p>
        </w:tc>
      </w:tr>
      <w:tr w:rsidR="007B7DBF" w:rsidRPr="00F61C93" w:rsidTr="00F964A2">
        <w:trPr>
          <w:trHeight w:val="615"/>
          <w:jc w:val="center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Odds ratio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Odds ratio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0.992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0.974-1.009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0.666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0.359-1.234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0.196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0.723-1.784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0.580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Diabetes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1.349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0.653-2.788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0.418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Smoking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0.720-1.152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0.435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Dyslipidemia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1.410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0.881-2.257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0.152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LVEF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0.958-0.998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0.992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0.968-1.016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0.496</w:t>
            </w: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History of MI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0.599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0.230-1.561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0.294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LAD lesion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2.373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1.300-4.330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1.876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0.890-3.955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0.989</w:t>
            </w: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Thrombus aspiration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1.096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0.634-1.895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0.743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254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Tirofiban use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1.117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0.780-1.760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0.635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MLD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0.724-1.166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0.484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MLA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0.969-1.065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0.524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DS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1.001-1.021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1.005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0.992-1.018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0.450</w:t>
            </w: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1.012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1.003-1.022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1.008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0.996-1.020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0.188</w:t>
            </w: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LL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0.998-1.057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1.020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0.986-1.056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0.254</w:t>
            </w: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CFV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1.035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0.997-1.071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0.932</w:t>
            </w:r>
          </w:p>
        </w:tc>
        <w:tc>
          <w:tcPr>
            <w:tcW w:w="1107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0.870-0.998</w:t>
            </w:r>
          </w:p>
        </w:tc>
        <w:tc>
          <w:tcPr>
            <w:tcW w:w="1112" w:type="dxa"/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</w:tr>
      <w:tr w:rsidR="007B7DBF" w:rsidRPr="00F61C93" w:rsidTr="00F964A2">
        <w:trPr>
          <w:trHeight w:val="42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AMR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0.982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0.977-0.987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＜</w:t>
            </w: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0.972-0.985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＜</w:t>
            </w: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</w:tr>
    </w:tbl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  <w:r w:rsidRPr="00F61C93">
        <w:rPr>
          <w:rFonts w:ascii="Arial" w:eastAsia="DengXian" w:hAnsi="Arial" w:cs="Arial"/>
          <w:color w:val="000000"/>
          <w:kern w:val="0"/>
          <w:sz w:val="24"/>
        </w:rPr>
        <w:t>Abbreviation: CI: confidence interval; LVEF: left ventricular ejection fraction; MI: myocardial infarction, LAD: left anterior descending coronary artery; MLD: minimal lumen diameter; MLA: minimal lumen area; DS: diameter stenosis; AS: area stenosis; LL: lesion length; CFV: coronary flow velocity; AMR: angiography-derived microcirculatory resistance.</w:t>
      </w:r>
    </w:p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</w:p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  <w:r w:rsidRPr="00F61C93">
        <w:rPr>
          <w:rFonts w:ascii="Arial" w:eastAsia="DengXian" w:hAnsi="Arial" w:cs="Arial"/>
          <w:color w:val="000000"/>
          <w:kern w:val="0"/>
          <w:sz w:val="24"/>
        </w:rPr>
        <w:t>Supplemental table 2. Comparison of post-stenting angiography indices between groups.</w:t>
      </w:r>
    </w:p>
    <w:tbl>
      <w:tblPr>
        <w:tblW w:w="8352" w:type="dxa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"/>
        <w:gridCol w:w="1466"/>
        <w:gridCol w:w="1514"/>
        <w:gridCol w:w="1514"/>
        <w:gridCol w:w="1514"/>
        <w:gridCol w:w="1515"/>
        <w:gridCol w:w="801"/>
        <w:gridCol w:w="15"/>
      </w:tblGrid>
      <w:tr w:rsidR="007B7DBF" w:rsidRPr="00F61C93" w:rsidTr="00F964A2">
        <w:trPr>
          <w:gridAfter w:val="1"/>
          <w:wAfter w:w="15" w:type="dxa"/>
          <w:trHeight w:val="692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Concordantly negative</w:t>
            </w:r>
          </w:p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n=67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Mismatch</w:t>
            </w:r>
          </w:p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n=68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Reverse mismatch</w:t>
            </w:r>
          </w:p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n=51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Concordantly positive</w:t>
            </w:r>
          </w:p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n=124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7B7DBF" w:rsidRPr="00F61C93" w:rsidTr="00F964A2">
        <w:trPr>
          <w:gridAfter w:val="1"/>
          <w:wAfter w:w="15" w:type="dxa"/>
          <w:trHeight w:val="286"/>
          <w:jc w:val="center"/>
        </w:trPr>
        <w:tc>
          <w:tcPr>
            <w:tcW w:w="1479" w:type="dxa"/>
            <w:gridSpan w:val="2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Physiological indices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gridAfter w:val="1"/>
          <w:wAfter w:w="15" w:type="dxa"/>
          <w:trHeight w:val="286"/>
          <w:jc w:val="center"/>
        </w:trPr>
        <w:tc>
          <w:tcPr>
            <w:tcW w:w="1479" w:type="dxa"/>
            <w:gridSpan w:val="2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QFR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0.94±0.07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0.94±0.04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0.91±0.10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0.92±0.06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AMR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300.52±106.16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291.95±124.71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251.44±76.32</w:t>
            </w: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280.75±109.94</w:t>
            </w: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CFV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13.72±5.69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15.44±7.54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16.71±5.64</w:t>
            </w: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15.35±6.44</w:t>
            </w: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QCA analysis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DS (%)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20.29±14.71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17.24±11.50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19.61±13.18</w:t>
            </w: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19.94±13.18</w:t>
            </w: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0.502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 (%)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35.31±21.46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29.63±18.24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30.63±20.01</w:t>
            </w: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34.37±20.01</w:t>
            </w: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0.241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MLD (mm)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2.29±0.67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2.52±0.54</w:t>
            </w:r>
          </w:p>
        </w:tc>
        <w:tc>
          <w:tcPr>
            <w:tcW w:w="1514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2.29±0.67</w:t>
            </w:r>
          </w:p>
        </w:tc>
        <w:tc>
          <w:tcPr>
            <w:tcW w:w="1515" w:type="dxa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2.46±0.61</w:t>
            </w:r>
          </w:p>
        </w:tc>
        <w:tc>
          <w:tcPr>
            <w:tcW w:w="816" w:type="dxa"/>
            <w:gridSpan w:val="2"/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</w:tr>
      <w:tr w:rsidR="007B7DBF" w:rsidRPr="00F61C93" w:rsidTr="00F964A2">
        <w:trPr>
          <w:gridBefore w:val="1"/>
          <w:wBefore w:w="13" w:type="dxa"/>
          <w:trHeight w:val="286"/>
          <w:jc w:val="center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ind w:firstLineChars="100" w:firstLine="16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MLA (mm2)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4.88±1.44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5.07±1.56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4.71±1.53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4.97±1.66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7B7DBF" w:rsidRPr="00F61C93" w:rsidRDefault="007B7DBF" w:rsidP="00F964A2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F61C9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0.637</w:t>
            </w:r>
          </w:p>
        </w:tc>
      </w:tr>
    </w:tbl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  <w:r w:rsidRPr="00F61C93">
        <w:rPr>
          <w:rFonts w:ascii="Arial" w:eastAsia="DengXian" w:hAnsi="Arial" w:cs="Arial"/>
          <w:color w:val="000000"/>
          <w:kern w:val="0"/>
          <w:sz w:val="24"/>
        </w:rPr>
        <w:t>Abbreviation: QFR: quantitative flow ratio; AMR: angiography-derived microcirculatory resistance; CFV: coronary flow velocity; DS: diameter stenosis; AS: area stenosis; MLD: minimal lumen diameter; MLA: minimal lumen area.</w:t>
      </w:r>
    </w:p>
    <w:p w:rsidR="007B7DBF" w:rsidRPr="00F61C93" w:rsidRDefault="007B7DBF" w:rsidP="007B7DBF">
      <w:pPr>
        <w:widowControl/>
        <w:spacing w:line="480" w:lineRule="auto"/>
        <w:jc w:val="left"/>
        <w:rPr>
          <w:rFonts w:ascii="Arial" w:eastAsia="宋体" w:hAnsi="Arial" w:cs="Arial"/>
          <w:kern w:val="0"/>
          <w:sz w:val="24"/>
        </w:rPr>
      </w:pPr>
      <w:r w:rsidRPr="00F61C93">
        <w:rPr>
          <w:rFonts w:ascii="Arial" w:eastAsia="宋体" w:hAnsi="Arial" w:cs="Arial" w:hint="eastAsia"/>
          <w:noProof/>
          <w:kern w:val="0"/>
          <w:sz w:val="24"/>
        </w:rPr>
        <w:drawing>
          <wp:inline distT="0" distB="0" distL="0" distR="0" wp14:anchorId="2DA3CF44" wp14:editId="00533DD9">
            <wp:extent cx="5092700" cy="4216400"/>
            <wp:effectExtent l="0" t="0" r="0" b="0"/>
            <wp:docPr id="2194596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9663" name="图片 219459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A3" w:rsidRPr="007B7DBF" w:rsidRDefault="007B7DBF" w:rsidP="007B7DBF">
      <w:pPr>
        <w:widowControl/>
        <w:spacing w:line="480" w:lineRule="auto"/>
        <w:jc w:val="left"/>
        <w:rPr>
          <w:rFonts w:ascii="Arial" w:eastAsia="DengXian" w:hAnsi="Arial" w:cs="Arial"/>
          <w:color w:val="000000"/>
          <w:kern w:val="0"/>
          <w:sz w:val="24"/>
        </w:rPr>
      </w:pPr>
      <w:r w:rsidRPr="00F61C93">
        <w:rPr>
          <w:rFonts w:ascii="Arial" w:eastAsia="DengXian" w:hAnsi="Arial" w:cs="Arial"/>
          <w:color w:val="000000"/>
          <w:kern w:val="0"/>
          <w:sz w:val="24"/>
        </w:rPr>
        <w:t xml:space="preserve">Supplemental figure 1. Kaplan–Meier curves for 18-month MACE-free survival between concordant and discordant QCA-QFR. </w:t>
      </w:r>
    </w:p>
    <w:sectPr w:rsidR="008470A3" w:rsidRPr="007B7DBF" w:rsidSect="00592BD2"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BF"/>
    <w:rsid w:val="00592BD2"/>
    <w:rsid w:val="007B7DBF"/>
    <w:rsid w:val="008470A3"/>
    <w:rsid w:val="00A62A1D"/>
    <w:rsid w:val="00DA0D5B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E3ABE"/>
  <w15:chartTrackingRefBased/>
  <w15:docId w15:val="{5C3513F2-EF6F-2A45-80A2-A84094B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D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DBF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7B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2024-01-14T03:09:00Z</dcterms:created>
  <dcterms:modified xsi:type="dcterms:W3CDTF">2024-01-14T05:56:00Z</dcterms:modified>
</cp:coreProperties>
</file>