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hint="eastAsia" w:ascii="Times New Roman" w:hAnsi="Times New Roman" w:eastAsia="宋体" w:cs="Times New Roman"/>
          <w:b/>
          <w:bCs/>
          <w:sz w:val="24"/>
          <w:lang w:bidi="ar"/>
        </w:rPr>
        <w:t xml:space="preserve">Supplemental </w:t>
      </w:r>
      <w:r>
        <w:rPr>
          <w:rFonts w:ascii="Times New Roman" w:hAnsi="Times New Roman" w:eastAsia="宋体" w:cs="Times New Roman"/>
          <w:b/>
          <w:bCs/>
          <w:sz w:val="24"/>
          <w:lang w:bidi="ar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sz w:val="24"/>
          <w:lang w:bidi="ar"/>
        </w:rPr>
        <w:t>1</w:t>
      </w:r>
      <w:r>
        <w:rPr>
          <w:rFonts w:ascii="Times New Roman" w:hAnsi="Times New Roman" w:eastAsia="宋体" w:cs="Times New Roman"/>
          <w:b/>
          <w:bCs/>
          <w:sz w:val="24"/>
          <w:lang w:bidi="ar"/>
        </w:rPr>
        <w:t xml:space="preserve"> Clinical outcomes analysis of high and low risk groups for patients</w:t>
      </w:r>
      <w:r>
        <w:rPr>
          <w:rFonts w:hint="eastAsia" w:ascii="Times New Roman" w:hAnsi="Times New Roman" w:eastAsia="宋体" w:cs="Times New Roman"/>
          <w:b/>
          <w:bCs/>
          <w:sz w:val="24"/>
          <w:lang w:bidi="ar"/>
        </w:rPr>
        <w:t xml:space="preserve"> in validation set</w:t>
      </w:r>
    </w:p>
    <w:tbl>
      <w:tblPr>
        <w:tblStyle w:val="3"/>
        <w:tblW w:w="97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66"/>
        <w:gridCol w:w="2016"/>
        <w:gridCol w:w="1968"/>
        <w:gridCol w:w="1176"/>
        <w:gridCol w:w="9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66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>Outcomes</w:t>
            </w:r>
          </w:p>
        </w:tc>
        <w:tc>
          <w:tcPr>
            <w:tcW w:w="201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 xml:space="preserve">Low risk group </w:t>
            </w:r>
          </w:p>
        </w:tc>
        <w:tc>
          <w:tcPr>
            <w:tcW w:w="196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 xml:space="preserve">High risk group </w:t>
            </w:r>
          </w:p>
        </w:tc>
        <w:tc>
          <w:tcPr>
            <w:tcW w:w="117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>Effect size</w:t>
            </w:r>
          </w:p>
        </w:tc>
        <w:tc>
          <w:tcPr>
            <w:tcW w:w="91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66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>N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421</w:t>
            </w:r>
          </w:p>
        </w:tc>
        <w:tc>
          <w:tcPr>
            <w:tcW w:w="196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 w:bidi="ar"/>
              </w:rPr>
              <w:t>505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>-</w:t>
            </w:r>
          </w:p>
        </w:tc>
        <w:tc>
          <w:tcPr>
            <w:tcW w:w="91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>Primary outcome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 xml:space="preserve"> AKI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152 (36.1)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 w:bidi="ar"/>
              </w:rPr>
              <w:t>369 (73.1)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 w:bidi="ar"/>
              </w:rPr>
              <w:t>0.800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>Secondary outcomes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 xml:space="preserve"> AKI severity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 w:bidi="ar"/>
              </w:rPr>
              <w:t>.819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 xml:space="preserve">  Stage I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4 (1.0)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 w:bidi="ar"/>
              </w:rPr>
              <w:t>3 (0.6)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 xml:space="preserve">  Stage II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63 (15.0)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 w:bidi="ar"/>
              </w:rPr>
              <w:t>113 (22.4)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 xml:space="preserve">  Stage III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62 (14.7)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 w:bidi="ar"/>
              </w:rPr>
              <w:t>173 (34.3)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 xml:space="preserve"> Usage of vasopressor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 w:bidi="ar"/>
              </w:rPr>
              <w:t>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43 (10.2)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 w:bidi="ar"/>
              </w:rPr>
              <w:t>98 (19.4)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 w:bidi="ar"/>
              </w:rPr>
              <w:t>0.261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 xml:space="preserve"> Usage of mechanical ventilation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84 (20.0)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 w:bidi="ar"/>
              </w:rPr>
              <w:t>145 (28.7)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 w:bidi="ar"/>
              </w:rPr>
              <w:t>0.205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 w:bidi="ar"/>
              </w:rPr>
              <w:t>0.003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 xml:space="preserve"> Acute heart failure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152 (36.1)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 w:bidi="ar"/>
              </w:rPr>
              <w:t>218 (43.2)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 w:bidi="ar"/>
              </w:rPr>
              <w:t>0.145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 w:bidi="ar"/>
              </w:rPr>
              <w:t>0.034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 xml:space="preserve"> Acute respiratory failure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305 (72.4)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 w:bidi="ar"/>
              </w:rPr>
              <w:t>397 (78.6)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 w:bidi="ar"/>
              </w:rPr>
              <w:t>0.144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 w:bidi="ar"/>
              </w:rPr>
              <w:t>0.035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 xml:space="preserve"> Sepsis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209 (49.6)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336 (66.5)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 w:bidi="ar"/>
              </w:rPr>
              <w:t>0.347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 xml:space="preserve"> Length of ICU stay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1.93 (1.07, 3.99)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 w:bidi="ar"/>
              </w:rPr>
              <w:t>2.88 (1.51, 6.28)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0.282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 xml:space="preserve"> Length of hospital stay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8.82 (5.64, 16.91)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 w:bidi="ar"/>
              </w:rPr>
              <w:t>11.63 (6.14, 20.77)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0.209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 w:bidi="ar"/>
              </w:rPr>
              <w:t>0.002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 xml:space="preserve"> In-hospital mortality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11 (2.6)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 w:bidi="ar"/>
              </w:rPr>
              <w:t>118 (23.4)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 w:bidi="ar"/>
              </w:rPr>
              <w:t>649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66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 xml:space="preserve"> ICU mortality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6 (1.4)</w:t>
            </w:r>
          </w:p>
        </w:tc>
        <w:tc>
          <w:tcPr>
            <w:tcW w:w="196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 w:bidi="ar"/>
              </w:rPr>
              <w:t>79 (15.6)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 w:bidi="ar"/>
              </w:rPr>
              <w:t>0.526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 w:bidi="ar"/>
              </w:rPr>
              <w:t>&lt;0.001</w:t>
            </w:r>
          </w:p>
        </w:tc>
      </w:tr>
    </w:tbl>
    <w:p>
      <w:pPr>
        <w:spacing w:line="360" w:lineRule="auto"/>
        <w:rPr>
          <w:rFonts w:hint="eastAsia" w:ascii="Times New Roman" w:hAnsi="Times New Roman" w:eastAsia="宋体" w:cs="Times New Roman"/>
          <w:sz w:val="24"/>
          <w:lang w:val="en-US" w:eastAsia="zh-CN" w:bidi="ar"/>
        </w:rPr>
      </w:pPr>
      <w:r>
        <w:rPr>
          <w:rFonts w:ascii="Times New Roman" w:hAnsi="Times New Roman" w:eastAsia="宋体" w:cs="Times New Roman"/>
          <w:sz w:val="24"/>
          <w:lang w:bidi="ar"/>
        </w:rPr>
        <w:t>AKI, acute kidney injury, ICU, intensive care uni</w:t>
      </w:r>
      <w:r>
        <w:rPr>
          <w:rFonts w:hint="eastAsia" w:ascii="Times New Roman" w:hAnsi="Times New Roman" w:eastAsia="宋体" w:cs="Times New Roman"/>
          <w:sz w:val="24"/>
          <w:lang w:val="en-US" w:eastAsia="zh-CN" w:bidi="ar"/>
        </w:rPr>
        <w:t>t.</w:t>
      </w:r>
    </w:p>
    <w:p>
      <w:pPr>
        <w:spacing w:line="360" w:lineRule="auto"/>
        <w:rPr>
          <w:rFonts w:hint="eastAsia" w:ascii="Times New Roman" w:hAnsi="Times New Roman" w:eastAsia="宋体" w:cs="Times New Roman"/>
          <w:sz w:val="24"/>
          <w:lang w:val="en-US" w:eastAsia="zh-CN" w:bidi="ar"/>
        </w:rPr>
      </w:pPr>
    </w:p>
    <w:p>
      <w:pPr>
        <w:spacing w:line="360" w:lineRule="auto"/>
        <w:rPr>
          <w:rFonts w:hint="eastAsia" w:ascii="Times New Roman" w:hAnsi="Times New Roman" w:eastAsia="宋体" w:cs="Times New Roman"/>
          <w:sz w:val="24"/>
          <w:lang w:val="en-US" w:eastAsia="zh-CN" w:bidi="ar"/>
        </w:rPr>
      </w:pPr>
    </w:p>
    <w:p>
      <w:pPr>
        <w:spacing w:line="360" w:lineRule="auto"/>
        <w:rPr>
          <w:rFonts w:hint="eastAsia" w:ascii="Times New Roman" w:hAnsi="Times New Roman" w:eastAsia="宋体" w:cs="Times New Roman"/>
          <w:sz w:val="24"/>
          <w:lang w:val="en-US" w:eastAsia="zh-CN" w:bidi="ar"/>
        </w:rPr>
      </w:pPr>
    </w:p>
    <w:p>
      <w:pPr>
        <w:spacing w:line="360" w:lineRule="auto"/>
        <w:rPr>
          <w:rFonts w:hint="eastAsia" w:ascii="Times New Roman" w:hAnsi="Times New Roman" w:eastAsia="宋体" w:cs="Times New Roman"/>
          <w:sz w:val="24"/>
          <w:lang w:val="en-US" w:eastAsia="zh-CN" w:bidi="ar"/>
        </w:rPr>
      </w:pPr>
    </w:p>
    <w:p>
      <w:pPr>
        <w:spacing w:line="360" w:lineRule="auto"/>
        <w:rPr>
          <w:rFonts w:hint="eastAsia" w:ascii="Times New Roman" w:hAnsi="Times New Roman" w:eastAsia="宋体" w:cs="Times New Roman"/>
          <w:sz w:val="24"/>
          <w:lang w:val="en-US" w:eastAsia="zh-CN" w:bidi="ar"/>
        </w:rPr>
      </w:pPr>
    </w:p>
    <w:p>
      <w:pPr>
        <w:spacing w:line="360" w:lineRule="auto"/>
        <w:rPr>
          <w:rFonts w:hint="eastAsia" w:ascii="Times New Roman" w:hAnsi="Times New Roman" w:eastAsia="宋体" w:cs="Times New Roman"/>
          <w:sz w:val="24"/>
          <w:lang w:val="en-US" w:eastAsia="zh-CN" w:bidi="ar"/>
        </w:rPr>
      </w:pPr>
    </w:p>
    <w:p>
      <w:pPr>
        <w:spacing w:line="360" w:lineRule="auto"/>
        <w:rPr>
          <w:rFonts w:hint="eastAsia" w:ascii="Times New Roman" w:hAnsi="Times New Roman" w:eastAsia="宋体" w:cs="Times New Roman"/>
          <w:sz w:val="24"/>
          <w:lang w:val="en-US" w:eastAsia="zh-CN" w:bidi="ar"/>
        </w:rPr>
      </w:pPr>
    </w:p>
    <w:p>
      <w:pPr>
        <w:spacing w:line="360" w:lineRule="auto"/>
        <w:rPr>
          <w:rFonts w:hint="eastAsia" w:ascii="Times New Roman" w:hAnsi="Times New Roman" w:eastAsia="宋体" w:cs="Times New Roman"/>
          <w:sz w:val="24"/>
          <w:lang w:val="en-US" w:eastAsia="zh-CN" w:bidi="ar"/>
        </w:rPr>
      </w:pPr>
    </w:p>
    <w:p>
      <w:pPr>
        <w:spacing w:line="360" w:lineRule="auto"/>
        <w:rPr>
          <w:rFonts w:hint="eastAsia" w:ascii="Times New Roman" w:hAnsi="Times New Roman" w:eastAsia="宋体" w:cs="Times New Roman"/>
          <w:sz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sz w:val="24"/>
          <w:lang w:val="en-US" w:eastAsia="zh-CN" w:bidi="ar"/>
        </w:rPr>
        <w:drawing>
          <wp:inline distT="0" distB="0" distL="114300" distR="114300">
            <wp:extent cx="5272405" cy="3867150"/>
            <wp:effectExtent l="0" t="0" r="635" b="3810"/>
            <wp:docPr id="2" name="图片 2" descr="Supplemental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plemental Fig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eastAsia="宋体" w:cs="Times New Roman"/>
          <w:b/>
          <w:bCs/>
          <w:sz w:val="24"/>
          <w:lang w:val="en-US" w:eastAsia="zh-CN" w:bidi="ar"/>
        </w:rPr>
        <w:t xml:space="preserve">Supplemental Figure 1 </w:t>
      </w:r>
      <w:r>
        <w:rPr>
          <w:rFonts w:ascii="Times New Roman" w:hAnsi="Times New Roman" w:cs="Times New Roman"/>
          <w:sz w:val="24"/>
        </w:rPr>
        <w:t>The waterfall plot</w:t>
      </w:r>
      <w:r>
        <w:rPr>
          <w:rFonts w:hint="eastAsia" w:ascii="Times New Roman" w:hAnsi="Times New Roman" w:cs="Times New Roman"/>
          <w:sz w:val="24"/>
        </w:rPr>
        <w:t xml:space="preserve">s of the </w:t>
      </w:r>
      <w:r>
        <w:rPr>
          <w:rFonts w:ascii="Times New Roman" w:hAnsi="Times New Roman" w:cs="Times New Roman"/>
          <w:sz w:val="24"/>
        </w:rPr>
        <w:t>high-risk</w:t>
      </w:r>
      <w:r>
        <w:rPr>
          <w:rFonts w:hint="eastAsia" w:ascii="Times New Roman" w:hAnsi="Times New Roman" w:cs="Times New Roman"/>
          <w:sz w:val="24"/>
        </w:rPr>
        <w:t xml:space="preserve"> group and low risk group for the prediction of </w:t>
      </w:r>
      <w:r>
        <w:rPr>
          <w:rFonts w:hint="eastAsia" w:ascii="Times New Roman" w:hAnsi="Times New Roman" w:cs="Times New Roman"/>
          <w:sz w:val="24"/>
          <w:lang w:val="en-US" w:eastAsia="zh-CN"/>
        </w:rPr>
        <w:t>clinical outcomes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/>
        </w:rPr>
        <w:t>for</w:t>
      </w:r>
      <w:r>
        <w:rPr>
          <w:rFonts w:ascii="Times New Roman" w:hAnsi="Times New Roman" w:cs="Times New Roman"/>
          <w:sz w:val="24"/>
        </w:rPr>
        <w:t xml:space="preserve"> patients</w:t>
      </w:r>
      <w:r>
        <w:rPr>
          <w:rFonts w:hint="eastAsia" w:ascii="Times New Roman" w:hAnsi="Times New Roman" w:cs="Times New Roman"/>
          <w:sz w:val="24"/>
        </w:rPr>
        <w:t xml:space="preserve"> in the </w:t>
      </w:r>
      <w:r>
        <w:rPr>
          <w:rFonts w:hint="eastAsia" w:ascii="Times New Roman" w:hAnsi="Times New Roman" w:cs="Times New Roman"/>
          <w:sz w:val="24"/>
          <w:lang w:val="en-US" w:eastAsia="zh-CN"/>
        </w:rPr>
        <w:t>validation</w:t>
      </w:r>
      <w:r>
        <w:rPr>
          <w:rFonts w:hint="eastAsia" w:ascii="Times New Roman" w:hAnsi="Times New Roman" w:cs="Times New Roman"/>
          <w:sz w:val="24"/>
        </w:rPr>
        <w:t xml:space="preserve"> set. </w:t>
      </w:r>
      <w:r>
        <w:rPr>
          <w:rFonts w:ascii="Times New Roman" w:hAnsi="Times New Roman" w:cs="Times New Roman"/>
          <w:sz w:val="24"/>
        </w:rPr>
        <w:t>The waterfall plot of</w:t>
      </w:r>
      <w:r>
        <w:rPr>
          <w:rFonts w:hint="eastAsia" w:ascii="Times New Roman" w:hAnsi="Times New Roman" w:cs="Times New Roman"/>
          <w:sz w:val="24"/>
        </w:rPr>
        <w:t xml:space="preserve"> risk score </w:t>
      </w:r>
      <w:r>
        <w:rPr>
          <w:rFonts w:ascii="Times New Roman" w:hAnsi="Times New Roman" w:cs="Times New Roman"/>
          <w:sz w:val="24"/>
        </w:rPr>
        <w:t>for each patient</w:t>
      </w:r>
      <w:r>
        <w:rPr>
          <w:rFonts w:hint="eastAsia" w:ascii="Times New Roman" w:hAnsi="Times New Roman" w:cs="Times New Roman"/>
          <w:sz w:val="24"/>
        </w:rPr>
        <w:t xml:space="preserve"> of acute </w:t>
      </w:r>
      <w:r>
        <w:rPr>
          <w:rFonts w:ascii="Times New Roman" w:hAnsi="Times New Roman" w:cs="Times New Roman"/>
          <w:sz w:val="24"/>
        </w:rPr>
        <w:t>kidney</w:t>
      </w:r>
      <w:r>
        <w:rPr>
          <w:rFonts w:hint="eastAsia" w:ascii="Times New Roman" w:hAnsi="Times New Roman" w:cs="Times New Roman"/>
          <w:sz w:val="24"/>
        </w:rPr>
        <w:t xml:space="preserve"> injury (</w:t>
      </w:r>
      <w:r>
        <w:rPr>
          <w:rFonts w:hint="eastAsia" w:ascii="Times New Roman" w:hAnsi="Times New Roman" w:cs="Times New Roman"/>
          <w:b/>
          <w:bCs/>
          <w:sz w:val="24"/>
        </w:rPr>
        <w:t>A</w:t>
      </w:r>
      <w:r>
        <w:rPr>
          <w:rFonts w:hint="eastAsia" w:ascii="Times New Roman" w:hAnsi="Times New Roman" w:cs="Times New Roman"/>
          <w:sz w:val="24"/>
        </w:rPr>
        <w:t>)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sz w:val="24"/>
        </w:rPr>
        <w:t>acute respiratory failure (</w:t>
      </w:r>
      <w:r>
        <w:rPr>
          <w:rFonts w:hint="eastAsia" w:ascii="Times New Roman" w:hAnsi="Times New Roman" w:cs="Times New Roman"/>
          <w:b/>
          <w:bCs/>
          <w:sz w:val="24"/>
        </w:rPr>
        <w:t>B</w:t>
      </w:r>
      <w:r>
        <w:rPr>
          <w:rFonts w:hint="eastAsia" w:ascii="Times New Roman" w:hAnsi="Times New Roman" w:cs="Times New Roman"/>
          <w:sz w:val="24"/>
        </w:rPr>
        <w:t>)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, in-hospital mortality </w:t>
      </w:r>
      <w:r>
        <w:rPr>
          <w:rFonts w:hint="eastAsia" w:ascii="Times New Roman" w:hAnsi="Times New Roman" w:cs="Times New Roman"/>
          <w:sz w:val="24"/>
        </w:rPr>
        <w:t>(</w:t>
      </w:r>
      <w:r>
        <w:rPr>
          <w:rFonts w:hint="eastAsia" w:ascii="Times New Roman" w:hAnsi="Times New Roman" w:cs="Times New Roman"/>
          <w:b/>
          <w:bCs/>
          <w:sz w:val="24"/>
        </w:rPr>
        <w:t>C</w:t>
      </w:r>
      <w:r>
        <w:rPr>
          <w:rFonts w:hint="eastAsia" w:ascii="Times New Roman" w:hAnsi="Times New Roman" w:cs="Times New Roman"/>
          <w:sz w:val="24"/>
        </w:rPr>
        <w:t>)</w:t>
      </w:r>
      <w:r>
        <w:rPr>
          <w:rFonts w:hint="eastAsia" w:ascii="Times New Roman" w:hAnsi="Times New Roman" w:cs="Times New Roman"/>
          <w:sz w:val="24"/>
          <w:lang w:val="en-US" w:eastAsia="zh-CN"/>
        </w:rPr>
        <w:t>, and ICU mortality (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D</w:t>
      </w:r>
      <w:r>
        <w:rPr>
          <w:rFonts w:hint="eastAsia" w:ascii="Times New Roman" w:hAnsi="Times New Roman" w:cs="Times New Roman"/>
          <w:sz w:val="24"/>
          <w:lang w:val="en-US" w:eastAsia="zh-CN"/>
        </w:rPr>
        <w:t>)</w:t>
      </w:r>
      <w:r>
        <w:rPr>
          <w:rFonts w:hint="eastAsia" w:ascii="Times New Roman" w:hAnsi="Times New Roman" w:cs="Times New Roman"/>
          <w:sz w:val="24"/>
        </w:rPr>
        <w:t>.</w:t>
      </w:r>
    </w:p>
    <w:p>
      <w:pPr>
        <w:spacing w:line="360" w:lineRule="auto"/>
        <w:rPr>
          <w:rFonts w:hint="eastAsia" w:ascii="Times New Roman" w:hAnsi="Times New Roman" w:cs="Times New Roman"/>
          <w:sz w:val="24"/>
        </w:rPr>
      </w:pPr>
    </w:p>
    <w:p>
      <w:pPr>
        <w:spacing w:line="360" w:lineRule="auto"/>
        <w:rPr>
          <w:rFonts w:hint="eastAsia" w:ascii="Times New Roman" w:hAnsi="Times New Roman" w:cs="Times New Roman"/>
          <w:sz w:val="24"/>
        </w:rPr>
      </w:pPr>
    </w:p>
    <w:p>
      <w:pPr>
        <w:spacing w:line="360" w:lineRule="auto"/>
        <w:rPr>
          <w:rFonts w:hint="eastAsia" w:ascii="Times New Roman" w:hAnsi="Times New Roman" w:cs="Times New Roman"/>
          <w:sz w:val="24"/>
        </w:rPr>
      </w:pPr>
    </w:p>
    <w:p>
      <w:pPr>
        <w:spacing w:line="360" w:lineRule="auto"/>
        <w:rPr>
          <w:rFonts w:hint="eastAsia" w:ascii="Times New Roman" w:hAnsi="Times New Roman" w:cs="Times New Roman"/>
          <w:sz w:val="24"/>
        </w:rPr>
      </w:pPr>
    </w:p>
    <w:p>
      <w:pPr>
        <w:spacing w:line="360" w:lineRule="auto"/>
        <w:rPr>
          <w:rFonts w:hint="eastAsia" w:ascii="Times New Roman" w:hAnsi="Times New Roman" w:cs="Times New Roman"/>
          <w:sz w:val="24"/>
        </w:rPr>
      </w:pPr>
    </w:p>
    <w:p>
      <w:pPr>
        <w:spacing w:line="360" w:lineRule="auto"/>
        <w:rPr>
          <w:rFonts w:hint="eastAsia" w:ascii="Times New Roman" w:hAnsi="Times New Roman" w:cs="Times New Roman"/>
          <w:sz w:val="24"/>
        </w:rPr>
      </w:pPr>
    </w:p>
    <w:p>
      <w:pPr>
        <w:spacing w:line="360" w:lineRule="auto"/>
        <w:rPr>
          <w:rFonts w:hint="eastAsia" w:ascii="Times New Roman" w:hAnsi="Times New Roman" w:cs="Times New Roman"/>
          <w:sz w:val="24"/>
        </w:rPr>
      </w:pPr>
    </w:p>
    <w:p>
      <w:pPr>
        <w:spacing w:line="360" w:lineRule="auto"/>
        <w:rPr>
          <w:rFonts w:hint="eastAsia" w:ascii="Times New Roman" w:hAnsi="Times New Roman" w:cs="Times New Roman"/>
          <w:sz w:val="24"/>
        </w:rPr>
      </w:pPr>
    </w:p>
    <w:p>
      <w:pPr>
        <w:spacing w:line="360" w:lineRule="auto"/>
        <w:rPr>
          <w:rFonts w:hint="eastAsia" w:ascii="Times New Roman" w:hAnsi="Times New Roman" w:cs="Times New Roman"/>
          <w:sz w:val="24"/>
        </w:rPr>
      </w:pPr>
    </w:p>
    <w:p>
      <w:pPr>
        <w:spacing w:line="360" w:lineRule="auto"/>
        <w:rPr>
          <w:rFonts w:hint="eastAsia" w:ascii="Times New Roman" w:hAnsi="Times New Roman" w:cs="Times New Roman"/>
          <w:sz w:val="24"/>
        </w:rPr>
      </w:pPr>
    </w:p>
    <w:p>
      <w:pPr>
        <w:spacing w:line="360" w:lineRule="auto"/>
        <w:rPr>
          <w:rFonts w:hint="eastAsia" w:ascii="Times New Roman" w:hAnsi="Times New Roman" w:cs="Times New Roman"/>
          <w:sz w:val="24"/>
        </w:rPr>
      </w:pPr>
    </w:p>
    <w:p>
      <w:pPr>
        <w:spacing w:line="360" w:lineRule="auto"/>
        <w:rPr>
          <w:rFonts w:hint="eastAsia" w:ascii="Times New Roman" w:hAnsi="Times New Roman" w:cs="Times New Roman"/>
          <w:sz w:val="24"/>
        </w:rPr>
      </w:pPr>
    </w:p>
    <w:p>
      <w:pPr>
        <w:spacing w:line="360" w:lineRule="auto"/>
        <w:rPr>
          <w:rFonts w:hint="eastAsia" w:ascii="Times New Roman" w:hAnsi="Times New Roman" w:cs="Times New Roman" w:eastAsiaTheme="minorEastAsia"/>
          <w:sz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lang w:eastAsia="zh-CN"/>
        </w:rPr>
        <w:drawing>
          <wp:inline distT="0" distB="0" distL="114300" distR="114300">
            <wp:extent cx="5272405" cy="2945130"/>
            <wp:effectExtent l="0" t="0" r="635" b="11430"/>
            <wp:docPr id="3" name="图片 3" descr="Supplemental Fig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upplemental Figure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94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eastAsia="宋体" w:cs="Times New Roman"/>
          <w:b/>
          <w:bCs/>
          <w:sz w:val="24"/>
          <w:lang w:val="en-US" w:eastAsia="zh-CN" w:bidi="ar"/>
        </w:rPr>
        <w:t xml:space="preserve">Supplemental Figure 2 </w:t>
      </w:r>
      <w:r>
        <w:rPr>
          <w:rFonts w:hint="eastAsia" w:ascii="Times New Roman" w:hAnsi="Times New Roman" w:cs="Times New Roman"/>
          <w:sz w:val="24"/>
        </w:rPr>
        <w:t xml:space="preserve">The Kaplan-Meier curves showing the </w:t>
      </w:r>
      <w:r>
        <w:rPr>
          <w:rFonts w:hint="eastAsia" w:ascii="Times New Roman" w:hAnsi="Times New Roman" w:cs="Times New Roman"/>
          <w:sz w:val="24"/>
          <w:lang w:val="en-US" w:eastAsia="zh-CN"/>
        </w:rPr>
        <w:t>ICU</w:t>
      </w:r>
      <w:r>
        <w:rPr>
          <w:rFonts w:hint="eastAsia" w:ascii="Times New Roman" w:hAnsi="Times New Roman" w:cs="Times New Roman"/>
          <w:sz w:val="24"/>
        </w:rPr>
        <w:t xml:space="preserve"> mortality (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A</w:t>
      </w:r>
      <w:r>
        <w:rPr>
          <w:rFonts w:hint="eastAsia" w:ascii="Times New Roman" w:hAnsi="Times New Roman" w:cs="Times New Roman"/>
          <w:sz w:val="24"/>
        </w:rPr>
        <w:t xml:space="preserve">) and </w:t>
      </w:r>
      <w:r>
        <w:rPr>
          <w:rFonts w:hint="eastAsia" w:ascii="Times New Roman" w:hAnsi="Times New Roman" w:cs="Times New Roman"/>
          <w:sz w:val="24"/>
          <w:lang w:val="en-US" w:eastAsia="zh-CN"/>
        </w:rPr>
        <w:t>in-hospital</w:t>
      </w:r>
      <w:r>
        <w:rPr>
          <w:rFonts w:hint="eastAsia" w:ascii="Times New Roman" w:hAnsi="Times New Roman" w:cs="Times New Roman"/>
          <w:sz w:val="24"/>
        </w:rPr>
        <w:t xml:space="preserve"> mortality (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B</w:t>
      </w:r>
      <w:r>
        <w:rPr>
          <w:rFonts w:hint="eastAsia" w:ascii="Times New Roman" w:hAnsi="Times New Roman" w:cs="Times New Roman"/>
          <w:sz w:val="24"/>
        </w:rPr>
        <w:t xml:space="preserve">) of </w:t>
      </w:r>
      <w:r>
        <w:rPr>
          <w:rFonts w:hint="eastAsia" w:ascii="Times New Roman" w:hAnsi="Times New Roman" w:cs="Times New Roman"/>
          <w:sz w:val="24"/>
          <w:lang w:val="en-US" w:eastAsia="zh-CN"/>
        </w:rPr>
        <w:t>the high risk and low risk groups in the validation set.</w:t>
      </w:r>
      <w:bookmarkStart w:id="0" w:name="_GoBack"/>
      <w:bookmarkEnd w:id="0"/>
      <w:r>
        <w:rPr>
          <w:rFonts w:hint="eastAsia" w:ascii="Times New Roman" w:hAnsi="Times New Roman" w:cs="Times New Roman"/>
          <w:sz w:val="24"/>
        </w:rPr>
        <w:t xml:space="preserve"> </w:t>
      </w:r>
    </w:p>
    <w:p>
      <w:pPr>
        <w:spacing w:line="360" w:lineRule="auto"/>
        <w:rPr>
          <w:rFonts w:ascii="Times New Roman" w:hAnsi="Times New Roman" w:cs="Times New Roman"/>
          <w:sz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yNDU3MzA0MDC3NDZT0lEKTi0uzszPAykwrAUANIEW3iwAAAA="/>
    <w:docVar w:name="commondata" w:val="eyJoZGlkIjoiMTgyY2Y5Y2UxZjkwY2NiYzg1MTM4ZmQzOTFhYWJhY2IifQ=="/>
  </w:docVars>
  <w:rsids>
    <w:rsidRoot w:val="32C3342C"/>
    <w:rsid w:val="000361BF"/>
    <w:rsid w:val="00045F7F"/>
    <w:rsid w:val="002F516B"/>
    <w:rsid w:val="006128A8"/>
    <w:rsid w:val="006E6196"/>
    <w:rsid w:val="00771F3B"/>
    <w:rsid w:val="007955EB"/>
    <w:rsid w:val="00A00223"/>
    <w:rsid w:val="00BE61B3"/>
    <w:rsid w:val="00CA2597"/>
    <w:rsid w:val="00CC6565"/>
    <w:rsid w:val="00F726E4"/>
    <w:rsid w:val="034D7324"/>
    <w:rsid w:val="1CDD3710"/>
    <w:rsid w:val="32C3342C"/>
    <w:rsid w:val="39A43BD6"/>
    <w:rsid w:val="43252E79"/>
    <w:rsid w:val="482366B6"/>
    <w:rsid w:val="55DC0579"/>
    <w:rsid w:val="5BCE4500"/>
    <w:rsid w:val="5C415377"/>
    <w:rsid w:val="644C6023"/>
    <w:rsid w:val="70595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158</Words>
  <Characters>780</Characters>
  <Lines>35</Lines>
  <Paragraphs>10</Paragraphs>
  <TotalTime>1</TotalTime>
  <ScaleCrop>false</ScaleCrop>
  <LinksUpToDate>false</LinksUpToDate>
  <CharactersWithSpaces>881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2022-09-01T06:28:00Z</dcterms:created>
  <dc:creator>胡玉刚</dc:creator>
  <cp:lastModifiedBy>胡玉刚</cp:lastModifiedBy>
  <dcterms:modified xsi:type="dcterms:W3CDTF">2023-10-06T14:24:44Z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36646A910CCD47D780F935A26DE8BD9D</vt:lpwstr>
  </property>
</Properties>
</file>