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6B0A4" w14:textId="77777777" w:rsidR="00880212" w:rsidRDefault="00880212" w:rsidP="00E64F2A">
      <w:pPr>
        <w:rPr>
          <w:rFonts w:cs="Cordia New"/>
          <w:b/>
          <w:bCs/>
        </w:rPr>
      </w:pPr>
      <w:r w:rsidRPr="00880212">
        <w:rPr>
          <w:rFonts w:cs="Cordia New"/>
          <w:b/>
          <w:bCs/>
        </w:rPr>
        <w:t>Supplementary Material</w:t>
      </w:r>
    </w:p>
    <w:p w14:paraId="1EBD2587" w14:textId="77777777" w:rsidR="00370E13" w:rsidRDefault="00370E13" w:rsidP="00370E13">
      <w:pPr>
        <w:jc w:val="center"/>
        <w:rPr>
          <w:rFonts w:cs="Arial"/>
          <w:b/>
          <w:bCs/>
        </w:rPr>
      </w:pPr>
    </w:p>
    <w:p w14:paraId="33348232" w14:textId="0B5032E5" w:rsidR="00370E13" w:rsidRDefault="00370E13" w:rsidP="00370E13">
      <w:pPr>
        <w:jc w:val="thaiDistribute"/>
        <w:rPr>
          <w:rFonts w:cs="Arial"/>
        </w:rPr>
      </w:pPr>
      <w:r w:rsidRPr="00EA673B">
        <w:rPr>
          <w:rFonts w:cs="Arial"/>
          <w:b/>
          <w:bCs/>
        </w:rPr>
        <w:t>Table S1:</w:t>
      </w:r>
      <w:r w:rsidRPr="00EA673B">
        <w:rPr>
          <w:rFonts w:cs="Arial"/>
        </w:rPr>
        <w:t xml:space="preserve"> Korsmeyer-Peppas parameters </w:t>
      </w:r>
      <w:r w:rsidRPr="00D67369">
        <w:rPr>
          <w:rFonts w:cs="Arial"/>
        </w:rPr>
        <w:t xml:space="preserve">for the release </w:t>
      </w:r>
      <w:r>
        <w:rPr>
          <w:rFonts w:cs="Arial"/>
        </w:rPr>
        <w:t>mechanism of CLA from KPEVs in PBS (pH 7.4) and SGF (pH 1.2).</w:t>
      </w:r>
    </w:p>
    <w:p w14:paraId="433D7E6B" w14:textId="77777777" w:rsidR="00370E13" w:rsidRPr="00EA673B" w:rsidRDefault="00370E13" w:rsidP="00370E13">
      <w:pPr>
        <w:jc w:val="thaiDistribute"/>
        <w:rPr>
          <w:rFonts w:cs="Arial"/>
        </w:rPr>
      </w:pPr>
    </w:p>
    <w:tbl>
      <w:tblPr>
        <w:tblStyle w:val="PlainTable2"/>
        <w:tblpPr w:leftFromText="180" w:rightFromText="180" w:vertAnchor="text" w:horzAnchor="margin" w:tblpXSpec="center" w:tblpY="159"/>
        <w:tblW w:w="5362" w:type="dxa"/>
        <w:tblLook w:val="04A0" w:firstRow="1" w:lastRow="0" w:firstColumn="1" w:lastColumn="0" w:noHBand="0" w:noVBand="1"/>
      </w:tblPr>
      <w:tblGrid>
        <w:gridCol w:w="1622"/>
        <w:gridCol w:w="1105"/>
        <w:gridCol w:w="1105"/>
        <w:gridCol w:w="1530"/>
      </w:tblGrid>
      <w:tr w:rsidR="00370E13" w:rsidRPr="00E158EF" w14:paraId="31FD5B2E" w14:textId="77777777" w:rsidTr="00CF4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vMerge w:val="restart"/>
            <w:noWrap/>
            <w:vAlign w:val="center"/>
            <w:hideMark/>
          </w:tcPr>
          <w:p w14:paraId="007399E0" w14:textId="77777777" w:rsidR="00370E13" w:rsidRPr="00E158EF" w:rsidRDefault="00370E13" w:rsidP="00CF4E9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Releasing buffer</w:t>
            </w:r>
          </w:p>
        </w:tc>
        <w:tc>
          <w:tcPr>
            <w:tcW w:w="3740" w:type="dxa"/>
            <w:gridSpan w:val="3"/>
            <w:noWrap/>
            <w:hideMark/>
          </w:tcPr>
          <w:p w14:paraId="6DE2D474" w14:textId="77777777" w:rsidR="00370E13" w:rsidRPr="00E158EF" w:rsidRDefault="00370E13" w:rsidP="00CF4E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158EF">
              <w:rPr>
                <w:rFonts w:ascii="Calibri" w:hAnsi="Calibri" w:cs="Calibri"/>
                <w:color w:val="000000"/>
                <w:szCs w:val="22"/>
              </w:rPr>
              <w:t>Korsmeyer-Peppas model parameter</w:t>
            </w:r>
            <w:r>
              <w:rPr>
                <w:rFonts w:ascii="Calibri" w:hAnsi="Calibri" w:cs="Calibri"/>
                <w:color w:val="000000"/>
                <w:szCs w:val="22"/>
              </w:rPr>
              <w:t>s</w:t>
            </w:r>
          </w:p>
        </w:tc>
      </w:tr>
      <w:tr w:rsidR="00370E13" w:rsidRPr="00E158EF" w14:paraId="7D28F23C" w14:textId="77777777" w:rsidTr="00CF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vMerge/>
            <w:noWrap/>
            <w:hideMark/>
          </w:tcPr>
          <w:p w14:paraId="5F9FCE73" w14:textId="77777777" w:rsidR="00370E13" w:rsidRPr="00E158EF" w:rsidRDefault="00370E13" w:rsidP="00CF4E9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105" w:type="dxa"/>
            <w:noWrap/>
            <w:hideMark/>
          </w:tcPr>
          <w:p w14:paraId="10BFEA59" w14:textId="77777777" w:rsidR="00370E13" w:rsidRPr="0072365B" w:rsidRDefault="00370E13" w:rsidP="00CF4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72365B">
              <w:rPr>
                <w:rFonts w:ascii="Calibri" w:hAnsi="Calibri" w:cs="Calibri"/>
                <w:i/>
                <w:iCs/>
                <w:color w:val="000000"/>
                <w:szCs w:val="22"/>
              </w:rPr>
              <w:t>n</w:t>
            </w:r>
          </w:p>
        </w:tc>
        <w:tc>
          <w:tcPr>
            <w:tcW w:w="1105" w:type="dxa"/>
            <w:noWrap/>
            <w:hideMark/>
          </w:tcPr>
          <w:p w14:paraId="2D8E0045" w14:textId="77777777" w:rsidR="00370E13" w:rsidRPr="0072365B" w:rsidRDefault="00370E13" w:rsidP="00CF4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0000"/>
                <w:szCs w:val="22"/>
              </w:rPr>
            </w:pPr>
            <w:r w:rsidRPr="0072365B">
              <w:rPr>
                <w:rFonts w:ascii="Calibri" w:hAnsi="Calibri" w:cs="Calibri"/>
                <w:i/>
                <w:iCs/>
                <w:color w:val="000000"/>
                <w:szCs w:val="22"/>
              </w:rPr>
              <w:t>K</w:t>
            </w:r>
          </w:p>
        </w:tc>
        <w:tc>
          <w:tcPr>
            <w:tcW w:w="1530" w:type="dxa"/>
            <w:noWrap/>
            <w:hideMark/>
          </w:tcPr>
          <w:p w14:paraId="3BAD29CA" w14:textId="77777777" w:rsidR="00370E13" w:rsidRPr="00E158EF" w:rsidRDefault="00370E13" w:rsidP="00CF4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>
              <w:t>R</w:t>
            </w:r>
            <w:r w:rsidRPr="00E158EF">
              <w:rPr>
                <w:vertAlign w:val="superscript"/>
              </w:rPr>
              <w:t>2</w:t>
            </w:r>
          </w:p>
        </w:tc>
      </w:tr>
      <w:tr w:rsidR="00370E13" w:rsidRPr="00E158EF" w14:paraId="59E6A0A2" w14:textId="77777777" w:rsidTr="00CF4E9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noWrap/>
            <w:hideMark/>
          </w:tcPr>
          <w:p w14:paraId="26E1EF6B" w14:textId="77777777" w:rsidR="00370E13" w:rsidRPr="00EA673B" w:rsidRDefault="00370E13" w:rsidP="00CF4E9F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EA673B"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  <w:t>PBS</w:t>
            </w:r>
          </w:p>
        </w:tc>
        <w:tc>
          <w:tcPr>
            <w:tcW w:w="1105" w:type="dxa"/>
            <w:noWrap/>
            <w:hideMark/>
          </w:tcPr>
          <w:p w14:paraId="44AAAD05" w14:textId="77777777" w:rsidR="00370E13" w:rsidRPr="00E158EF" w:rsidRDefault="00370E13" w:rsidP="00CF4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158EF">
              <w:rPr>
                <w:rFonts w:ascii="Calibri" w:hAnsi="Calibri" w:cs="Calibri"/>
                <w:color w:val="000000"/>
                <w:szCs w:val="22"/>
              </w:rPr>
              <w:t>0.12</w:t>
            </w:r>
          </w:p>
        </w:tc>
        <w:tc>
          <w:tcPr>
            <w:tcW w:w="1105" w:type="dxa"/>
            <w:noWrap/>
            <w:hideMark/>
          </w:tcPr>
          <w:p w14:paraId="62BC67CA" w14:textId="77777777" w:rsidR="00370E13" w:rsidRPr="00E158EF" w:rsidRDefault="00370E13" w:rsidP="00CF4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158EF">
              <w:rPr>
                <w:rFonts w:ascii="Calibri" w:hAnsi="Calibri" w:cs="Calibri"/>
                <w:color w:val="000000"/>
                <w:szCs w:val="22"/>
              </w:rPr>
              <w:t>23.88</w:t>
            </w:r>
          </w:p>
        </w:tc>
        <w:tc>
          <w:tcPr>
            <w:tcW w:w="1530" w:type="dxa"/>
            <w:noWrap/>
            <w:hideMark/>
          </w:tcPr>
          <w:p w14:paraId="70E69B74" w14:textId="77777777" w:rsidR="00370E13" w:rsidRPr="00E158EF" w:rsidRDefault="00370E13" w:rsidP="00CF4E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158EF">
              <w:rPr>
                <w:rFonts w:ascii="Calibri" w:hAnsi="Calibri" w:cs="Calibri"/>
                <w:color w:val="000000"/>
                <w:szCs w:val="22"/>
              </w:rPr>
              <w:t>0.9</w:t>
            </w:r>
            <w:r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</w:tr>
      <w:tr w:rsidR="00370E13" w:rsidRPr="00E158EF" w14:paraId="2F734F1F" w14:textId="77777777" w:rsidTr="00CF4E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  <w:noWrap/>
            <w:hideMark/>
          </w:tcPr>
          <w:p w14:paraId="7FAD4B7A" w14:textId="77777777" w:rsidR="00370E13" w:rsidRPr="00E158EF" w:rsidRDefault="00370E13" w:rsidP="00CF4E9F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</w:pPr>
            <w:r w:rsidRPr="00E158EF">
              <w:rPr>
                <w:rFonts w:ascii="Calibri" w:hAnsi="Calibri" w:cs="Calibri"/>
                <w:b w:val="0"/>
                <w:bCs w:val="0"/>
                <w:color w:val="000000"/>
                <w:szCs w:val="22"/>
              </w:rPr>
              <w:t>SGF</w:t>
            </w:r>
          </w:p>
        </w:tc>
        <w:tc>
          <w:tcPr>
            <w:tcW w:w="1105" w:type="dxa"/>
            <w:noWrap/>
            <w:hideMark/>
          </w:tcPr>
          <w:p w14:paraId="3635855A" w14:textId="77777777" w:rsidR="00370E13" w:rsidRPr="00E158EF" w:rsidRDefault="00370E13" w:rsidP="00CF4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158EF">
              <w:rPr>
                <w:rFonts w:ascii="Calibri" w:hAnsi="Calibri" w:cs="Calibri"/>
                <w:color w:val="000000"/>
                <w:szCs w:val="22"/>
              </w:rPr>
              <w:t>0.2</w:t>
            </w: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05" w:type="dxa"/>
            <w:noWrap/>
            <w:hideMark/>
          </w:tcPr>
          <w:p w14:paraId="3E499541" w14:textId="77777777" w:rsidR="00370E13" w:rsidRPr="00E158EF" w:rsidRDefault="00370E13" w:rsidP="00CF4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158EF">
              <w:rPr>
                <w:rFonts w:ascii="Calibri" w:hAnsi="Calibri" w:cs="Calibri"/>
                <w:color w:val="000000"/>
                <w:szCs w:val="22"/>
              </w:rPr>
              <w:t>10.6</w:t>
            </w: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530" w:type="dxa"/>
            <w:noWrap/>
            <w:hideMark/>
          </w:tcPr>
          <w:p w14:paraId="27EFA400" w14:textId="77777777" w:rsidR="00370E13" w:rsidRPr="00E158EF" w:rsidRDefault="00370E13" w:rsidP="00CF4E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2"/>
              </w:rPr>
            </w:pPr>
            <w:r w:rsidRPr="00E158EF">
              <w:rPr>
                <w:rFonts w:ascii="Calibri" w:hAnsi="Calibri" w:cs="Calibri"/>
                <w:color w:val="000000"/>
                <w:szCs w:val="22"/>
              </w:rPr>
              <w:t>0.98</w:t>
            </w:r>
          </w:p>
        </w:tc>
      </w:tr>
    </w:tbl>
    <w:p w14:paraId="75AF17CC" w14:textId="77777777" w:rsidR="00370E13" w:rsidRDefault="00370E13" w:rsidP="00370E13"/>
    <w:p w14:paraId="445642C5" w14:textId="77777777" w:rsidR="00370E13" w:rsidRDefault="00370E13" w:rsidP="00E64F2A">
      <w:pPr>
        <w:rPr>
          <w:rFonts w:cs="Arial"/>
          <w:b/>
          <w:bCs/>
          <w:noProof/>
        </w:rPr>
      </w:pPr>
    </w:p>
    <w:p w14:paraId="3ED8F97A" w14:textId="77777777" w:rsidR="00370E13" w:rsidRDefault="00370E13" w:rsidP="00E64F2A">
      <w:pPr>
        <w:rPr>
          <w:rFonts w:cs="Arial"/>
          <w:b/>
          <w:bCs/>
          <w:noProof/>
        </w:rPr>
      </w:pPr>
    </w:p>
    <w:p w14:paraId="60C79249" w14:textId="77777777" w:rsidR="00370E13" w:rsidRDefault="00370E13" w:rsidP="00E64F2A">
      <w:pPr>
        <w:rPr>
          <w:rFonts w:cs="Arial"/>
          <w:b/>
          <w:bCs/>
          <w:noProof/>
        </w:rPr>
      </w:pPr>
    </w:p>
    <w:p w14:paraId="3D2AF41A" w14:textId="77777777" w:rsidR="00370E13" w:rsidRDefault="00370E13" w:rsidP="00E64F2A">
      <w:pPr>
        <w:rPr>
          <w:rFonts w:cs="Arial"/>
          <w:b/>
          <w:bCs/>
          <w:noProof/>
        </w:rPr>
      </w:pPr>
    </w:p>
    <w:p w14:paraId="3492E2A2" w14:textId="77777777" w:rsidR="00370E13" w:rsidRDefault="00370E13" w:rsidP="00E64F2A">
      <w:pPr>
        <w:rPr>
          <w:rFonts w:cs="Arial"/>
          <w:b/>
          <w:bCs/>
          <w:noProof/>
        </w:rPr>
      </w:pPr>
    </w:p>
    <w:p w14:paraId="4F975539" w14:textId="2927B766" w:rsidR="00370E13" w:rsidRDefault="00370E13">
      <w:pPr>
        <w:spacing w:after="160" w:line="259" w:lineRule="auto"/>
        <w:rPr>
          <w:rFonts w:cs="Arial"/>
          <w:b/>
          <w:bCs/>
          <w:noProof/>
        </w:rPr>
      </w:pPr>
      <w:r>
        <w:rPr>
          <w:rFonts w:cs="Arial"/>
          <w:b/>
          <w:bCs/>
          <w:noProof/>
        </w:rPr>
        <w:br w:type="page"/>
      </w:r>
    </w:p>
    <w:p w14:paraId="691B8D8D" w14:textId="0DB7D518" w:rsidR="00880212" w:rsidRDefault="00880212" w:rsidP="00E64F2A">
      <w:pPr>
        <w:rPr>
          <w:rFonts w:cs="Arial"/>
          <w:b/>
          <w:bCs/>
        </w:rPr>
      </w:pPr>
      <w:r>
        <w:rPr>
          <w:rFonts w:cs="Arial"/>
          <w:b/>
          <w:bCs/>
          <w:noProof/>
        </w:rPr>
        <w:lastRenderedPageBreak/>
        <w:drawing>
          <wp:inline distT="0" distB="0" distL="0" distR="0" wp14:anchorId="6BB7EE21" wp14:editId="4916645E">
            <wp:extent cx="6263367" cy="3858451"/>
            <wp:effectExtent l="0" t="0" r="4445" b="8890"/>
            <wp:docPr id="19463314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506" cy="3876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8224B" w14:textId="77777777" w:rsidR="00057749" w:rsidRDefault="00E64F2A" w:rsidP="00E64F2A">
      <w:r w:rsidRPr="005C3835">
        <w:rPr>
          <w:rFonts w:cs="Arial"/>
          <w:b/>
          <w:bCs/>
        </w:rPr>
        <w:t xml:space="preserve">Figure </w:t>
      </w:r>
      <w:r w:rsidR="00DF48A1">
        <w:rPr>
          <w:rFonts w:cs="Arial"/>
          <w:b/>
          <w:bCs/>
        </w:rPr>
        <w:t>S</w:t>
      </w:r>
      <w:r w:rsidR="00BF353C">
        <w:rPr>
          <w:rFonts w:cs="Arial"/>
          <w:b/>
          <w:bCs/>
        </w:rPr>
        <w:t>1</w:t>
      </w:r>
      <w:r w:rsidR="002537D6">
        <w:rPr>
          <w:rFonts w:cs="Arial"/>
          <w:b/>
          <w:bCs/>
        </w:rPr>
        <w:t>:</w:t>
      </w:r>
      <w:r w:rsidRPr="005C3835">
        <w:rPr>
          <w:rFonts w:cs="Arial"/>
          <w:b/>
          <w:bCs/>
        </w:rPr>
        <w:t xml:space="preserve"> </w:t>
      </w:r>
      <w:r w:rsidRPr="00E64F2A">
        <w:t xml:space="preserve">Multi-cytokines analysis of </w:t>
      </w:r>
      <w:r w:rsidRPr="00E64F2A">
        <w:rPr>
          <w:i/>
          <w:iCs/>
        </w:rPr>
        <w:t>H. pylori</w:t>
      </w:r>
      <w:r w:rsidRPr="00E64F2A">
        <w:t xml:space="preserve">-infected cells at 6, 12, and 24 h under 0.06-µg/ml KPEVs, CLA, and KPEVs-CLA. Concentrations of </w:t>
      </w:r>
      <w:r>
        <w:t>IFN-</w:t>
      </w:r>
      <w:r>
        <w:rPr>
          <w:rFonts w:cs="Arial"/>
        </w:rPr>
        <w:t>α</w:t>
      </w:r>
      <w:r w:rsidRPr="00E64F2A">
        <w:t xml:space="preserve">, </w:t>
      </w:r>
      <w:r>
        <w:t>IL-6</w:t>
      </w:r>
      <w:r w:rsidRPr="00E64F2A">
        <w:t xml:space="preserve">, </w:t>
      </w:r>
      <w:r>
        <w:t>IL-9</w:t>
      </w:r>
      <w:r w:rsidRPr="00E64F2A">
        <w:t>,</w:t>
      </w:r>
      <w:r>
        <w:t xml:space="preserve"> IL-12, eosin, RANTES, IP-10, IL-10, GM-CSF,</w:t>
      </w:r>
      <w:r w:rsidRPr="00E64F2A">
        <w:t xml:space="preserve"> and </w:t>
      </w:r>
      <w:r>
        <w:t>VEGF</w:t>
      </w:r>
      <w:r w:rsidRPr="00E64F2A">
        <w:t xml:space="preserve"> secretion. The results are presented as mean ± SD of two to three independent experiments. </w:t>
      </w:r>
      <w:r w:rsidRPr="005C3835">
        <w:t xml:space="preserve">Statistical analysis was </w:t>
      </w:r>
      <w:r>
        <w:t>conducted</w:t>
      </w:r>
      <w:r w:rsidRPr="005C3835">
        <w:t xml:space="preserve"> using one-way ANOVA with Bonferroni </w:t>
      </w:r>
      <w:r w:rsidRPr="006E1ACB">
        <w:rPr>
          <w:i/>
        </w:rPr>
        <w:t>post hoc</w:t>
      </w:r>
      <w:r w:rsidRPr="005C3835">
        <w:t xml:space="preserve"> tests</w:t>
      </w:r>
      <w:r>
        <w:t>; *</w:t>
      </w:r>
      <w:r w:rsidRPr="006E1ACB">
        <w:rPr>
          <w:i/>
        </w:rPr>
        <w:t>p</w:t>
      </w:r>
      <w:r>
        <w:t xml:space="preserve"> </w:t>
      </w:r>
      <w:r w:rsidRPr="00460944">
        <w:t>≤</w:t>
      </w:r>
      <w:r>
        <w:t xml:space="preserve"> 0.05, </w:t>
      </w:r>
      <w:r w:rsidRPr="005C3835">
        <w:t>**</w:t>
      </w:r>
      <w:r w:rsidRPr="006E1ACB">
        <w:rPr>
          <w:i/>
        </w:rPr>
        <w:t>p</w:t>
      </w:r>
      <w:r>
        <w:t xml:space="preserve"> </w:t>
      </w:r>
      <w:r w:rsidRPr="00460944">
        <w:t>≤</w:t>
      </w:r>
      <w:r>
        <w:t xml:space="preserve"> </w:t>
      </w:r>
      <w:r w:rsidRPr="005C3835">
        <w:t>0.01</w:t>
      </w:r>
      <w:r>
        <w:t xml:space="preserve">, </w:t>
      </w:r>
      <w:r w:rsidRPr="005C3835">
        <w:t>and ***</w:t>
      </w:r>
      <w:r w:rsidRPr="006E1ACB">
        <w:rPr>
          <w:i/>
        </w:rPr>
        <w:t>p</w:t>
      </w:r>
      <w:r>
        <w:t xml:space="preserve"> </w:t>
      </w:r>
      <w:r w:rsidRPr="00460944">
        <w:t>≤</w:t>
      </w:r>
      <w:r>
        <w:t xml:space="preserve"> </w:t>
      </w:r>
      <w:r w:rsidRPr="005C3835">
        <w:t>0.001</w:t>
      </w:r>
      <w:r w:rsidR="00057749">
        <w:t>.</w:t>
      </w:r>
    </w:p>
    <w:p w14:paraId="4CE920A9" w14:textId="1C46A1E3" w:rsidR="00E64F2A" w:rsidRDefault="00057749">
      <w:r w:rsidRPr="00057749">
        <w:rPr>
          <w:b/>
          <w:bCs/>
        </w:rPr>
        <w:t>Abbreviation:</w:t>
      </w:r>
      <w:r w:rsidRPr="00057749">
        <w:t xml:space="preserve"> HP, </w:t>
      </w:r>
      <w:r w:rsidRPr="00057749">
        <w:rPr>
          <w:i/>
          <w:iCs/>
        </w:rPr>
        <w:t>H. pylori.</w:t>
      </w:r>
    </w:p>
    <w:sectPr w:rsidR="00E64F2A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7FF74" w14:textId="77777777" w:rsidR="003745C9" w:rsidRDefault="003745C9" w:rsidP="00DF48A1">
      <w:pPr>
        <w:spacing w:line="240" w:lineRule="auto"/>
      </w:pPr>
      <w:r>
        <w:separator/>
      </w:r>
    </w:p>
  </w:endnote>
  <w:endnote w:type="continuationSeparator" w:id="0">
    <w:p w14:paraId="596052E0" w14:textId="77777777" w:rsidR="003745C9" w:rsidRDefault="003745C9" w:rsidP="00DF4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17D9" w14:textId="77777777" w:rsidR="00DF48A1" w:rsidRPr="00CB4443" w:rsidRDefault="00DF48A1" w:rsidP="00DF48A1">
    <w:pPr>
      <w:rPr>
        <w:rFonts w:ascii="Rockwell" w:eastAsia="Rockwell" w:hAnsi="Rockwell" w:cs="Rockwell"/>
        <w:noProof/>
        <w:color w:val="0078D7"/>
        <w:sz w:val="18"/>
        <w:szCs w:val="18"/>
      </w:rPr>
    </w:pPr>
    <w:r w:rsidRPr="00CB4443">
      <w:rPr>
        <w:rFonts w:ascii="Rockwell" w:eastAsia="Rockwell" w:hAnsi="Rockwell" w:cs="Rockwell"/>
        <w:noProof/>
        <w:color w:val="0078D7"/>
        <w:sz w:val="18"/>
        <w:szCs w:val="18"/>
      </w:rPr>
      <w:t>Information Classification: General</w:t>
    </w:r>
  </w:p>
  <w:p w14:paraId="23E37ACB" w14:textId="77777777" w:rsidR="00DF48A1" w:rsidRDefault="00DF4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262FD" w14:textId="77777777" w:rsidR="003745C9" w:rsidRDefault="003745C9" w:rsidP="00DF48A1">
      <w:pPr>
        <w:spacing w:line="240" w:lineRule="auto"/>
      </w:pPr>
      <w:r>
        <w:separator/>
      </w:r>
    </w:p>
  </w:footnote>
  <w:footnote w:type="continuationSeparator" w:id="0">
    <w:p w14:paraId="149983C5" w14:textId="77777777" w:rsidR="003745C9" w:rsidRDefault="003745C9" w:rsidP="00DF48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yNTOxNLY0tzAzNDdS0lEKTi0uzszPAykwrQUAx1+nJiwAAAA="/>
  </w:docVars>
  <w:rsids>
    <w:rsidRoot w:val="00E64F2A"/>
    <w:rsid w:val="00057749"/>
    <w:rsid w:val="002537D6"/>
    <w:rsid w:val="00370E13"/>
    <w:rsid w:val="003745C9"/>
    <w:rsid w:val="0066512A"/>
    <w:rsid w:val="008166DD"/>
    <w:rsid w:val="008376E1"/>
    <w:rsid w:val="00837B49"/>
    <w:rsid w:val="00880212"/>
    <w:rsid w:val="008E2BDE"/>
    <w:rsid w:val="00A17CB3"/>
    <w:rsid w:val="00BF353C"/>
    <w:rsid w:val="00BF738A"/>
    <w:rsid w:val="00DA2E54"/>
    <w:rsid w:val="00DF48A1"/>
    <w:rsid w:val="00E6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E5F47"/>
  <w15:chartTrackingRefBased/>
  <w15:docId w15:val="{987015AA-56E3-46EC-9D9D-5C664A63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F2A"/>
    <w:pPr>
      <w:spacing w:after="0" w:line="480" w:lineRule="auto"/>
    </w:pPr>
    <w:rPr>
      <w:rFonts w:ascii="Arial" w:eastAsia="Times New Roman" w:hAnsi="Arial" w:cs="Times New Roman"/>
      <w:kern w:val="0"/>
      <w:sz w:val="20"/>
      <w:szCs w:val="24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8A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8A1"/>
    <w:rPr>
      <w:rFonts w:ascii="Arial" w:eastAsia="Times New Roman" w:hAnsi="Arial" w:cs="Times New Roman"/>
      <w:kern w:val="0"/>
      <w:sz w:val="20"/>
      <w:szCs w:val="24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48A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8A1"/>
    <w:rPr>
      <w:rFonts w:ascii="Arial" w:eastAsia="Times New Roman" w:hAnsi="Arial" w:cs="Times New Roman"/>
      <w:kern w:val="0"/>
      <w:sz w:val="20"/>
      <w:szCs w:val="24"/>
      <w:lang w:bidi="ar-SA"/>
      <w14:ligatures w14:val="none"/>
    </w:rPr>
  </w:style>
  <w:style w:type="table" w:styleId="PlainTable2">
    <w:name w:val="Plain Table 2"/>
    <w:basedOn w:val="TableNormal"/>
    <w:uiPriority w:val="42"/>
    <w:rsid w:val="00370E1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Variya Nemidkanam</dc:creator>
  <cp:keywords/>
  <dc:description/>
  <cp:lastModifiedBy>Variya Nemidkanam</cp:lastModifiedBy>
  <cp:revision>5</cp:revision>
  <dcterms:created xsi:type="dcterms:W3CDTF">2024-01-11T07:12:00Z</dcterms:created>
  <dcterms:modified xsi:type="dcterms:W3CDTF">2024-01-22T15:02:00Z</dcterms:modified>
</cp:coreProperties>
</file>