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87B2" w14:textId="77777777" w:rsidR="00E417C3" w:rsidRPr="00DD06D4" w:rsidRDefault="009A1ABD">
      <w:pPr>
        <w:pStyle w:val="11"/>
        <w:spacing w:line="480" w:lineRule="auto"/>
        <w:ind w:firstLineChars="0" w:firstLine="0"/>
        <w:rPr>
          <w:rFonts w:ascii="Times New Roman" w:eastAsia="FangSong" w:hAnsi="Times New Roman" w:cs="Times New Roman"/>
          <w:color w:val="000000"/>
          <w:sz w:val="24"/>
          <w:szCs w:val="24"/>
        </w:rPr>
      </w:pPr>
      <w:r w:rsidRPr="00DD06D4">
        <w:rPr>
          <w:rFonts w:ascii="Times New Roman" w:eastAsiaTheme="minorEastAsia" w:hAnsi="Times New Roman" w:cs="Times New Roman"/>
          <w:b/>
          <w:color w:val="000000"/>
          <w:kern w:val="44"/>
          <w:sz w:val="24"/>
          <w:szCs w:val="24"/>
        </w:rPr>
        <w:t>Table S1 Prevalence of drug use among SLE patients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31"/>
        <w:gridCol w:w="2127"/>
      </w:tblGrid>
      <w:tr w:rsidR="00E417C3" w:rsidRPr="00DD06D4" w14:paraId="147D1297" w14:textId="77777777">
        <w:trPr>
          <w:trHeight w:val="340"/>
        </w:trPr>
        <w:tc>
          <w:tcPr>
            <w:tcW w:w="42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79EEB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Items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785C63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N (%)</w:t>
            </w:r>
          </w:p>
        </w:tc>
      </w:tr>
      <w:tr w:rsidR="00E417C3" w:rsidRPr="00DD06D4" w14:paraId="77772DAE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EEF6B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Treatment received</w:t>
            </w:r>
            <w:r w:rsidRPr="00DD06D4">
              <w:rPr>
                <w:rFonts w:cs="Times New Roman" w:hint="eastAsia"/>
                <w:b/>
                <w:bCs/>
                <w:color w:val="000000"/>
                <w:sz w:val="24"/>
                <w:szCs w:val="24"/>
                <w:lang w:bidi="ar"/>
              </w:rPr>
              <w:t xml:space="preserve"> currently 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(multiple choice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eastAsia="zh-Hans" w:bidi="ar"/>
              </w:rPr>
              <w:t>s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39711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417C3" w:rsidRPr="00DD06D4" w14:paraId="49AFCC5D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0697E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Glucocorticoid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D53A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431 (93.1)</w:t>
            </w:r>
          </w:p>
        </w:tc>
      </w:tr>
      <w:tr w:rsidR="00E417C3" w:rsidRPr="00DD06D4" w14:paraId="2775F9CA" w14:textId="77777777">
        <w:trPr>
          <w:trHeight w:val="692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FF1C2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Immunosuppressants (e.g., Mycophenolate mofetil / cyclophosphamide / leflunomide / methotrexate / tacrolimus / cyclosporine / azathioprine, etc.)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AA7D9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270 (58.3)</w:t>
            </w:r>
          </w:p>
        </w:tc>
      </w:tr>
      <w:tr w:rsidR="00E417C3" w:rsidRPr="00DD06D4" w14:paraId="209B610D" w14:textId="77777777">
        <w:trPr>
          <w:trHeight w:val="68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7892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Non-steroidal anti-inflammatory drugs (e.g., Naproxen / Meloxicam / Diclofenac sodium / Loxoprofen sodium, etc.)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701A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14 (3.0)</w:t>
            </w:r>
          </w:p>
        </w:tc>
      </w:tr>
      <w:tr w:rsidR="00E417C3" w:rsidRPr="00DD06D4" w14:paraId="1AAEE981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6EDC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Biological agents (Belimumab / Rituximab / Telitacicept etc.)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C3AF7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127 (27.4)</w:t>
            </w:r>
          </w:p>
        </w:tc>
      </w:tr>
      <w:tr w:rsidR="00E417C3" w:rsidRPr="00DD06D4" w14:paraId="48F29907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0B030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Hydroxychloroquine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EF5D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318 (68.7)</w:t>
            </w:r>
          </w:p>
        </w:tc>
      </w:tr>
      <w:tr w:rsidR="00E417C3" w:rsidRPr="00DD06D4" w14:paraId="46D840FE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57E02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Other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CBC0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130 (28.1)</w:t>
            </w:r>
          </w:p>
        </w:tc>
      </w:tr>
      <w:tr w:rsidR="00E417C3" w:rsidRPr="00DD06D4" w14:paraId="36024C9B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1422B9C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Unclear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128FE9A0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6 (1.3)</w:t>
            </w:r>
          </w:p>
        </w:tc>
      </w:tr>
      <w:tr w:rsidR="00E417C3" w:rsidRPr="00DD06D4" w14:paraId="79D61862" w14:textId="77777777">
        <w:trPr>
          <w:trHeight w:val="340"/>
        </w:trPr>
        <w:tc>
          <w:tcPr>
            <w:tcW w:w="4238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1B9F7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The preferred route of pharmaceutical administration</w:t>
            </w:r>
          </w:p>
        </w:tc>
        <w:tc>
          <w:tcPr>
            <w:tcW w:w="76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80289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E417C3" w:rsidRPr="00DD06D4" w14:paraId="00B30CCE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266E8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Subcutaneous injection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9D23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296 (63.90)</w:t>
            </w:r>
          </w:p>
        </w:tc>
      </w:tr>
      <w:tr w:rsidR="00E417C3" w:rsidRPr="00DD06D4" w14:paraId="0A5B16C0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FFEDA1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lastRenderedPageBreak/>
              <w:t>Intravenous injection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1F0127A8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167 (36.10)</w:t>
            </w:r>
          </w:p>
        </w:tc>
      </w:tr>
      <w:tr w:rsidR="00E417C3" w:rsidRPr="00DD06D4" w14:paraId="2DCF038E" w14:textId="77777777">
        <w:trPr>
          <w:trHeight w:val="340"/>
        </w:trPr>
        <w:tc>
          <w:tcPr>
            <w:tcW w:w="4238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4787F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Cost considerations pertaining to the utilization of biological agents</w:t>
            </w:r>
          </w:p>
        </w:tc>
        <w:tc>
          <w:tcPr>
            <w:tcW w:w="76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F9B8B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E417C3" w:rsidRPr="00DD06D4" w14:paraId="3550330B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335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Financially capable and inclined to opt for the cost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0811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191 (41.30)</w:t>
            </w:r>
          </w:p>
        </w:tc>
      </w:tr>
      <w:tr w:rsidR="00E417C3" w:rsidRPr="00DD06D4" w14:paraId="77AD18AE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2EFAE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Financially capable but disinclined to opt for the cost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1D960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30 (6.50)</w:t>
            </w:r>
          </w:p>
        </w:tc>
      </w:tr>
      <w:tr w:rsidR="00E417C3" w:rsidRPr="00DD06D4" w14:paraId="42F68EE7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BF20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Financially incapable and thus disinclined to opt for the cost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0876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100 (21.60)</w:t>
            </w:r>
          </w:p>
        </w:tc>
      </w:tr>
      <w:tr w:rsidR="00E417C3" w:rsidRPr="00DD06D4" w14:paraId="1BE8ECA2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7D50D76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Despite being a significant financial burden, inclined to choose the cost nonetheless.</w:t>
            </w:r>
          </w:p>
        </w:tc>
        <w:tc>
          <w:tcPr>
            <w:tcW w:w="7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13721DAB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142 (30.70)</w:t>
            </w:r>
          </w:p>
        </w:tc>
      </w:tr>
      <w:tr w:rsidR="00E417C3" w:rsidRPr="00DD06D4" w14:paraId="0DF71DFC" w14:textId="77777777">
        <w:trPr>
          <w:trHeight w:val="340"/>
        </w:trPr>
        <w:tc>
          <w:tcPr>
            <w:tcW w:w="4238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ACF9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Acceptance of 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eastAsia="zh-Hans" w:bidi="ar"/>
              </w:rPr>
              <w:t>b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iologic therapy would be facilitated if they were included in health insurance coverage.</w:t>
            </w:r>
          </w:p>
        </w:tc>
        <w:tc>
          <w:tcPr>
            <w:tcW w:w="76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3A9A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E417C3" w:rsidRPr="00DD06D4" w14:paraId="602F5805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5FFB9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Agree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385F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457 (98.7)</w:t>
            </w:r>
          </w:p>
        </w:tc>
      </w:tr>
      <w:tr w:rsidR="00E417C3" w:rsidRPr="00DD06D4" w14:paraId="1AA956F0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350AAE9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Disagree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18B9601F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bidi="ar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6 (1.2)</w:t>
            </w:r>
          </w:p>
        </w:tc>
      </w:tr>
      <w:tr w:rsidR="00E417C3" w:rsidRPr="00DD06D4" w14:paraId="60B84101" w14:textId="77777777">
        <w:trPr>
          <w:trHeight w:val="680"/>
        </w:trPr>
        <w:tc>
          <w:tcPr>
            <w:tcW w:w="4238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8E836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eastAsia="zh-Hans" w:bidi="ar"/>
              </w:rPr>
              <w:t xml:space="preserve">Among the SLE patients whose 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treatment includes 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eastAsia="zh-Hans" w:bidi="ar"/>
              </w:rPr>
              <w:t>b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iologic therapy(n=127), the specific biologic therapy being used is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：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(multiple choices)</w:t>
            </w:r>
          </w:p>
        </w:tc>
        <w:tc>
          <w:tcPr>
            <w:tcW w:w="76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5434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eastAsia="zh-Hans"/>
              </w:rPr>
            </w:pPr>
          </w:p>
        </w:tc>
      </w:tr>
      <w:tr w:rsidR="00E417C3" w:rsidRPr="00DD06D4" w14:paraId="1C4EA0F4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B5B5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Belimumab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9B46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35 (27.6)</w:t>
            </w:r>
          </w:p>
        </w:tc>
      </w:tr>
      <w:tr w:rsidR="00E417C3" w:rsidRPr="00DD06D4" w14:paraId="3251248D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15FEC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Telitacicept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ABCF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104 (81.9)</w:t>
            </w:r>
          </w:p>
        </w:tc>
      </w:tr>
      <w:tr w:rsidR="00E417C3" w:rsidRPr="00DD06D4" w14:paraId="7FF773E8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14E7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lastRenderedPageBreak/>
              <w:t>Rituximab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2E066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3 (2.4)</w:t>
            </w:r>
          </w:p>
        </w:tc>
      </w:tr>
      <w:tr w:rsidR="00E417C3" w:rsidRPr="00DD06D4" w14:paraId="3F6BC943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2676BA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other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A5A9B2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 (0.8)</w:t>
            </w:r>
          </w:p>
        </w:tc>
      </w:tr>
      <w:tr w:rsidR="00E417C3" w:rsidRPr="00DD06D4" w14:paraId="275D7075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E0A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eastAsia="zh-Hans" w:bidi="ar"/>
              </w:rPr>
              <w:t xml:space="preserve">Among the SLE patients whose 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treatment includes 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eastAsia="zh-Hans" w:bidi="ar"/>
              </w:rPr>
              <w:t>b</w:t>
            </w:r>
            <w:r w:rsidRPr="00DD06D4">
              <w:rPr>
                <w:rFonts w:cs="Times New Roman"/>
                <w:b/>
                <w:bCs/>
                <w:color w:val="000000"/>
                <w:sz w:val="24"/>
                <w:szCs w:val="24"/>
                <w:lang w:bidi="ar"/>
              </w:rPr>
              <w:t>iologic therapy(n=127), feelings towards the use of biologic therapy is: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AA21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eastAsia="zh-Hans"/>
              </w:rPr>
            </w:pPr>
          </w:p>
        </w:tc>
      </w:tr>
      <w:tr w:rsidR="00E417C3" w:rsidRPr="00DD06D4" w14:paraId="7AAFD141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00262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The treatment is considered safe and effective.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472F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66 (52.0)</w:t>
            </w:r>
          </w:p>
        </w:tc>
      </w:tr>
      <w:tr w:rsidR="00E417C3" w:rsidRPr="00DD06D4" w14:paraId="2E92C546" w14:textId="77777777">
        <w:trPr>
          <w:trHeight w:val="621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B9C21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The treatment is perceived to have an acceptable effect, but patients experience serious adverse reactions.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7F05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10 (7.9)</w:t>
            </w:r>
          </w:p>
        </w:tc>
      </w:tr>
      <w:tr w:rsidR="00E417C3" w:rsidRPr="00DD06D4" w14:paraId="3C2E3233" w14:textId="77777777">
        <w:trPr>
          <w:trHeight w:val="321"/>
        </w:trPr>
        <w:tc>
          <w:tcPr>
            <w:tcW w:w="4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6DBD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The treatment is considered ineffective and leads to serious adverse reactions.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C4635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1 (0.8)</w:t>
            </w:r>
          </w:p>
        </w:tc>
      </w:tr>
      <w:tr w:rsidR="00E417C3" w:rsidRPr="00DD06D4" w14:paraId="1F0A466B" w14:textId="77777777">
        <w:trPr>
          <w:trHeight w:val="340"/>
        </w:trPr>
        <w:tc>
          <w:tcPr>
            <w:tcW w:w="4238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348AB4A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The efficacy and adverse reactions of the treatment are unclear.</w:t>
            </w:r>
          </w:p>
        </w:tc>
        <w:tc>
          <w:tcPr>
            <w:tcW w:w="7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</w:tcPr>
          <w:p w14:paraId="25E00AC7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bidi="ar"/>
              </w:rPr>
              <w:t>50 (39.4)</w:t>
            </w:r>
          </w:p>
        </w:tc>
      </w:tr>
    </w:tbl>
    <w:p w14:paraId="683C2D58" w14:textId="77777777" w:rsidR="00E417C3" w:rsidRPr="00DD06D4" w:rsidRDefault="009A1ABD">
      <w:pPr>
        <w:spacing w:line="480" w:lineRule="auto"/>
        <w:jc w:val="left"/>
        <w:rPr>
          <w:rFonts w:eastAsia="FangSong" w:cs="Times New Roman"/>
          <w:color w:val="000000"/>
          <w:sz w:val="24"/>
          <w:szCs w:val="24"/>
        </w:rPr>
      </w:pPr>
      <w:r w:rsidRPr="00DD06D4">
        <w:rPr>
          <w:rFonts w:eastAsia="FangSong" w:cs="Times New Roman"/>
          <w:color w:val="000000"/>
          <w:sz w:val="24"/>
          <w:szCs w:val="24"/>
        </w:rPr>
        <w:br w:type="page"/>
      </w:r>
    </w:p>
    <w:p w14:paraId="67A464D4" w14:textId="77777777" w:rsidR="00E417C3" w:rsidRPr="00DD06D4" w:rsidRDefault="00E417C3">
      <w:pPr>
        <w:pStyle w:val="11"/>
        <w:spacing w:line="480" w:lineRule="auto"/>
        <w:ind w:firstLineChars="0" w:firstLine="0"/>
        <w:rPr>
          <w:rFonts w:ascii="Times New Roman" w:eastAsia="FangSong" w:hAnsi="Times New Roman" w:cs="Times New Roman"/>
          <w:color w:val="000000"/>
          <w:sz w:val="24"/>
          <w:szCs w:val="24"/>
        </w:rPr>
        <w:sectPr w:rsidR="00E417C3" w:rsidRPr="00DD06D4">
          <w:footerReference w:type="even" r:id="rId6"/>
          <w:footerReference w:type="default" r:id="rId7"/>
          <w:footerReference w:type="first" r:id="rId8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8BD0D62" w14:textId="77777777" w:rsidR="00E417C3" w:rsidRPr="00DD06D4" w:rsidRDefault="009A1ABD">
      <w:pPr>
        <w:spacing w:line="480" w:lineRule="auto"/>
        <w:rPr>
          <w:rFonts w:cs="Times New Roman"/>
          <w:b/>
          <w:bCs/>
          <w:color w:val="000000"/>
          <w:sz w:val="24"/>
          <w:szCs w:val="24"/>
        </w:rPr>
      </w:pPr>
      <w:r w:rsidRPr="00DD06D4">
        <w:rPr>
          <w:rFonts w:cs="Times New Roman"/>
          <w:b/>
          <w:bCs/>
          <w:color w:val="000000"/>
          <w:sz w:val="24"/>
          <w:szCs w:val="24"/>
        </w:rPr>
        <w:lastRenderedPageBreak/>
        <w:t>Table S2 Correlation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3434"/>
        <w:gridCol w:w="3188"/>
        <w:gridCol w:w="3495"/>
      </w:tblGrid>
      <w:tr w:rsidR="00E417C3" w:rsidRPr="00DD06D4" w14:paraId="0E2A8C86" w14:textId="77777777">
        <w:trPr>
          <w:trHeight w:val="283"/>
        </w:trPr>
        <w:tc>
          <w:tcPr>
            <w:tcW w:w="13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71F72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E571E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eastAsia="zh-Hans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eastAsia="zh-Hans"/>
              </w:rPr>
              <w:t>Knowledge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F9BB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eastAsia="zh-Hans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eastAsia="zh-Hans"/>
              </w:rPr>
              <w:t>Attitudes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960FC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  <w:lang w:eastAsia="zh-Hans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eastAsia="zh-Hans"/>
              </w:rPr>
              <w:t>Practices</w:t>
            </w:r>
          </w:p>
        </w:tc>
      </w:tr>
      <w:tr w:rsidR="00E417C3" w:rsidRPr="00DD06D4" w14:paraId="2BC188C2" w14:textId="77777777">
        <w:trPr>
          <w:trHeight w:val="283"/>
        </w:trPr>
        <w:tc>
          <w:tcPr>
            <w:tcW w:w="1376" w:type="pct"/>
            <w:tcBorders>
              <w:top w:val="single" w:sz="4" w:space="0" w:color="auto"/>
            </w:tcBorders>
            <w:vAlign w:val="center"/>
          </w:tcPr>
          <w:p w14:paraId="115DB68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eastAsia="zh-Hans"/>
              </w:rPr>
              <w:t>Knowledge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532FA484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74F7E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7210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417C3" w:rsidRPr="00DD06D4" w14:paraId="2761ECAF" w14:textId="77777777">
        <w:trPr>
          <w:trHeight w:val="283"/>
        </w:trPr>
        <w:tc>
          <w:tcPr>
            <w:tcW w:w="1376" w:type="pct"/>
            <w:vAlign w:val="center"/>
          </w:tcPr>
          <w:p w14:paraId="3AA8561D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eastAsia="zh-Hans"/>
              </w:rPr>
              <w:t>Attitudes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</w:tcPr>
          <w:p w14:paraId="66FC75FE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0.327 (P = 0.000)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</w:tcPr>
          <w:p w14:paraId="7E477AD8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0AE0D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417C3" w:rsidRPr="00DD06D4" w14:paraId="747C2D86" w14:textId="77777777">
        <w:trPr>
          <w:trHeight w:val="283"/>
        </w:trPr>
        <w:tc>
          <w:tcPr>
            <w:tcW w:w="1376" w:type="pct"/>
            <w:tcBorders>
              <w:bottom w:val="single" w:sz="4" w:space="0" w:color="auto"/>
            </w:tcBorders>
            <w:vAlign w:val="center"/>
          </w:tcPr>
          <w:p w14:paraId="72C1C5BF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  <w:lang w:eastAsia="zh-Hans"/>
              </w:rPr>
              <w:t>Practices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C17DE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0.269 (P = 0.000)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C4D48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0.102 (P = 0.000)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D8E62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AEB6B68" w14:textId="77777777" w:rsidR="00E417C3" w:rsidRPr="00DD06D4" w:rsidRDefault="009A1ABD">
      <w:pPr>
        <w:spacing w:line="480" w:lineRule="auto"/>
        <w:jc w:val="left"/>
        <w:rPr>
          <w:rFonts w:cs="Times New Roman"/>
          <w:color w:val="000000"/>
          <w:sz w:val="24"/>
          <w:szCs w:val="24"/>
        </w:rPr>
      </w:pPr>
      <w:r w:rsidRPr="00DD06D4">
        <w:rPr>
          <w:rFonts w:cs="Times New Roman"/>
          <w:color w:val="000000"/>
          <w:sz w:val="24"/>
          <w:szCs w:val="24"/>
        </w:rPr>
        <w:br w:type="page"/>
      </w:r>
    </w:p>
    <w:p w14:paraId="14846D32" w14:textId="77777777" w:rsidR="00E417C3" w:rsidRPr="00DD06D4" w:rsidRDefault="009A1ABD">
      <w:pPr>
        <w:spacing w:line="480" w:lineRule="auto"/>
        <w:rPr>
          <w:rFonts w:cs="Times New Roman"/>
          <w:b/>
          <w:bCs/>
          <w:color w:val="000000"/>
          <w:sz w:val="24"/>
          <w:szCs w:val="24"/>
        </w:rPr>
      </w:pPr>
      <w:r w:rsidRPr="00DD06D4">
        <w:rPr>
          <w:rFonts w:cs="Times New Roman"/>
          <w:b/>
          <w:bCs/>
          <w:color w:val="000000"/>
          <w:sz w:val="24"/>
          <w:szCs w:val="24"/>
        </w:rPr>
        <w:lastRenderedPageBreak/>
        <w:t>Table S3 Test results of the hypothesis.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2018"/>
        <w:gridCol w:w="1181"/>
        <w:gridCol w:w="3911"/>
        <w:gridCol w:w="2560"/>
        <w:gridCol w:w="1954"/>
      </w:tblGrid>
      <w:tr w:rsidR="00E417C3" w:rsidRPr="00DD06D4" w14:paraId="37A22408" w14:textId="77777777">
        <w:trPr>
          <w:trHeight w:val="328"/>
          <w:tblHeader/>
        </w:trPr>
        <w:tc>
          <w:tcPr>
            <w:tcW w:w="836" w:type="pct"/>
            <w:tcBorders>
              <w:left w:val="nil"/>
              <w:bottom w:val="single" w:sz="6" w:space="0" w:color="auto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375DC6AB" w14:textId="77777777" w:rsidR="00E417C3" w:rsidRPr="00DD06D4" w:rsidRDefault="00E417C3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pct"/>
            <w:gridSpan w:val="3"/>
            <w:tcBorders>
              <w:left w:val="nil"/>
              <w:bottom w:val="single" w:sz="6" w:space="0" w:color="auto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39B6E1B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Hypothesized paths</w:t>
            </w:r>
          </w:p>
        </w:tc>
        <w:tc>
          <w:tcPr>
            <w:tcW w:w="917" w:type="pct"/>
            <w:tcBorders>
              <w:left w:val="nil"/>
              <w:bottom w:val="single" w:sz="6" w:space="0" w:color="auto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1CDBCF70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path coefficient</w:t>
            </w:r>
          </w:p>
        </w:tc>
        <w:tc>
          <w:tcPr>
            <w:tcW w:w="701" w:type="pct"/>
            <w:tcBorders>
              <w:left w:val="nil"/>
              <w:bottom w:val="single" w:sz="6" w:space="0" w:color="auto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37B1B60F" w14:textId="77777777" w:rsidR="00E417C3" w:rsidRPr="00DD06D4" w:rsidRDefault="009A1ABD">
            <w:pPr>
              <w:spacing w:line="48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cs="Times New Roman"/>
                <w:color w:val="000000"/>
                <w:sz w:val="24"/>
                <w:szCs w:val="24"/>
              </w:rPr>
              <w:t>P</w:t>
            </w:r>
          </w:p>
        </w:tc>
      </w:tr>
      <w:tr w:rsidR="00E417C3" w:rsidRPr="00DD06D4" w14:paraId="1D91F33E" w14:textId="77777777">
        <w:trPr>
          <w:trHeight w:val="487"/>
        </w:trPr>
        <w:tc>
          <w:tcPr>
            <w:tcW w:w="836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24D24CA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1</w:t>
            </w:r>
          </w:p>
        </w:tc>
        <w:tc>
          <w:tcPr>
            <w:tcW w:w="723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4894A13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Attitude</w:t>
            </w:r>
          </w:p>
        </w:tc>
        <w:tc>
          <w:tcPr>
            <w:tcW w:w="423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1EB9BEF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6CA0248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Knowledge</w:t>
            </w:r>
          </w:p>
        </w:tc>
        <w:tc>
          <w:tcPr>
            <w:tcW w:w="917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EC6518F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0.455</w:t>
            </w:r>
          </w:p>
        </w:tc>
        <w:tc>
          <w:tcPr>
            <w:tcW w:w="701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0933A6C8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</w:t>
            </w:r>
            <w:r w:rsidRPr="00DD06D4">
              <w:rPr>
                <w:rStyle w:val="font01"/>
                <w:rFonts w:cs="Times New Roman"/>
                <w:lang w:bidi="ar"/>
              </w:rPr>
              <w:t xml:space="preserve"> 0.001</w:t>
            </w:r>
          </w:p>
        </w:tc>
      </w:tr>
      <w:tr w:rsidR="00E417C3" w:rsidRPr="00DD06D4" w14:paraId="544889B8" w14:textId="77777777">
        <w:trPr>
          <w:trHeight w:val="421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32D47ED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B2CFDA0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Practice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80ADB9E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397E397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Knowledge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1502CB42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0.709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73C6DAF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</w:t>
            </w:r>
            <w:r w:rsidRPr="00DD06D4">
              <w:rPr>
                <w:rStyle w:val="font01"/>
                <w:rFonts w:cs="Times New Roman"/>
                <w:lang w:bidi="ar"/>
              </w:rPr>
              <w:t xml:space="preserve"> 0.001</w:t>
            </w:r>
          </w:p>
        </w:tc>
      </w:tr>
      <w:tr w:rsidR="00E417C3" w:rsidRPr="00DD06D4" w14:paraId="2F4F47A5" w14:textId="77777777">
        <w:trPr>
          <w:trHeight w:val="464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DD84C0E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3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DEAAAB9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Practice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EA45BF0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6267F335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Attitude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48EA1D1B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0.049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586B8161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0.58</w:t>
            </w:r>
          </w:p>
        </w:tc>
      </w:tr>
      <w:tr w:rsidR="00E417C3" w:rsidRPr="00DD06D4" w14:paraId="0B65D449" w14:textId="77777777">
        <w:trPr>
          <w:trHeight w:val="464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F7C63E1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4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2106789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Attitude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A60C079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CC4A34C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Family support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0EB95D13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-1.187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783459CC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</w:tr>
      <w:tr w:rsidR="00E417C3" w:rsidRPr="00DD06D4" w14:paraId="3537E49A" w14:textId="77777777">
        <w:trPr>
          <w:trHeight w:val="446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C8D9AA8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F730A54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Attitude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B60168D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704DF77C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Time since SLE diagnosis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7A1C4F32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0.33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B173ACF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</w:tr>
      <w:tr w:rsidR="00E417C3" w:rsidRPr="00DD06D4" w14:paraId="74578865" w14:textId="77777777">
        <w:trPr>
          <w:trHeight w:val="460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C49B3C6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 xml:space="preserve">Hypothesis </w:t>
            </w:r>
            <w:r w:rsidRPr="00DD06D4">
              <w:rPr>
                <w:rStyle w:val="font01"/>
                <w:rFonts w:cs="Times New Roman"/>
                <w:lang w:bidi="ar"/>
              </w:rPr>
              <w:t>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28285DF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Knowledge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456BF24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5EEF76C2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Parental status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23ABD089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0.591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116BEC5E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</w:tr>
      <w:tr w:rsidR="00E417C3" w:rsidRPr="00DD06D4" w14:paraId="7904C497" w14:textId="77777777">
        <w:trPr>
          <w:trHeight w:val="523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D187803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EC0E588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Practice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9324F1A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3A1150DE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Time since SLE diagnosis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455825DF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-0.817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61B1B1F4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0.002</w:t>
            </w:r>
          </w:p>
        </w:tc>
      </w:tr>
      <w:tr w:rsidR="00E417C3" w:rsidRPr="00DD06D4" w14:paraId="449567B0" w14:textId="77777777">
        <w:trPr>
          <w:trHeight w:val="477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6F6C4B9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3E5CE65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Practice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22B9C5C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7E1A3A94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Per Capita Income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4F4632B4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0.416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531415CE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0.121</w:t>
            </w:r>
          </w:p>
        </w:tc>
      </w:tr>
      <w:tr w:rsidR="00E417C3" w:rsidRPr="00DD06D4" w14:paraId="70D03C37" w14:textId="77777777">
        <w:trPr>
          <w:trHeight w:val="526"/>
        </w:trPr>
        <w:tc>
          <w:tcPr>
            <w:tcW w:w="836" w:type="pct"/>
            <w:tcBorders>
              <w:top w:val="nil"/>
              <w:left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2B79B56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Hypothesis 9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8CF0842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Knowledge</w:t>
            </w:r>
          </w:p>
        </w:tc>
        <w:tc>
          <w:tcPr>
            <w:tcW w:w="423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97CB9E5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&lt;---</w:t>
            </w:r>
          </w:p>
        </w:tc>
        <w:tc>
          <w:tcPr>
            <w:tcW w:w="1401" w:type="pct"/>
            <w:tcBorders>
              <w:top w:val="nil"/>
              <w:left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50F471F0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Time since SLE diagnosis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4CC3E5AB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0.142</w:t>
            </w:r>
          </w:p>
        </w:tc>
        <w:tc>
          <w:tcPr>
            <w:tcW w:w="701" w:type="pct"/>
            <w:tcBorders>
              <w:top w:val="nil"/>
              <w:left w:val="nil"/>
              <w:right w:val="nil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 w14:paraId="124EB707" w14:textId="77777777" w:rsidR="00E417C3" w:rsidRPr="00DD06D4" w:rsidRDefault="009A1ABD">
            <w:pPr>
              <w:spacing w:line="480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06D4">
              <w:rPr>
                <w:rFonts w:eastAsia="Times New Roman Regular" w:cs="Times New Roman"/>
                <w:color w:val="000000"/>
                <w:kern w:val="0"/>
                <w:sz w:val="24"/>
                <w:szCs w:val="24"/>
                <w:lang w:bidi="ar"/>
              </w:rPr>
              <w:t>0.169</w:t>
            </w:r>
          </w:p>
        </w:tc>
      </w:tr>
    </w:tbl>
    <w:p w14:paraId="7FA2FE6A" w14:textId="77777777" w:rsidR="00E417C3" w:rsidRPr="00DD06D4" w:rsidRDefault="009A1ABD">
      <w:pPr>
        <w:spacing w:line="480" w:lineRule="auto"/>
        <w:jc w:val="left"/>
        <w:rPr>
          <w:rFonts w:cs="Times New Roman"/>
          <w:color w:val="000000"/>
          <w:sz w:val="24"/>
          <w:szCs w:val="24"/>
        </w:rPr>
      </w:pPr>
      <w:r w:rsidRPr="00DD06D4">
        <w:rPr>
          <w:rFonts w:cs="Times New Roman"/>
          <w:color w:val="000000"/>
          <w:sz w:val="24"/>
          <w:szCs w:val="24"/>
        </w:rPr>
        <w:br w:type="page"/>
      </w:r>
    </w:p>
    <w:p w14:paraId="2B073334" w14:textId="77777777" w:rsidR="00E417C3" w:rsidRPr="00DD06D4" w:rsidRDefault="009A1ABD">
      <w:pPr>
        <w:spacing w:line="480" w:lineRule="auto"/>
        <w:rPr>
          <w:rFonts w:cs="Times New Roman"/>
          <w:color w:val="000000"/>
          <w:sz w:val="24"/>
          <w:szCs w:val="24"/>
        </w:rPr>
      </w:pPr>
      <w:r w:rsidRPr="00DD06D4">
        <w:rPr>
          <w:rFonts w:cs="Times New Roman"/>
          <w:b/>
          <w:bCs/>
          <w:color w:val="000000"/>
          <w:sz w:val="24"/>
          <w:szCs w:val="24"/>
        </w:rPr>
        <w:lastRenderedPageBreak/>
        <w:t>Table S4 Model fitness indices for the KAP structural equation model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092"/>
        <w:gridCol w:w="5047"/>
        <w:gridCol w:w="3819"/>
      </w:tblGrid>
      <w:tr w:rsidR="00E417C3" w:rsidRPr="00DD06D4" w14:paraId="478FDD25" w14:textId="77777777">
        <w:trPr>
          <w:trHeight w:val="357"/>
        </w:trPr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40DC2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 xml:space="preserve">Goodness-of-Fit Indices 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0AA56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 xml:space="preserve">Ideal standards 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37D70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Measurement value</w:t>
            </w:r>
          </w:p>
        </w:tc>
      </w:tr>
      <w:tr w:rsidR="00E417C3" w:rsidRPr="00DD06D4" w14:paraId="570E0752" w14:textId="77777777">
        <w:trPr>
          <w:trHeight w:val="64"/>
        </w:trPr>
        <w:tc>
          <w:tcPr>
            <w:tcW w:w="18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3BBC4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CMIN/DF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73A8C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1-3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DFFE0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1.533</w:t>
            </w:r>
          </w:p>
        </w:tc>
      </w:tr>
      <w:tr w:rsidR="00E417C3" w:rsidRPr="00DD06D4" w14:paraId="0318A4A8" w14:textId="77777777">
        <w:trPr>
          <w:trHeight w:val="240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</w:tcPr>
          <w:p w14:paraId="503BB18D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RMSEA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</w:tcPr>
          <w:p w14:paraId="1D17431E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&lt;0.08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</w:tcPr>
          <w:p w14:paraId="2076A806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0.034</w:t>
            </w:r>
          </w:p>
        </w:tc>
      </w:tr>
      <w:tr w:rsidR="00E417C3" w:rsidRPr="00DD06D4" w14:paraId="660EFFE9" w14:textId="77777777">
        <w:trPr>
          <w:trHeight w:val="269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</w:tcPr>
          <w:p w14:paraId="63717687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IFI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</w:tcPr>
          <w:p w14:paraId="12DD0D69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&gt;0.8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</w:tcPr>
          <w:p w14:paraId="455842FF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0.948</w:t>
            </w:r>
          </w:p>
        </w:tc>
      </w:tr>
      <w:tr w:rsidR="00E417C3" w:rsidRPr="00DD06D4" w14:paraId="557C5345" w14:textId="77777777">
        <w:trPr>
          <w:trHeight w:val="287"/>
        </w:trPr>
        <w:tc>
          <w:tcPr>
            <w:tcW w:w="1824" w:type="pct"/>
            <w:tcBorders>
              <w:top w:val="nil"/>
              <w:left w:val="nil"/>
              <w:bottom w:val="nil"/>
              <w:right w:val="nil"/>
            </w:tcBorders>
          </w:tcPr>
          <w:p w14:paraId="687C6E3A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TLI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</w:tcPr>
          <w:p w14:paraId="089D8615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&gt;0.8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</w:tcPr>
          <w:p w14:paraId="1E2D9365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0.902</w:t>
            </w:r>
          </w:p>
        </w:tc>
      </w:tr>
      <w:tr w:rsidR="00E417C3" w:rsidRPr="00DD06D4" w14:paraId="4D96B9A8" w14:textId="77777777">
        <w:trPr>
          <w:trHeight w:val="272"/>
        </w:trPr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36625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25862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&gt;0.8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57141" w14:textId="77777777" w:rsidR="00E417C3" w:rsidRPr="00DD06D4" w:rsidRDefault="009A1ABD">
            <w:pPr>
              <w:spacing w:line="480" w:lineRule="auto"/>
              <w:rPr>
                <w:color w:val="000000"/>
                <w:kern w:val="0"/>
                <w:sz w:val="24"/>
                <w:szCs w:val="24"/>
              </w:rPr>
            </w:pPr>
            <w:r w:rsidRPr="00DD06D4">
              <w:rPr>
                <w:color w:val="000000"/>
                <w:kern w:val="0"/>
                <w:sz w:val="24"/>
                <w:szCs w:val="24"/>
              </w:rPr>
              <w:t>0.944</w:t>
            </w:r>
          </w:p>
        </w:tc>
      </w:tr>
    </w:tbl>
    <w:p w14:paraId="2A5D4337" w14:textId="77777777" w:rsidR="00E417C3" w:rsidRPr="00DD06D4" w:rsidRDefault="009A1ABD" w:rsidP="009A1ABD">
      <w:pPr>
        <w:spacing w:line="480" w:lineRule="auto"/>
        <w:rPr>
          <w:rFonts w:cs="Times New Roman"/>
          <w:color w:val="000000"/>
          <w:sz w:val="24"/>
          <w:szCs w:val="24"/>
        </w:rPr>
      </w:pPr>
      <w:r w:rsidRPr="00DD06D4">
        <w:rPr>
          <w:rFonts w:cs="Times New Roman"/>
          <w:color w:val="000000"/>
          <w:sz w:val="24"/>
          <w:szCs w:val="24"/>
        </w:rPr>
        <w:t>CMIN/DF, Chi-square fit statistics/degree of freedom; RMSEA, root mean square error of approximation; IFI, incremental fix index; TLI, Tucker-Lewis index; CFI, comparative fix index.</w:t>
      </w:r>
    </w:p>
    <w:sectPr w:rsidR="00E417C3" w:rsidRPr="00DD06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4B05" w14:textId="77777777" w:rsidR="00DD06D4" w:rsidRDefault="00DD06D4" w:rsidP="00DD06D4">
      <w:r>
        <w:separator/>
      </w:r>
    </w:p>
  </w:endnote>
  <w:endnote w:type="continuationSeparator" w:id="0">
    <w:p w14:paraId="66523E03" w14:textId="77777777" w:rsidR="00DD06D4" w:rsidRDefault="00DD06D4" w:rsidP="00DD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roman"/>
    <w:pitch w:val="default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F7" w14:textId="2F711172" w:rsidR="00DD06D4" w:rsidRDefault="00DD06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B70015" wp14:editId="515E61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4233338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0C4A2" w14:textId="35943406" w:rsidR="00DD06D4" w:rsidRPr="00DD06D4" w:rsidRDefault="00DD06D4" w:rsidP="00DD06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D06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700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050C4A2" w14:textId="35943406" w:rsidR="00DD06D4" w:rsidRPr="00DD06D4" w:rsidRDefault="00DD06D4" w:rsidP="00DD06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D06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0A02" w14:textId="5637F153" w:rsidR="00DD06D4" w:rsidRDefault="00DD06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31D977" wp14:editId="1BDEBE8C">
              <wp:simplePos x="914400" y="679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0038263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D3540" w14:textId="0B00E040" w:rsidR="00DD06D4" w:rsidRPr="00DD06D4" w:rsidRDefault="00DD06D4" w:rsidP="00DD06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D06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1D9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64D3540" w14:textId="0B00E040" w:rsidR="00DD06D4" w:rsidRPr="00DD06D4" w:rsidRDefault="00DD06D4" w:rsidP="00DD06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D06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7EB0" w14:textId="31C9C499" w:rsidR="00DD06D4" w:rsidRDefault="00DD06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87ECD0" wp14:editId="0C1421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0003306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46D2C" w14:textId="607CF8EA" w:rsidR="00DD06D4" w:rsidRPr="00DD06D4" w:rsidRDefault="00DD06D4" w:rsidP="00DD06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D06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7E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0246D2C" w14:textId="607CF8EA" w:rsidR="00DD06D4" w:rsidRPr="00DD06D4" w:rsidRDefault="00DD06D4" w:rsidP="00DD06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D06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C2F9" w14:textId="77777777" w:rsidR="00DD06D4" w:rsidRDefault="00DD06D4" w:rsidP="00DD06D4">
      <w:r>
        <w:separator/>
      </w:r>
    </w:p>
  </w:footnote>
  <w:footnote w:type="continuationSeparator" w:id="0">
    <w:p w14:paraId="740A10FD" w14:textId="77777777" w:rsidR="00DD06D4" w:rsidRDefault="00DD06D4" w:rsidP="00DD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A4"/>
    <w:rsid w:val="00133C52"/>
    <w:rsid w:val="003E34A4"/>
    <w:rsid w:val="00430CCD"/>
    <w:rsid w:val="00644684"/>
    <w:rsid w:val="009A1ABD"/>
    <w:rsid w:val="00BA1EE0"/>
    <w:rsid w:val="00C06BAB"/>
    <w:rsid w:val="00DD06D4"/>
    <w:rsid w:val="00E40A96"/>
    <w:rsid w:val="00E417C3"/>
    <w:rsid w:val="39FFEB60"/>
    <w:rsid w:val="476B042C"/>
    <w:rsid w:val="7B7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52D4"/>
  <w15:docId w15:val="{C05E1315-A29E-4EE0-9756-CDC00D4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SimSun" w:hAnsi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11">
    <w:name w:val="列出段落11"/>
    <w:basedOn w:val="Normal"/>
    <w:uiPriority w:val="34"/>
    <w:qFormat/>
    <w:pPr>
      <w:widowControl w:val="0"/>
      <w:ind w:firstLineChars="200" w:firstLine="420"/>
    </w:pPr>
    <w:rPr>
      <w:rFonts w:ascii="Calibri" w:hAnsi="Calibri" w:cs="SimHei"/>
    </w:rPr>
  </w:style>
  <w:style w:type="table" w:customStyle="1" w:styleId="1">
    <w:name w:val="网格型1"/>
    <w:basedOn w:val="TableNormal"/>
    <w:qFormat/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DefaultParagraphFont"/>
    <w:qFormat/>
    <w:rPr>
      <w:rFonts w:ascii="Times New Roman Regular" w:eastAsia="Times New Roman Regular" w:hAnsi="Times New Roman Regular" w:cs="Times New Roman Regular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Spence, Oliver</cp:lastModifiedBy>
  <cp:revision>2</cp:revision>
  <dcterms:created xsi:type="dcterms:W3CDTF">2024-01-16T00:44:00Z</dcterms:created>
  <dcterms:modified xsi:type="dcterms:W3CDTF">2024-01-16T00:44:00Z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3331E4C6B493AD385C299665D9389571_42</vt:lpwstr>
  </property>
  <property fmtid="{D5CDD505-2E9C-101B-9397-08002B2CF9AE}" pid="4" name="ClassificationContentMarkingFooterShapeIds">
    <vt:lpwstr>23c3c72a,55f842c8,5f63e6a8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2024-01-16T00:44:14Z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7d7fca3c-7591-49ca-ad84-8b2109be15a4</vt:lpwstr>
  </property>
  <property fmtid="{D5CDD505-2E9C-101B-9397-08002B2CF9AE}" pid="13" name="MSIP_Label_2bbab825-a111-45e4-86a1-18cee0005896_ContentBits">
    <vt:lpwstr>2</vt:lpwstr>
  </property>
</Properties>
</file>