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bookmarkStart w:id="0" w:name="_GoBack"/>
      <w:bookmarkEnd w:id="0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targeted multi-crystalline manganese oxide as tumor-selective nano-sized MRI contrast agent for early and accurate diagnosis of tumors</w:t>
      </w:r>
    </w:p>
    <w:p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Gongxin Yang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>
        <w:rPr>
          <w:rFonts w:ascii="Times New Roman" w:hAnsi="Times New Roman" w:eastAsia="宋体" w:cs="Times New Roman"/>
          <w:color w:val="000000"/>
          <w:sz w:val="32"/>
          <w:szCs w:val="32"/>
          <w:vertAlign w:val="superscript"/>
        </w:rPr>
        <w:t>#</w:t>
      </w:r>
      <w:r>
        <w:rPr>
          <w:rFonts w:ascii="Times New Roman" w:hAnsi="Times New Roman" w:cs="Times New Roman"/>
          <w:color w:val="000000"/>
          <w:sz w:val="24"/>
          <w:szCs w:val="24"/>
        </w:rPr>
        <w:t>, Jikai Xia</w:t>
      </w:r>
      <w:r>
        <w:rPr>
          <w:rFonts w:hint="eastAsia"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hAnsi="Times New Roman" w:eastAsia="宋体" w:cs="Times New Roman"/>
          <w:color w:val="000000"/>
          <w:sz w:val="32"/>
          <w:szCs w:val="32"/>
          <w:vertAlign w:val="superscript"/>
        </w:rPr>
        <w:t>#</w:t>
      </w:r>
      <w:r>
        <w:rPr>
          <w:rFonts w:ascii="Times New Roman" w:hAnsi="Times New Roman" w:cs="Times New Roman"/>
          <w:color w:val="000000"/>
          <w:sz w:val="24"/>
          <w:szCs w:val="24"/>
        </w:rPr>
        <w:t>, Xiaoqing Dai</w:t>
      </w:r>
      <w:r>
        <w:rPr>
          <w:rFonts w:hint="eastAsia"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>
        <w:rPr>
          <w:rFonts w:ascii="Times New Roman" w:hAnsi="Times New Roman" w:eastAsia="宋体" w:cs="Times New Roman"/>
          <w:color w:val="000000"/>
          <w:sz w:val="32"/>
          <w:szCs w:val="32"/>
          <w:vertAlign w:val="superscript"/>
        </w:rPr>
        <w:t>#</w:t>
      </w:r>
      <w:r>
        <w:rPr>
          <w:rFonts w:ascii="Times New Roman" w:hAnsi="Times New Roman" w:cs="Times New Roman"/>
          <w:color w:val="000000"/>
          <w:sz w:val="24"/>
          <w:szCs w:val="24"/>
        </w:rPr>
        <w:t>, Hongbo Zhao</w:t>
      </w:r>
      <w:r>
        <w:rPr>
          <w:rFonts w:hint="eastAsia"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>, Weiqing Gao</w:t>
      </w:r>
      <w:r>
        <w:rPr>
          <w:rFonts w:hint="eastAsia"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>, Weilong Ding</w:t>
      </w:r>
      <w:r>
        <w:rPr>
          <w:rFonts w:hint="eastAsia"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>, Xiaofeng Tao</w:t>
      </w:r>
      <w:r>
        <w:rPr>
          <w:rFonts w:hint="eastAsia"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>*, Ling Zhu</w:t>
      </w:r>
      <w:r>
        <w:rPr>
          <w:rFonts w:hint="eastAsia"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>*</w:t>
      </w:r>
    </w:p>
    <w:p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spacing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hint="eastAsia"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Department of Radiology, Shanghai Ninth People’s Hospital, Shanghai Jiao Tong University, School of Medicine, Shanghai 200001, P.R. China</w:t>
      </w:r>
    </w:p>
    <w:p>
      <w:pPr>
        <w:spacing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hint="eastAsia"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Department of Radiology, Yantai Affiliated Hospital of Binzhou Medical University, Yantai 264100, Shandong, China</w:t>
      </w:r>
    </w:p>
    <w:p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宋体" w:cs="Times New Roman"/>
          <w:color w:val="000000"/>
          <w:sz w:val="32"/>
          <w:szCs w:val="32"/>
          <w:vertAlign w:val="superscript"/>
        </w:rPr>
        <w:t>#</w:t>
      </w:r>
      <w:r>
        <w:rPr>
          <w:rFonts w:hint="eastAsia" w:ascii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These authors have contributed equally to this work.</w:t>
      </w:r>
    </w:p>
    <w:p>
      <w:r>
        <w:rPr>
          <w:rFonts w:ascii="Times New Roman" w:hAnsi="Times New Roman" w:cs="Times New Roman"/>
          <w:color w:val="000000"/>
          <w:sz w:val="24"/>
          <w:szCs w:val="24"/>
        </w:rPr>
        <w:t xml:space="preserve">*Correspondence: </w:t>
      </w:r>
      <w:r>
        <w:rPr>
          <w:rFonts w:hint="eastAsia" w:ascii="Times New Roman" w:hAnsi="Times New Roman" w:cs="Times New Roman"/>
          <w:color w:val="000000"/>
          <w:sz w:val="24"/>
          <w:szCs w:val="24"/>
        </w:rPr>
        <w:t>Xiaofeng Tao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hint="eastAsia" w:ascii="Times New Roman" w:hAnsi="Times New Roman" w:cs="Times New Roman"/>
          <w:color w:val="000000"/>
          <w:sz w:val="24"/>
          <w:szCs w:val="24"/>
        </w:rPr>
        <w:t xml:space="preserve">Ling Zhu </w:t>
      </w:r>
      <w:r>
        <w:rPr>
          <w:rFonts w:ascii="Times New Roman" w:hAnsi="Times New Roman" w:cs="Times New Roman"/>
          <w:color w:val="000000"/>
          <w:sz w:val="24"/>
          <w:szCs w:val="24"/>
        </w:rPr>
        <w:t>Department of Radiology, Shanghai Ninth People’s Hospital, Shanghai Jiao Tong University, School of Medicine, Shanghai 200001, P.R. China, E</w:t>
      </w:r>
      <w:r>
        <w:rPr>
          <w:rFonts w:hint="eastAsia"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mail</w:t>
      </w:r>
      <w:r>
        <w:rPr>
          <w:rFonts w:hint="eastAsia"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fldChar w:fldCharType="begin"/>
      </w:r>
      <w:r>
        <w:instrText xml:space="preserve"> HYPERLINK "mailto:cjr.taoxiaofeng@vip.163.com" </w:instrText>
      </w:r>
      <w:r>
        <w:fldChar w:fldCharType="separate"/>
      </w:r>
      <w:r>
        <w:rPr>
          <w:rFonts w:ascii="Times New Roman" w:hAnsi="Times New Roman" w:cs="Times New Roman"/>
          <w:color w:val="000000"/>
          <w:sz w:val="24"/>
          <w:szCs w:val="24"/>
        </w:rPr>
        <w:t>cjr.taoxiaofeng@vip.163.com</w:t>
      </w:r>
      <w:r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>
        <w:rPr>
          <w:rFonts w:hint="eastAsia"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r>
        <w:fldChar w:fldCharType="begin"/>
      </w:r>
      <w:r>
        <w:instrText xml:space="preserve"> HYPERLINK "mailto:zhuling011@126.com" </w:instrText>
      </w:r>
      <w:r>
        <w:fldChar w:fldCharType="separate"/>
      </w:r>
      <w:r>
        <w:rPr>
          <w:rStyle w:val="5"/>
          <w:rFonts w:hint="eastAsia" w:ascii="Times New Roman" w:hAnsi="Times New Roman" w:cs="Times New Roman"/>
          <w:color w:val="000000"/>
          <w:sz w:val="24"/>
          <w:szCs w:val="24"/>
          <w:u w:val="none"/>
        </w:rPr>
        <w:t>zhuling011</w:t>
      </w:r>
      <w:r>
        <w:rPr>
          <w:rStyle w:val="5"/>
          <w:rFonts w:ascii="Times New Roman" w:hAnsi="Times New Roman" w:cs="Times New Roman"/>
          <w:color w:val="000000"/>
          <w:sz w:val="24"/>
          <w:szCs w:val="24"/>
          <w:u w:val="none"/>
        </w:rPr>
        <w:t>@126.com</w:t>
      </w:r>
      <w:r>
        <w:rPr>
          <w:rStyle w:val="5"/>
          <w:rFonts w:ascii="Times New Roman" w:hAnsi="Times New Roman" w:cs="Times New Roman"/>
          <w:color w:val="000000"/>
          <w:sz w:val="24"/>
          <w:szCs w:val="24"/>
          <w:u w:val="none"/>
        </w:rPr>
        <w:fldChar w:fldCharType="end"/>
      </w:r>
      <w:r>
        <w:br w:type="page"/>
      </w:r>
    </w:p>
    <w:p>
      <w:pPr>
        <w:spacing w:line="360" w:lineRule="auto"/>
        <w:jc w:val="left"/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271770" cy="3217545"/>
            <wp:effectExtent l="0" t="0" r="11430" b="8255"/>
            <wp:docPr id="3" name="图片 3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Figure S1.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CLSM observation for mitochondrial membrane potential (MMP) change of PC-3 cells treated with different concentrations of iRGD-pMCMO.</w:t>
      </w:r>
    </w:p>
    <w:p>
      <w:pPr>
        <w:spacing w:line="360" w:lineRule="auto"/>
        <w:jc w:val="both"/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</w:pPr>
    </w:p>
    <w:p>
      <w:pPr>
        <w:spacing w:line="360" w:lineRule="auto"/>
        <w:jc w:val="both"/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</w:pPr>
    </w:p>
    <w:p>
      <w:pPr>
        <w:spacing w:line="360" w:lineRule="auto"/>
        <w:jc w:val="both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drawing>
          <wp:inline distT="0" distB="0" distL="114300" distR="114300">
            <wp:extent cx="4395470" cy="2849880"/>
            <wp:effectExtent l="0" t="0" r="11430" b="7620"/>
            <wp:docPr id="1" name="图片 1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9547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br w:type="textWrapping"/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Figure S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.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Brightness-darkness MRI images of iRGD-pMCMO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at different pH conditions without and with GSH.</w:t>
      </w:r>
    </w:p>
    <w:p>
      <w:pPr>
        <w:spacing w:line="360" w:lineRule="auto"/>
        <w:jc w:val="both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spacing w:line="360" w:lineRule="auto"/>
        <w:jc w:val="both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br w:type="page"/>
      </w:r>
    </w:p>
    <w:p>
      <w:pPr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Table S1.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The acute toxicity of iRGD-pMCMO at different injection dosages. (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sz w:val="24"/>
          <w:szCs w:val="24"/>
          <w:lang w:val="en-US" w:eastAsia="zh-CN"/>
        </w:rPr>
        <w:t>The SD rats i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4"/>
          <w:szCs w:val="24"/>
        </w:rPr>
        <w:t>nclud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sz w:val="24"/>
          <w:szCs w:val="24"/>
          <w:lang w:val="en-US" w:eastAsia="zh-CN"/>
        </w:rPr>
        <w:t>ed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4"/>
          <w:szCs w:val="24"/>
        </w:rPr>
        <w:t xml:space="preserve"> 5 male rats and 5 female rats.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)</w:t>
      </w:r>
    </w:p>
    <w:p>
      <w:pPr>
        <w:spacing w:line="360" w:lineRule="auto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189855" cy="2315210"/>
            <wp:effectExtent l="0" t="0" r="4445" b="8890"/>
            <wp:docPr id="2" name="图片 2" descr="Tabl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Tabl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AwZjI1NzQwZmM5NGNiMmI4ZjUxYmQ5MDM0YTIzMDkifQ=="/>
  </w:docVars>
  <w:rsids>
    <w:rsidRoot w:val="00000000"/>
    <w:rsid w:val="05CC6F37"/>
    <w:rsid w:val="206A0F2A"/>
    <w:rsid w:val="4CFA6149"/>
    <w:rsid w:val="60BF3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99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iPriority="99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  <w:rPr>
      <w:sz w:val="20"/>
      <w:szCs w:val="20"/>
    </w:rPr>
  </w:style>
  <w:style w:type="character" w:styleId="5">
    <w:name w:val="Hyperlink"/>
    <w:basedOn w:val="4"/>
    <w:autoRedefine/>
    <w:semiHidden/>
    <w:unhideWhenUsed/>
    <w:qFormat/>
    <w:uiPriority w:val="99"/>
    <w:rPr>
      <w:color w:val="0000FF"/>
      <w:u w:val="single"/>
    </w:rPr>
  </w:style>
  <w:style w:type="character" w:styleId="6">
    <w:name w:val="annotation reference"/>
    <w:basedOn w:val="4"/>
    <w:unhideWhenUsed/>
    <w:qFormat/>
    <w:uiPriority w:val="99"/>
    <w:rPr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2023-12-10T03:22:00Z</dcterms:created>
  <dc:creator>111</dc:creator>
  <cp:lastModifiedBy>合肥中科院~张桂龙</cp:lastModifiedBy>
  <dcterms:modified xsi:type="dcterms:W3CDTF">2023-12-19T09:52:44Z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2210F985FA12498AA2D1C74779F1AB86_12</vt:lpwstr>
  </property>
</Properties>
</file>