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E6B9" w14:textId="7A6BEA05" w:rsidR="0074065F" w:rsidRPr="00060816" w:rsidRDefault="00824695" w:rsidP="0074065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60816">
        <w:rPr>
          <w:rFonts w:ascii="Times New Roman" w:hAnsi="Times New Roman" w:cs="Times New Roman"/>
          <w:b/>
          <w:bCs/>
          <w:sz w:val="28"/>
          <w:szCs w:val="28"/>
        </w:rPr>
        <w:t>Supplementary file</w:t>
      </w:r>
      <w:r w:rsidR="00710925" w:rsidRPr="00060816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="0074065F" w:rsidRPr="00060816">
        <w:rPr>
          <w:rFonts w:ascii="Times New Roman" w:hAnsi="Times New Roman" w:cs="Times New Roman"/>
          <w:b/>
          <w:bCs/>
          <w:sz w:val="28"/>
          <w:szCs w:val="28"/>
        </w:rPr>
        <w:t xml:space="preserve">Extracellular vesicles </w:t>
      </w:r>
      <w:r w:rsidR="0074065F" w:rsidRPr="00060816">
        <w:rPr>
          <w:rFonts w:ascii="Times New Roman" w:hAnsi="Times New Roman" w:cs="Times New Roman"/>
          <w:b/>
          <w:sz w:val="28"/>
          <w:szCs w:val="28"/>
        </w:rPr>
        <w:t>maintain blood-brain barrier integrity by the suppression</w:t>
      </w:r>
      <w:r w:rsidR="0074065F" w:rsidRPr="00060816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="0074065F" w:rsidRPr="00060816">
        <w:rPr>
          <w:rFonts w:ascii="Times New Roman" w:hAnsi="Times New Roman" w:cs="Times New Roman"/>
          <w:b/>
          <w:sz w:val="28"/>
          <w:szCs w:val="28"/>
        </w:rPr>
        <w:t>Caveolin-1/CD147/VEGFR2/MMP pathway after ischemic stroke</w:t>
      </w:r>
    </w:p>
    <w:p w14:paraId="752857EC" w14:textId="49A6FA62" w:rsidR="00710925" w:rsidRPr="00060816" w:rsidRDefault="00710925" w:rsidP="00710925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0CB64FBE" w14:textId="77777777" w:rsidR="00801910" w:rsidRPr="00060816" w:rsidRDefault="00801910" w:rsidP="00710925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51A43A0" w14:textId="048861B6" w:rsidR="00801910" w:rsidRPr="00060816" w:rsidRDefault="00801910" w:rsidP="00710925">
      <w:pPr>
        <w:spacing w:line="480" w:lineRule="auto"/>
        <w:rPr>
          <w:rFonts w:ascii="Times New Roman" w:eastAsia="DengXian" w:hAnsi="Times New Roman" w:cs="Times New Roman"/>
          <w:b/>
          <w:bCs/>
          <w:noProof/>
          <w:sz w:val="24"/>
          <w:szCs w:val="24"/>
          <w:shd w:val="clear" w:color="auto" w:fill="FFFFFF"/>
        </w:rPr>
      </w:pPr>
      <w:r w:rsidRPr="00060816">
        <w:rPr>
          <w:rFonts w:ascii="Times New Roman" w:eastAsia="DengXian" w:hAnsi="Times New Roman" w:cs="Times New Roman" w:hint="eastAsia"/>
          <w:b/>
          <w:bCs/>
          <w:noProof/>
          <w:sz w:val="24"/>
          <w:szCs w:val="24"/>
          <w:shd w:val="clear" w:color="auto" w:fill="FFFFFF"/>
        </w:rPr>
        <w:t>N</w:t>
      </w:r>
      <w:r w:rsidRPr="00060816">
        <w:rPr>
          <w:rFonts w:ascii="Times New Roman" w:eastAsia="DengXian" w:hAnsi="Times New Roman" w:cs="Times New Roman"/>
          <w:b/>
          <w:bCs/>
          <w:noProof/>
          <w:sz w:val="24"/>
          <w:szCs w:val="24"/>
          <w:shd w:val="clear" w:color="auto" w:fill="FFFFFF"/>
        </w:rPr>
        <w:t>eurological Function scores</w:t>
      </w:r>
    </w:p>
    <w:p w14:paraId="3629102F" w14:textId="77777777" w:rsidR="00B90D84" w:rsidRPr="00060816" w:rsidRDefault="00801910" w:rsidP="00801910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 xml:space="preserve">For Longa score, the score crietia is as follows: 0 = no neurological deflict; 1= unable to fully extend unilateral </w:t>
      </w:r>
      <w:r w:rsidRPr="00060816">
        <w:rPr>
          <w:rFonts w:ascii="Georgia" w:hAnsi="Georgia"/>
        </w:rPr>
        <w:t xml:space="preserve">fore paw; </w:t>
      </w:r>
      <w:r w:rsidRPr="00060816">
        <w:rPr>
          <w:bCs/>
          <w:szCs w:val="24"/>
        </w:rPr>
        <w:t>2= circling toward paralyzed side while walking; 3=</w:t>
      </w:r>
      <w:r w:rsidRPr="00060816">
        <w:t xml:space="preserve"> </w:t>
      </w:r>
      <w:r w:rsidRPr="00060816">
        <w:rPr>
          <w:bCs/>
          <w:szCs w:val="24"/>
        </w:rPr>
        <w:t>falling to the paralyzed side while walking; 4=</w:t>
      </w:r>
      <w:r w:rsidRPr="00060816">
        <w:t xml:space="preserve"> </w:t>
      </w:r>
      <w:r w:rsidRPr="00060816">
        <w:rPr>
          <w:bCs/>
          <w:szCs w:val="24"/>
        </w:rPr>
        <w:t xml:space="preserve">unable to walk independently; 5= Death. </w:t>
      </w:r>
    </w:p>
    <w:p w14:paraId="475D4B68" w14:textId="207B52ED" w:rsidR="00801910" w:rsidRPr="00060816" w:rsidRDefault="00801910" w:rsidP="00801910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For mNSS score, the score crietia is as follows:</w:t>
      </w:r>
    </w:p>
    <w:p w14:paraId="61229D76" w14:textId="77777777" w:rsidR="00801910" w:rsidRPr="00060816" w:rsidRDefault="00801910" w:rsidP="00801910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Motor tests (normal: 0; maximum: 3):</w:t>
      </w:r>
    </w:p>
    <w:p w14:paraId="07FF990E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Tail raising</w:t>
      </w:r>
    </w:p>
    <w:p w14:paraId="739F51C0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1: Flexion of fore paw</w:t>
      </w:r>
    </w:p>
    <w:p w14:paraId="42101E46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1: Flexion of hind paw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7F663014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1: Head position alteration &gt;10° to vertical axis in 30 s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0E4F6881" w14:textId="77777777" w:rsidR="00801910" w:rsidRPr="00060816" w:rsidRDefault="00801910" w:rsidP="00801910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 xml:space="preserve">Walking tests </w:t>
      </w:r>
      <w:bookmarkStart w:id="0" w:name="_Hlk99038728"/>
      <w:r w:rsidRPr="00060816">
        <w:rPr>
          <w:rFonts w:ascii="Times New Roman" w:hAnsi="Times New Roman" w:cs="Times New Roman"/>
          <w:sz w:val="24"/>
          <w:szCs w:val="24"/>
        </w:rPr>
        <w:t>(normal: 0; maximum: 3)</w:t>
      </w:r>
      <w:bookmarkEnd w:id="0"/>
    </w:p>
    <w:p w14:paraId="1768CC72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0: Normal walk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2A77F201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1: Unable to straight walk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568BD9DE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2: Side circling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4E31FAC1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3: Side fall down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6E6DA789" w14:textId="77777777" w:rsidR="00801910" w:rsidRPr="00060816" w:rsidRDefault="00801910" w:rsidP="00801910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Sensory tests</w:t>
      </w:r>
      <w:r w:rsidRPr="00060816">
        <w:rPr>
          <w:rFonts w:ascii="Times New Roman" w:hAnsi="Times New Roman" w:cs="Times New Roman"/>
          <w:sz w:val="24"/>
          <w:szCs w:val="24"/>
        </w:rPr>
        <w:tab/>
        <w:t>(normal: 0; maximum: 2)</w:t>
      </w:r>
    </w:p>
    <w:p w14:paraId="7FC12269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lastRenderedPageBreak/>
        <w:t>1: Placing test (visual and tactile)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2F5208DC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2: Proprioceptive test (deep sensation, pushing the paw against the table edge to stimulate limb muscles)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792ABD5B" w14:textId="77777777" w:rsidR="00801910" w:rsidRPr="00060816" w:rsidRDefault="00801910" w:rsidP="00801910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Beam balance tests (normal: 0; maximum: 6)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77AF394D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0: Balances with steady posture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183638E2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1: Grasps side of beam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7330FDF4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2: Hugs the beam and one limb falls down from the beam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398B8143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3: Hugs the beam and two limbs fall down from the beam, or spins on beam (&gt;60 s)</w:t>
      </w:r>
    </w:p>
    <w:p w14:paraId="37EAB87D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4: Attempts to balance on the beam but falls off (&gt;40 s)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42B46262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5: Attempts to balance on the beam but falls off (&gt;20 s)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1D2F34AD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6: Falls off: No attempt to balance or hang on to the beam (&lt;20 s)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370499FB" w14:textId="77777777" w:rsidR="00801910" w:rsidRPr="00060816" w:rsidRDefault="00801910" w:rsidP="00801910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Reflexes absent and abnormal movements (normal: 0; maximum: 4)</w:t>
      </w:r>
    </w:p>
    <w:p w14:paraId="4693F073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1: Pinna reflex (head shake when touching the auditory meatus)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347C4372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1: Corneal reflex (eye blink when lightly touching the cornea with cotton)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1E3433D3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1: Startle reflex (motor response to a brief noise from snapping a clipboard paper)</w:t>
      </w:r>
    </w:p>
    <w:p w14:paraId="53B4DD19" w14:textId="77777777" w:rsidR="00801910" w:rsidRPr="00060816" w:rsidRDefault="00801910" w:rsidP="0080191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60816">
        <w:rPr>
          <w:rFonts w:ascii="Times New Roman" w:hAnsi="Times New Roman" w:cs="Times New Roman"/>
          <w:sz w:val="24"/>
          <w:szCs w:val="24"/>
        </w:rPr>
        <w:t>1: Seizures, myoclonus, myodystonia</w:t>
      </w:r>
      <w:r w:rsidRPr="00060816">
        <w:rPr>
          <w:rFonts w:ascii="Times New Roman" w:hAnsi="Times New Roman" w:cs="Times New Roman"/>
          <w:sz w:val="24"/>
          <w:szCs w:val="24"/>
        </w:rPr>
        <w:tab/>
      </w:r>
    </w:p>
    <w:p w14:paraId="5C92F1CE" w14:textId="77777777" w:rsidR="00801910" w:rsidRPr="00060816" w:rsidRDefault="00801910" w:rsidP="00801910">
      <w:pPr>
        <w:pStyle w:val="EndNoteBibliography"/>
        <w:spacing w:line="480" w:lineRule="auto"/>
        <w:rPr>
          <w:szCs w:val="24"/>
        </w:rPr>
      </w:pPr>
      <w:r w:rsidRPr="00060816">
        <w:rPr>
          <w:szCs w:val="24"/>
        </w:rPr>
        <w:t>Maximum points: 18</w:t>
      </w:r>
    </w:p>
    <w:p w14:paraId="6D26EB11" w14:textId="77777777" w:rsidR="00813062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</w:p>
    <w:p w14:paraId="1BBC1D59" w14:textId="3A870303" w:rsidR="00B871D0" w:rsidRPr="00060816" w:rsidRDefault="00813062" w:rsidP="00813062">
      <w:pPr>
        <w:pStyle w:val="EndNoteBibliography"/>
        <w:spacing w:line="480" w:lineRule="auto"/>
        <w:rPr>
          <w:b/>
          <w:bCs/>
          <w:szCs w:val="24"/>
          <w:shd w:val="clear" w:color="auto" w:fill="FFFFFF"/>
        </w:rPr>
      </w:pPr>
      <w:r w:rsidRPr="00060816">
        <w:rPr>
          <w:b/>
          <w:bCs/>
          <w:szCs w:val="24"/>
          <w:shd w:val="clear" w:color="auto" w:fill="FFFFFF"/>
        </w:rPr>
        <w:t xml:space="preserve">The primary and secondary antibodies used in this </w:t>
      </w:r>
      <w:r w:rsidR="009E56F6" w:rsidRPr="00060816">
        <w:rPr>
          <w:b/>
          <w:bCs/>
          <w:szCs w:val="24"/>
          <w:shd w:val="clear" w:color="auto" w:fill="FFFFFF"/>
        </w:rPr>
        <w:t>study</w:t>
      </w:r>
      <w:r w:rsidRPr="00060816">
        <w:rPr>
          <w:b/>
          <w:bCs/>
          <w:szCs w:val="24"/>
          <w:shd w:val="clear" w:color="auto" w:fill="FFFFFF"/>
        </w:rPr>
        <w:t>:</w:t>
      </w:r>
    </w:p>
    <w:p w14:paraId="3D4871F8" w14:textId="105093A8" w:rsidR="00C20780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>ZO-1 (1:1000</w:t>
      </w:r>
      <w:r w:rsidR="00C20780" w:rsidRPr="00060816">
        <w:rPr>
          <w:szCs w:val="24"/>
          <w:shd w:val="clear" w:color="auto" w:fill="FFFFFF"/>
        </w:rPr>
        <w:t xml:space="preserve"> for western blotting, and 1:200 for immunofluorescence</w:t>
      </w:r>
      <w:r w:rsidRPr="00060816">
        <w:rPr>
          <w:szCs w:val="24"/>
          <w:shd w:val="clear" w:color="auto" w:fill="FFFFFF"/>
        </w:rPr>
        <w:t>, 61–7300, Invitrogen);</w:t>
      </w:r>
    </w:p>
    <w:p w14:paraId="20B04BB8" w14:textId="78358135" w:rsidR="00B871D0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>Caveolin-1 (1:1000</w:t>
      </w:r>
      <w:r w:rsidR="00C20780" w:rsidRPr="00060816">
        <w:rPr>
          <w:szCs w:val="24"/>
          <w:shd w:val="clear" w:color="auto" w:fill="FFFFFF"/>
        </w:rPr>
        <w:t xml:space="preserve"> for western blotting, and 1:2</w:t>
      </w:r>
      <w:r w:rsidR="00426171" w:rsidRPr="00060816">
        <w:rPr>
          <w:szCs w:val="24"/>
          <w:shd w:val="clear" w:color="auto" w:fill="FFFFFF"/>
        </w:rPr>
        <w:t>5</w:t>
      </w:r>
      <w:r w:rsidR="00C20780" w:rsidRPr="00060816">
        <w:rPr>
          <w:szCs w:val="24"/>
          <w:shd w:val="clear" w:color="auto" w:fill="FFFFFF"/>
        </w:rPr>
        <w:t>0 for immunofluorescence</w:t>
      </w:r>
      <w:r w:rsidRPr="00060816">
        <w:rPr>
          <w:szCs w:val="24"/>
          <w:shd w:val="clear" w:color="auto" w:fill="FFFFFF"/>
        </w:rPr>
        <w:t xml:space="preserve">, ab2910, </w:t>
      </w:r>
      <w:r w:rsidRPr="00060816">
        <w:rPr>
          <w:szCs w:val="24"/>
          <w:shd w:val="clear" w:color="auto" w:fill="FFFFFF"/>
        </w:rPr>
        <w:lastRenderedPageBreak/>
        <w:t xml:space="preserve">Abcam); </w:t>
      </w:r>
    </w:p>
    <w:p w14:paraId="3EB994FB" w14:textId="77777777" w:rsidR="00B871D0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 xml:space="preserve">TSG 101 (1:1000, ab125011, Abcam); CD9 (1:1000, ab92726, Abcam); </w:t>
      </w:r>
    </w:p>
    <w:p w14:paraId="27794D31" w14:textId="77777777" w:rsidR="00B871D0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 xml:space="preserve">CD63 (1:500, ab216130, Abcam); ALIX (1:1000, ab117600, Abcam); </w:t>
      </w:r>
    </w:p>
    <w:p w14:paraId="7AA9836B" w14:textId="0944E0A9" w:rsidR="00B871D0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>CD147 (1:2000</w:t>
      </w:r>
      <w:r w:rsidR="00426171" w:rsidRPr="00060816">
        <w:rPr>
          <w:szCs w:val="24"/>
          <w:shd w:val="clear" w:color="auto" w:fill="FFFFFF"/>
        </w:rPr>
        <w:t xml:space="preserve"> for western blotting, and 1:250 for immunofluorescence</w:t>
      </w:r>
      <w:r w:rsidR="009D0885" w:rsidRPr="00060816">
        <w:rPr>
          <w:szCs w:val="24"/>
          <w:shd w:val="clear" w:color="auto" w:fill="FFFFFF"/>
        </w:rPr>
        <w:t>,</w:t>
      </w:r>
      <w:r w:rsidRPr="00060816">
        <w:rPr>
          <w:szCs w:val="24"/>
          <w:shd w:val="clear" w:color="auto" w:fill="FFFFFF"/>
        </w:rPr>
        <w:t xml:space="preserve"> AF5221, Affinity Biosciences)</w:t>
      </w:r>
      <w:r w:rsidR="00B871D0" w:rsidRPr="00060816">
        <w:rPr>
          <w:szCs w:val="24"/>
          <w:shd w:val="clear" w:color="auto" w:fill="FFFFFF"/>
        </w:rPr>
        <w:t>;</w:t>
      </w:r>
    </w:p>
    <w:p w14:paraId="6CFCB1D8" w14:textId="77777777" w:rsidR="00B871D0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>VEGFA (1:1000, AF5131, Affinity Biosciences)</w:t>
      </w:r>
      <w:r w:rsidR="00B871D0" w:rsidRPr="00060816">
        <w:rPr>
          <w:szCs w:val="24"/>
          <w:shd w:val="clear" w:color="auto" w:fill="FFFFFF"/>
        </w:rPr>
        <w:t>;</w:t>
      </w:r>
    </w:p>
    <w:p w14:paraId="41EA494C" w14:textId="77777777" w:rsidR="009D0885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>VEGFR2 (1:1000</w:t>
      </w:r>
      <w:r w:rsidR="009D0885" w:rsidRPr="00060816">
        <w:rPr>
          <w:szCs w:val="24"/>
          <w:shd w:val="clear" w:color="auto" w:fill="FFFFFF"/>
        </w:rPr>
        <w:t xml:space="preserve"> for western blotting, and 1:200 for immunofluorescence, </w:t>
      </w:r>
      <w:r w:rsidRPr="00060816">
        <w:rPr>
          <w:szCs w:val="24"/>
          <w:shd w:val="clear" w:color="auto" w:fill="FFFFFF"/>
        </w:rPr>
        <w:t>26415-1-AP, Proteintech)</w:t>
      </w:r>
      <w:r w:rsidR="009D0885" w:rsidRPr="00060816">
        <w:rPr>
          <w:szCs w:val="24"/>
          <w:shd w:val="clear" w:color="auto" w:fill="FFFFFF"/>
        </w:rPr>
        <w:t>;</w:t>
      </w:r>
    </w:p>
    <w:p w14:paraId="3DFF497D" w14:textId="77777777" w:rsidR="003E1E3E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>Occludin (1:500</w:t>
      </w:r>
      <w:r w:rsidR="003E1E3E" w:rsidRPr="00060816">
        <w:rPr>
          <w:szCs w:val="24"/>
          <w:shd w:val="clear" w:color="auto" w:fill="FFFFFF"/>
        </w:rPr>
        <w:t xml:space="preserve"> for western blotting, and 1:200 for immunofluorescence</w:t>
      </w:r>
      <w:r w:rsidRPr="00060816">
        <w:rPr>
          <w:szCs w:val="24"/>
          <w:shd w:val="clear" w:color="auto" w:fill="FFFFFF"/>
        </w:rPr>
        <w:t>, 71-1500, Invitrogen)</w:t>
      </w:r>
      <w:r w:rsidR="00B871D0" w:rsidRPr="00060816">
        <w:rPr>
          <w:szCs w:val="24"/>
          <w:shd w:val="clear" w:color="auto" w:fill="FFFFFF"/>
        </w:rPr>
        <w:t>;</w:t>
      </w:r>
    </w:p>
    <w:p w14:paraId="222D0042" w14:textId="05B309D8" w:rsidR="00B871D0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>β-actin (1:5000, ab8227,Abcam);</w:t>
      </w:r>
    </w:p>
    <w:p w14:paraId="18F012B1" w14:textId="336FA923" w:rsidR="00813062" w:rsidRPr="00060816" w:rsidRDefault="00813062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>Goat Anti-Rabbit IgG H&amp;L (HRP) (1:3000, ab6721, Abcam).  </w:t>
      </w:r>
    </w:p>
    <w:p w14:paraId="54A3C0B8" w14:textId="7A10EED0" w:rsidR="00B871D0" w:rsidRPr="00060816" w:rsidRDefault="008A6A16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>Goat Anti-Rabbit IgG H&amp;L (Alexa Fluor® 488) (</w:t>
      </w:r>
      <w:r w:rsidR="0075213E" w:rsidRPr="00060816">
        <w:rPr>
          <w:szCs w:val="24"/>
          <w:shd w:val="clear" w:color="auto" w:fill="FFFFFF"/>
        </w:rPr>
        <w:t>1:500, ab150113</w:t>
      </w:r>
      <w:r w:rsidR="00820E54" w:rsidRPr="00060816">
        <w:rPr>
          <w:szCs w:val="24"/>
          <w:shd w:val="clear" w:color="auto" w:fill="FFFFFF"/>
        </w:rPr>
        <w:t>, Abcam</w:t>
      </w:r>
      <w:r w:rsidRPr="00060816">
        <w:rPr>
          <w:szCs w:val="24"/>
          <w:shd w:val="clear" w:color="auto" w:fill="FFFFFF"/>
        </w:rPr>
        <w:t>)</w:t>
      </w:r>
    </w:p>
    <w:p w14:paraId="71B64E85" w14:textId="0D6DF028" w:rsidR="0075213E" w:rsidRPr="00060816" w:rsidRDefault="002E2163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>Goat Anti-Rabbit IgG H&amp;L (Alexa Fluor® 594) (1:500, ab150080</w:t>
      </w:r>
      <w:r w:rsidR="00820E54" w:rsidRPr="00060816">
        <w:rPr>
          <w:szCs w:val="24"/>
          <w:shd w:val="clear" w:color="auto" w:fill="FFFFFF"/>
        </w:rPr>
        <w:t>, Abcam</w:t>
      </w:r>
      <w:r w:rsidRPr="00060816">
        <w:rPr>
          <w:szCs w:val="24"/>
          <w:shd w:val="clear" w:color="auto" w:fill="FFFFFF"/>
        </w:rPr>
        <w:t>)</w:t>
      </w:r>
    </w:p>
    <w:p w14:paraId="53CFA6CE" w14:textId="036169C3" w:rsidR="002E2163" w:rsidRPr="00060816" w:rsidRDefault="00820E54" w:rsidP="00813062">
      <w:pPr>
        <w:pStyle w:val="EndNoteBibliography"/>
        <w:spacing w:line="480" w:lineRule="auto"/>
        <w:rPr>
          <w:szCs w:val="24"/>
          <w:shd w:val="clear" w:color="auto" w:fill="FFFFFF"/>
        </w:rPr>
      </w:pPr>
      <w:r w:rsidRPr="00060816">
        <w:rPr>
          <w:szCs w:val="24"/>
          <w:shd w:val="clear" w:color="auto" w:fill="FFFFFF"/>
        </w:rPr>
        <w:t xml:space="preserve">Goat Anti-Rabbit IgG H&amp;L (Alexa Fluor® 488) </w:t>
      </w:r>
      <w:r w:rsidR="008B574D" w:rsidRPr="00060816">
        <w:rPr>
          <w:szCs w:val="24"/>
          <w:shd w:val="clear" w:color="auto" w:fill="FFFFFF"/>
        </w:rPr>
        <w:t>(1:500, ab150077, Abcam</w:t>
      </w:r>
      <w:r w:rsidR="008B574D" w:rsidRPr="00060816">
        <w:rPr>
          <w:rFonts w:hint="eastAsia"/>
          <w:szCs w:val="24"/>
          <w:shd w:val="clear" w:color="auto" w:fill="FFFFFF"/>
        </w:rPr>
        <w:t>)</w:t>
      </w:r>
    </w:p>
    <w:p w14:paraId="425D825A" w14:textId="77777777" w:rsidR="007C1A02" w:rsidRPr="00060816" w:rsidRDefault="007C1A02"/>
    <w:p w14:paraId="265A6DCC" w14:textId="77777777" w:rsidR="00A95DA7" w:rsidRPr="00060816" w:rsidRDefault="00A95DA7"/>
    <w:p w14:paraId="1D51F277" w14:textId="7319ECA7" w:rsidR="00A95DA7" w:rsidRPr="00060816" w:rsidRDefault="00A95DA7" w:rsidP="00A95DA7">
      <w:pPr>
        <w:pStyle w:val="EndNoteBibliography"/>
        <w:spacing w:line="480" w:lineRule="auto"/>
        <w:rPr>
          <w:b/>
          <w:bCs/>
          <w:szCs w:val="24"/>
          <w:shd w:val="clear" w:color="auto" w:fill="FFFFFF"/>
        </w:rPr>
      </w:pPr>
      <w:r w:rsidRPr="00060816">
        <w:rPr>
          <w:b/>
          <w:bCs/>
          <w:szCs w:val="24"/>
          <w:shd w:val="clear" w:color="auto" w:fill="FFFFFF"/>
        </w:rPr>
        <w:t>siRNA</w:t>
      </w:r>
      <w:r w:rsidR="00B22420" w:rsidRPr="00060816">
        <w:rPr>
          <w:b/>
          <w:bCs/>
          <w:szCs w:val="24"/>
          <w:shd w:val="clear" w:color="auto" w:fill="FFFFFF"/>
        </w:rPr>
        <w:t>s</w:t>
      </w:r>
      <w:r w:rsidRPr="00060816">
        <w:rPr>
          <w:b/>
          <w:bCs/>
          <w:szCs w:val="24"/>
          <w:shd w:val="clear" w:color="auto" w:fill="FFFFFF"/>
        </w:rPr>
        <w:t xml:space="preserve"> used in this study</w:t>
      </w:r>
      <w:r w:rsidR="002F23F0" w:rsidRPr="00060816">
        <w:rPr>
          <w:b/>
          <w:bCs/>
          <w:szCs w:val="24"/>
          <w:shd w:val="clear" w:color="auto" w:fill="FFFFFF"/>
        </w:rPr>
        <w:t>:</w:t>
      </w:r>
    </w:p>
    <w:p w14:paraId="4ADA101A" w14:textId="3E298ACF" w:rsidR="00A95DA7" w:rsidRPr="00060816" w:rsidRDefault="00A95DA7" w:rsidP="00A95DA7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Cav-1 siRNA</w:t>
      </w:r>
      <w:r w:rsidR="001840AB" w:rsidRPr="00060816">
        <w:rPr>
          <w:bCs/>
          <w:szCs w:val="24"/>
        </w:rPr>
        <w:t>1</w:t>
      </w:r>
      <w:r w:rsidRPr="00060816">
        <w:rPr>
          <w:bCs/>
          <w:szCs w:val="24"/>
        </w:rPr>
        <w:t xml:space="preserve"> (sense 5’-3’): CUGCGAUCCACUCUUUGAATT. </w:t>
      </w:r>
    </w:p>
    <w:p w14:paraId="2AA8853F" w14:textId="2829AF80" w:rsidR="00A95DA7" w:rsidRPr="00060816" w:rsidRDefault="00A95DA7" w:rsidP="00A95DA7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Cav-1 siRNA</w:t>
      </w:r>
      <w:r w:rsidR="001840AB" w:rsidRPr="00060816">
        <w:rPr>
          <w:bCs/>
          <w:szCs w:val="24"/>
        </w:rPr>
        <w:t>1</w:t>
      </w:r>
      <w:r w:rsidRPr="00060816">
        <w:rPr>
          <w:bCs/>
          <w:szCs w:val="24"/>
        </w:rPr>
        <w:t xml:space="preserve"> (antisense 5’-3’): UUCAAAGAGUGGAUCGCAGTT.</w:t>
      </w:r>
    </w:p>
    <w:p w14:paraId="1AFE2B23" w14:textId="448F7157" w:rsidR="001840AB" w:rsidRPr="00060816" w:rsidRDefault="001840AB" w:rsidP="001840AB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 xml:space="preserve">Cav-1 siRNA2 (sense 5’-3’): </w:t>
      </w:r>
      <w:r w:rsidR="009F3390" w:rsidRPr="00060816">
        <w:rPr>
          <w:bCs/>
          <w:szCs w:val="24"/>
        </w:rPr>
        <w:t>GCAUCCCAAUGCCACUCAUTT</w:t>
      </w:r>
      <w:r w:rsidRPr="00060816">
        <w:rPr>
          <w:bCs/>
          <w:szCs w:val="24"/>
        </w:rPr>
        <w:t xml:space="preserve">. </w:t>
      </w:r>
    </w:p>
    <w:p w14:paraId="1CED9AFE" w14:textId="3A30FE76" w:rsidR="001840AB" w:rsidRPr="00060816" w:rsidRDefault="001840AB" w:rsidP="00A95DA7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 xml:space="preserve">Cav-1 siRNA2 (antisense 5’-3’): </w:t>
      </w:r>
      <w:r w:rsidR="00BB286C" w:rsidRPr="00060816">
        <w:rPr>
          <w:bCs/>
          <w:szCs w:val="24"/>
        </w:rPr>
        <w:t>AUGAGUGCCAUUGCCAUGCTT</w:t>
      </w:r>
      <w:r w:rsidRPr="00060816">
        <w:rPr>
          <w:bCs/>
          <w:szCs w:val="24"/>
        </w:rPr>
        <w:t>.</w:t>
      </w:r>
    </w:p>
    <w:p w14:paraId="1E0C8686" w14:textId="14ACEA97" w:rsidR="00A95DA7" w:rsidRPr="00060816" w:rsidRDefault="00A95DA7" w:rsidP="00A95DA7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CD147 siRNA</w:t>
      </w:r>
      <w:r w:rsidR="00BB286C" w:rsidRPr="00060816">
        <w:rPr>
          <w:bCs/>
          <w:szCs w:val="24"/>
        </w:rPr>
        <w:t>1</w:t>
      </w:r>
      <w:r w:rsidRPr="00060816">
        <w:rPr>
          <w:bCs/>
          <w:szCs w:val="24"/>
        </w:rPr>
        <w:t xml:space="preserve"> (sense 5’-3’): GGAUCAAGGUCGGAAAGAATT.</w:t>
      </w:r>
    </w:p>
    <w:p w14:paraId="619184D7" w14:textId="48B05488" w:rsidR="00A95DA7" w:rsidRPr="00060816" w:rsidRDefault="00A95DA7" w:rsidP="00A95DA7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lastRenderedPageBreak/>
        <w:t>CD147 siRNA</w:t>
      </w:r>
      <w:r w:rsidR="00BB286C" w:rsidRPr="00060816">
        <w:rPr>
          <w:bCs/>
          <w:szCs w:val="24"/>
        </w:rPr>
        <w:t>1</w:t>
      </w:r>
      <w:r w:rsidRPr="00060816">
        <w:rPr>
          <w:bCs/>
          <w:szCs w:val="24"/>
        </w:rPr>
        <w:t xml:space="preserve"> (antisense 5’-3’):</w:t>
      </w:r>
      <w:r w:rsidRPr="00060816">
        <w:t xml:space="preserve"> </w:t>
      </w:r>
      <w:r w:rsidRPr="00060816">
        <w:rPr>
          <w:bCs/>
          <w:szCs w:val="24"/>
        </w:rPr>
        <w:t>UUCUUUCCGACCUUGAUCCTT.</w:t>
      </w:r>
    </w:p>
    <w:p w14:paraId="30B4C485" w14:textId="187CC088" w:rsidR="00BB286C" w:rsidRPr="00060816" w:rsidRDefault="00BB286C" w:rsidP="00BB286C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CD147 siRNA2 (sense 5’-3’):</w:t>
      </w:r>
      <w:r w:rsidR="006953B7" w:rsidRPr="00060816">
        <w:t xml:space="preserve"> </w:t>
      </w:r>
      <w:r w:rsidR="006953B7" w:rsidRPr="00060816">
        <w:rPr>
          <w:bCs/>
          <w:szCs w:val="24"/>
        </w:rPr>
        <w:t>GCUGACCAUCAGCAACCUUTT</w:t>
      </w:r>
    </w:p>
    <w:p w14:paraId="41F4E661" w14:textId="410C85FB" w:rsidR="001840AB" w:rsidRPr="00060816" w:rsidRDefault="00BB286C" w:rsidP="00A95DA7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CD147 siRNA2 (antisense 5’-3’):</w:t>
      </w:r>
      <w:r w:rsidR="00445530" w:rsidRPr="00060816">
        <w:t xml:space="preserve"> </w:t>
      </w:r>
      <w:r w:rsidR="00445530" w:rsidRPr="00060816">
        <w:rPr>
          <w:bCs/>
          <w:szCs w:val="24"/>
        </w:rPr>
        <w:t>AAGGUUGCUGAUGGUCAGCTT</w:t>
      </w:r>
    </w:p>
    <w:p w14:paraId="26A214DB" w14:textId="77777777" w:rsidR="00A95DA7" w:rsidRPr="00060816" w:rsidRDefault="00A95DA7" w:rsidP="00A95DA7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Negative control siRNA (sense 5’-3’): UUCUCCGAACGUGUCACGUTT.</w:t>
      </w:r>
    </w:p>
    <w:p w14:paraId="3306ECDA" w14:textId="77777777" w:rsidR="00A95DA7" w:rsidRPr="00060816" w:rsidRDefault="00A95DA7" w:rsidP="00A95DA7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Negative control siRNA (antisense 5’-3’): ACGUGACACGUUCGGAGAATT.</w:t>
      </w:r>
    </w:p>
    <w:p w14:paraId="6B629C02" w14:textId="77777777" w:rsidR="00001E13" w:rsidRPr="00060816" w:rsidRDefault="00001E13" w:rsidP="00A95DA7">
      <w:pPr>
        <w:pStyle w:val="EndNoteBibliography"/>
        <w:spacing w:line="480" w:lineRule="auto"/>
        <w:rPr>
          <w:bCs/>
          <w:szCs w:val="24"/>
        </w:rPr>
      </w:pPr>
    </w:p>
    <w:p w14:paraId="1CD32990" w14:textId="5523E4CA" w:rsidR="002F23F0" w:rsidRPr="00060816" w:rsidRDefault="00001E13" w:rsidP="00A95DA7">
      <w:pPr>
        <w:pStyle w:val="EndNoteBibliography"/>
        <w:spacing w:line="480" w:lineRule="auto"/>
        <w:rPr>
          <w:b/>
          <w:bCs/>
          <w:szCs w:val="24"/>
          <w:shd w:val="clear" w:color="auto" w:fill="FFFFFF"/>
        </w:rPr>
      </w:pPr>
      <w:r w:rsidRPr="00060816">
        <w:rPr>
          <w:b/>
          <w:bCs/>
          <w:szCs w:val="24"/>
          <w:shd w:val="clear" w:color="auto" w:fill="FFFFFF"/>
        </w:rPr>
        <w:t>primers used in this study:</w:t>
      </w:r>
    </w:p>
    <w:p w14:paraId="3F70D059" w14:textId="77777777" w:rsidR="00001E13" w:rsidRPr="00060816" w:rsidRDefault="00001E13" w:rsidP="00001E13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MMP-2 Forward: 5’-ACCTGAACACTTTCTATGGCTG-3’.</w:t>
      </w:r>
    </w:p>
    <w:p w14:paraId="65F5B3E1" w14:textId="77777777" w:rsidR="00001E13" w:rsidRPr="00060816" w:rsidRDefault="00001E13" w:rsidP="00001E13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MMP-2 Reverse: 5’-CTTCCGCATGGTCTCGATG-3’.</w:t>
      </w:r>
    </w:p>
    <w:p w14:paraId="1E02BEDE" w14:textId="77777777" w:rsidR="00001E13" w:rsidRPr="00060816" w:rsidRDefault="00001E13" w:rsidP="00001E13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MMP-9 Forward: 5’-CTGGACAGCCAGACACTAAAG-3’.</w:t>
      </w:r>
    </w:p>
    <w:p w14:paraId="2F46C45F" w14:textId="6A61155A" w:rsidR="002F23F0" w:rsidRPr="00060816" w:rsidRDefault="00001E13" w:rsidP="00001E13">
      <w:pPr>
        <w:pStyle w:val="EndNoteBibliography"/>
        <w:spacing w:line="480" w:lineRule="auto"/>
        <w:rPr>
          <w:bCs/>
          <w:szCs w:val="24"/>
        </w:rPr>
      </w:pPr>
      <w:r w:rsidRPr="00060816">
        <w:rPr>
          <w:bCs/>
          <w:szCs w:val="24"/>
        </w:rPr>
        <w:t>MMP-9 Reverse: 5’-</w:t>
      </w:r>
      <w:r w:rsidRPr="00060816">
        <w:t xml:space="preserve"> </w:t>
      </w:r>
      <w:r w:rsidRPr="00060816">
        <w:rPr>
          <w:bCs/>
          <w:szCs w:val="24"/>
        </w:rPr>
        <w:t>CTCGCGGCAAGTCTTCAGAG-3’.</w:t>
      </w:r>
    </w:p>
    <w:p w14:paraId="62073DC8" w14:textId="77777777" w:rsidR="00A95DA7" w:rsidRPr="00060816" w:rsidRDefault="00A95DA7"/>
    <w:sectPr w:rsidR="00A95DA7" w:rsidRPr="00060816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93B3" w14:textId="77777777" w:rsidR="00813062" w:rsidRDefault="00813062" w:rsidP="00813062">
      <w:r>
        <w:separator/>
      </w:r>
    </w:p>
  </w:endnote>
  <w:endnote w:type="continuationSeparator" w:id="0">
    <w:p w14:paraId="24B09AD8" w14:textId="77777777" w:rsidR="00813062" w:rsidRDefault="00813062" w:rsidP="0081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A2E6" w14:textId="110CAF90" w:rsidR="00060816" w:rsidRDefault="000608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7F491" wp14:editId="2B7C51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1708608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4958D" w14:textId="0E1A219C" w:rsidR="00060816" w:rsidRPr="00060816" w:rsidRDefault="00060816" w:rsidP="0006081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081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7F4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CF4958D" w14:textId="0E1A219C" w:rsidR="00060816" w:rsidRPr="00060816" w:rsidRDefault="00060816" w:rsidP="0006081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081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2CD4" w14:textId="108E5788" w:rsidR="00060816" w:rsidRDefault="000608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C0A3AB" wp14:editId="701D4887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5038951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829F7" w14:textId="183EB310" w:rsidR="00060816" w:rsidRPr="00060816" w:rsidRDefault="00060816" w:rsidP="0006081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081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0A3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40829F7" w14:textId="183EB310" w:rsidR="00060816" w:rsidRPr="00060816" w:rsidRDefault="00060816" w:rsidP="0006081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081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430F" w14:textId="60EE131D" w:rsidR="00060816" w:rsidRDefault="000608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602FA1" wp14:editId="565476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694584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9C6B2" w14:textId="4D9882AA" w:rsidR="00060816" w:rsidRPr="00060816" w:rsidRDefault="00060816" w:rsidP="0006081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081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02F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189C6B2" w14:textId="4D9882AA" w:rsidR="00060816" w:rsidRPr="00060816" w:rsidRDefault="00060816" w:rsidP="0006081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081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1E31" w14:textId="77777777" w:rsidR="00813062" w:rsidRDefault="00813062" w:rsidP="00813062">
      <w:r>
        <w:separator/>
      </w:r>
    </w:p>
  </w:footnote>
  <w:footnote w:type="continuationSeparator" w:id="0">
    <w:p w14:paraId="63F94808" w14:textId="77777777" w:rsidR="00813062" w:rsidRDefault="00813062" w:rsidP="00813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A06"/>
    <w:multiLevelType w:val="hybridMultilevel"/>
    <w:tmpl w:val="99F027CE"/>
    <w:lvl w:ilvl="0" w:tplc="83723B7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 w16cid:durableId="16144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11"/>
    <w:rsid w:val="00001E13"/>
    <w:rsid w:val="00060816"/>
    <w:rsid w:val="001840AB"/>
    <w:rsid w:val="001D551D"/>
    <w:rsid w:val="002834A4"/>
    <w:rsid w:val="002E2163"/>
    <w:rsid w:val="002F23F0"/>
    <w:rsid w:val="003E1E3E"/>
    <w:rsid w:val="00426171"/>
    <w:rsid w:val="00445530"/>
    <w:rsid w:val="005E7C11"/>
    <w:rsid w:val="0066406C"/>
    <w:rsid w:val="006953B7"/>
    <w:rsid w:val="00710925"/>
    <w:rsid w:val="00712B44"/>
    <w:rsid w:val="0074065F"/>
    <w:rsid w:val="0075213E"/>
    <w:rsid w:val="007C1A02"/>
    <w:rsid w:val="00801910"/>
    <w:rsid w:val="00813062"/>
    <w:rsid w:val="00820E54"/>
    <w:rsid w:val="00824695"/>
    <w:rsid w:val="008A6A16"/>
    <w:rsid w:val="008B574D"/>
    <w:rsid w:val="009B3124"/>
    <w:rsid w:val="009D0885"/>
    <w:rsid w:val="009E56F6"/>
    <w:rsid w:val="009F3390"/>
    <w:rsid w:val="00A95DA7"/>
    <w:rsid w:val="00B22420"/>
    <w:rsid w:val="00B871D0"/>
    <w:rsid w:val="00B90D84"/>
    <w:rsid w:val="00BB286C"/>
    <w:rsid w:val="00C20780"/>
    <w:rsid w:val="00C76568"/>
    <w:rsid w:val="00C84640"/>
    <w:rsid w:val="00D3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40969"/>
  <w15:chartTrackingRefBased/>
  <w15:docId w15:val="{2B315479-91E0-4286-B9E4-450194BC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0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306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3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3062"/>
    <w:rPr>
      <w:sz w:val="18"/>
      <w:szCs w:val="18"/>
    </w:rPr>
  </w:style>
  <w:style w:type="paragraph" w:customStyle="1" w:styleId="EndNoteBibliography">
    <w:name w:val="EndNote Bibliography"/>
    <w:basedOn w:val="Normal"/>
    <w:link w:val="EndNoteBibliography0"/>
    <w:rsid w:val="00813062"/>
    <w:rPr>
      <w:rFonts w:ascii="Times New Roman" w:eastAsia="DengXian" w:hAnsi="Times New Roman" w:cs="Times New Roman"/>
      <w:noProof/>
      <w:sz w:val="24"/>
    </w:rPr>
  </w:style>
  <w:style w:type="character" w:customStyle="1" w:styleId="EndNoteBibliography0">
    <w:name w:val="EndNote Bibliography 字符"/>
    <w:basedOn w:val="DefaultParagraphFont"/>
    <w:link w:val="EndNoteBibliography"/>
    <w:rsid w:val="00813062"/>
    <w:rPr>
      <w:rFonts w:ascii="Times New Roman" w:eastAsia="DengXian" w:hAnsi="Times New Roman" w:cs="Times New Roman"/>
      <w:noProof/>
      <w:sz w:val="24"/>
    </w:rPr>
  </w:style>
  <w:style w:type="paragraph" w:styleId="ListParagraph">
    <w:name w:val="List Paragraph"/>
    <w:basedOn w:val="Normal"/>
    <w:uiPriority w:val="34"/>
    <w:qFormat/>
    <w:rsid w:val="00801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37E4-58A2-475D-8062-C9316B57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Yiyang</dc:creator>
  <cp:keywords/>
  <dc:description/>
  <cp:lastModifiedBy>Lee, Boon</cp:lastModifiedBy>
  <cp:revision>2</cp:revision>
  <dcterms:created xsi:type="dcterms:W3CDTF">2024-02-08T02:38:00Z</dcterms:created>
  <dcterms:modified xsi:type="dcterms:W3CDTF">2024-02-08T02:38:00Z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78a60e9c46da603504ebe908dfb27f3b30247ea41a09d1cb41fa8422840cf8b5</vt:lpwstr>
  </property>
  <property fmtid="{D5CDD505-2E9C-101B-9397-08002B2CF9AE}" pid="3" name="ClassificationContentMarkingFooterShapeIds">
    <vt:lpwstr>6381e9ea,72446986,6e4ab40b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2024-02-08T02:38:06Z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a140fdc3-4ba9-4031-943b-333d8e08668a</vt:lpwstr>
  </property>
  <property fmtid="{D5CDD505-2E9C-101B-9397-08002B2CF9AE}" pid="12" name="MSIP_Label_2bbab825-a111-45e4-86a1-18cee0005896_ContentBits">
    <vt:lpwstr>2</vt:lpwstr>
  </property>
</Properties>
</file>