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A9E2"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Appendix E1 CT imaging</w:t>
      </w:r>
    </w:p>
    <w:p w14:paraId="43B33165"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 </w:t>
      </w:r>
    </w:p>
    <w:p w14:paraId="4C7AD7EB"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All patients underwent four CT scans: unenhanced phase, late arterial phase (AP), portal vein phase (PVP), and delayed phase (DP). CT is performed on a 64-slice CT scanner (GE Healthcare, USA; Tube voltage 120 </w:t>
      </w:r>
      <w:r w:rsidRPr="0039681D">
        <w:rPr>
          <w:rFonts w:ascii="Times New Roman" w:hAnsi="Times New Roman" w:cs="Times New Roman"/>
          <w:color w:val="000000"/>
          <w:sz w:val="24"/>
          <w:szCs w:val="32"/>
        </w:rPr>
        <w:t>kV, tube current 250mA; Field of vision (300-500) mm× (300-500) mm, matrix 512×512, layer spacing 5mm, layer thickness 5mm). After the enhanced scan was administered intravenously with a power syringe (Bayer, Germany) at a flow rate of 3.0 to 3.5ml/s. Using the tracking technique, AP images were acquired 18 s after the descending aorta (the level of the celiac trunk) reached 100 HU.</w:t>
      </w:r>
    </w:p>
    <w:p w14:paraId="1FBA1F40" w14:textId="77777777" w:rsidR="005B61EA" w:rsidRPr="0039681D" w:rsidRDefault="005B61EA">
      <w:pPr>
        <w:rPr>
          <w:rFonts w:ascii="Times New Roman" w:hAnsi="Times New Roman" w:cs="Times New Roman"/>
          <w:color w:val="000000"/>
          <w:sz w:val="24"/>
          <w:szCs w:val="32"/>
        </w:rPr>
      </w:pPr>
    </w:p>
    <w:p w14:paraId="424D9BAA"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Appendix E2 Transcatheter arterial chemoembolization procedure</w:t>
      </w:r>
    </w:p>
    <w:p w14:paraId="36599230" w14:textId="77777777" w:rsidR="005B61EA" w:rsidRPr="0039681D" w:rsidRDefault="005B61EA">
      <w:pPr>
        <w:rPr>
          <w:rFonts w:ascii="Times New Roman" w:hAnsi="Times New Roman" w:cs="Times New Roman"/>
          <w:color w:val="000000"/>
          <w:sz w:val="24"/>
          <w:szCs w:val="32"/>
        </w:rPr>
      </w:pPr>
    </w:p>
    <w:p w14:paraId="254A1594"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Seldinger technique was used to puncture the right femoral artery, insert the 5F artery sheath, and then the 5F/4F RH arteriography catheter was placed in the artery sheath. Abdominal trunk arteriography and superior mesenteric arteriography were performed to determine the blood supply vessels, portal return, and the presence of arteriovenous fistula. In addition, the presence of extrahepatic supplying arteries was determined according to the angiography. After the tumor blood supply vessels were identified</w:t>
      </w:r>
      <w:r w:rsidRPr="0039681D">
        <w:rPr>
          <w:rFonts w:ascii="Times New Roman" w:hAnsi="Times New Roman" w:cs="Times New Roman"/>
          <w:color w:val="000000"/>
          <w:sz w:val="24"/>
          <w:szCs w:val="32"/>
        </w:rPr>
        <w:t>, the superselection (segment-level or subsegment-level) method was performed.</w:t>
      </w:r>
    </w:p>
    <w:p w14:paraId="262A95F3"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The 2.4/2.7F microcatheter was sent to the appropriate position under the guidance of the microfilament. First, raltitrexed was slowly infused (the dose was about 2.5-3 mg/m2), and then lipiodo emulsion (pirirubicin 40 mg+ lipiodo 10 ml fully emulsified) was slowly injected into the blood supply vessels of the tumor. The dosage was calculated according to the tumor diameter (2-3 ml/cm). Observe the tumor staining, if not filled, can add blank iodide, the total amount of iodide is not more than 20ml.</w:t>
      </w:r>
    </w:p>
    <w:p w14:paraId="4AC7542F"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Try to avoid reflux during injection, and then inject the appropriate gelatine sponge /PVA granule type embolization agent. Angiography was performed again 5 minutes later to observe complete embolization. If complete embolization was achieved, the operation was over. If not, the above steps were repeated until complete embolization was achieved.</w:t>
      </w:r>
    </w:p>
    <w:p w14:paraId="5BF55ECC" w14:textId="77777777" w:rsidR="005B61EA" w:rsidRPr="0039681D" w:rsidRDefault="005B61EA">
      <w:pPr>
        <w:rPr>
          <w:rFonts w:ascii="Times New Roman" w:hAnsi="Times New Roman" w:cs="Times New Roman"/>
          <w:color w:val="000000"/>
          <w:sz w:val="24"/>
          <w:szCs w:val="32"/>
        </w:rPr>
      </w:pPr>
    </w:p>
    <w:p w14:paraId="6F429C23"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Appendix E3 Construct a deep learning prognosis model</w:t>
      </w:r>
    </w:p>
    <w:p w14:paraId="696CD75C" w14:textId="77777777" w:rsidR="005B61EA" w:rsidRPr="0039681D" w:rsidRDefault="005B61EA">
      <w:pPr>
        <w:rPr>
          <w:rFonts w:ascii="Times New Roman" w:hAnsi="Times New Roman" w:cs="Times New Roman"/>
          <w:color w:val="000000"/>
          <w:sz w:val="24"/>
          <w:szCs w:val="32"/>
        </w:rPr>
      </w:pPr>
    </w:p>
    <w:p w14:paraId="0F8ECCF3" w14:textId="77777777" w:rsidR="005B61EA" w:rsidRPr="0039681D" w:rsidRDefault="0039681D">
      <w:pPr>
        <w:numPr>
          <w:ilvl w:val="0"/>
          <w:numId w:val="1"/>
        </w:numPr>
        <w:rPr>
          <w:rFonts w:ascii="Times New Roman" w:hAnsi="Times New Roman" w:cs="Times New Roman"/>
          <w:color w:val="000000"/>
          <w:sz w:val="24"/>
          <w:szCs w:val="32"/>
        </w:rPr>
      </w:pPr>
      <w:r w:rsidRPr="0039681D">
        <w:rPr>
          <w:rFonts w:ascii="Times New Roman" w:hAnsi="Times New Roman" w:cs="Times New Roman"/>
          <w:color w:val="000000"/>
          <w:sz w:val="24"/>
          <w:szCs w:val="32"/>
        </w:rPr>
        <w:t>Image segmentation</w:t>
      </w:r>
    </w:p>
    <w:p w14:paraId="745948A9"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In this study, the arterial phase was selected as the research object, ITK(2.2.0) was used for preprocessing, and the bilinear interpolation and nearest interpolation were used to resample the CT and the mask volume toto 1×1×1 mm</w:t>
      </w:r>
      <w:r w:rsidRPr="0039681D">
        <w:rPr>
          <w:rFonts w:ascii="Times New Roman" w:hAnsi="Times New Roman" w:cs="Times New Roman"/>
          <w:color w:val="000000"/>
          <w:sz w:val="24"/>
          <w:szCs w:val="32"/>
          <w:vertAlign w:val="superscript"/>
        </w:rPr>
        <w:t>3</w:t>
      </w:r>
      <w:r w:rsidRPr="0039681D">
        <w:rPr>
          <w:rFonts w:ascii="Times New Roman" w:hAnsi="Times New Roman" w:cs="Times New Roman"/>
          <w:color w:val="000000"/>
          <w:sz w:val="24"/>
          <w:szCs w:val="32"/>
        </w:rPr>
        <w:t>, respectively. Then the CT pixel density was normalized to between 0 and 1. The deep-wise bounding box was used to obtain plaques containing the three-dimensional volume of the tumor.</w:t>
      </w:r>
    </w:p>
    <w:p w14:paraId="2045790D" w14:textId="77777777" w:rsidR="005B61EA" w:rsidRPr="0039681D" w:rsidRDefault="005B61EA">
      <w:pPr>
        <w:rPr>
          <w:rFonts w:ascii="Times New Roman" w:hAnsi="Times New Roman" w:cs="Times New Roman"/>
          <w:color w:val="000000"/>
          <w:sz w:val="24"/>
          <w:szCs w:val="32"/>
        </w:rPr>
      </w:pPr>
    </w:p>
    <w:p w14:paraId="2441B2BA" w14:textId="77777777" w:rsidR="005B61EA" w:rsidRPr="0039681D" w:rsidRDefault="0039681D">
      <w:pPr>
        <w:numPr>
          <w:ilvl w:val="0"/>
          <w:numId w:val="1"/>
        </w:numPr>
        <w:rPr>
          <w:rFonts w:ascii="Times New Roman" w:hAnsi="Times New Roman" w:cs="Times New Roman"/>
          <w:color w:val="000000"/>
          <w:sz w:val="24"/>
          <w:szCs w:val="32"/>
        </w:rPr>
      </w:pPr>
      <w:r w:rsidRPr="0039681D">
        <w:rPr>
          <w:rFonts w:ascii="Times New Roman" w:hAnsi="Times New Roman" w:cs="Times New Roman"/>
          <w:color w:val="000000"/>
          <w:sz w:val="24"/>
          <w:szCs w:val="32"/>
        </w:rPr>
        <w:t>Detail</w:t>
      </w:r>
    </w:p>
    <w:p w14:paraId="07725C98"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The final deep learning model is the modified resnet101 (PyTorch: 1.7.1) . A computer with a 24 GB Titan 3090Ti graphics card was used. 1000 CT images were randomly </w:t>
      </w:r>
      <w:r w:rsidRPr="0039681D">
        <w:rPr>
          <w:rFonts w:ascii="Times New Roman" w:hAnsi="Times New Roman" w:cs="Times New Roman"/>
          <w:color w:val="000000"/>
          <w:sz w:val="24"/>
          <w:szCs w:val="32"/>
        </w:rPr>
        <w:lastRenderedPageBreak/>
        <w:t xml:space="preserve">selected from the training data set for pre-experiment, and the hyperparameters were determined: The batch is set to 32, the training iteration (epoch) is set to 500, the -Adam optimizer parameter is set to beta and is set to 0.9, the learning rate is set to 1e−4 and calculated by equation (1) below, weight decay is set to 1e−4 and momentum to 0.9. The fully connected layer of the output image prediction scores was modified to accommodate the number of classes in this study. The average time required for a </w:t>
      </w:r>
      <w:r w:rsidRPr="0039681D">
        <w:rPr>
          <w:rFonts w:ascii="Times New Roman" w:hAnsi="Times New Roman" w:cs="Times New Roman"/>
          <w:color w:val="000000"/>
          <w:sz w:val="24"/>
          <w:szCs w:val="32"/>
        </w:rPr>
        <w:t>training phase was 167 seconds, while the average time required for a test was only 12 seconds.</w:t>
      </w:r>
    </w:p>
    <w:p w14:paraId="03B574B0" w14:textId="77777777" w:rsidR="00EF4AEA" w:rsidRPr="0039681D" w:rsidRDefault="00EF4AEA">
      <w:pPr>
        <w:rPr>
          <w:rFonts w:ascii="Times New Roman" w:hAnsi="Times New Roman" w:cs="Times New Roman"/>
          <w:color w:val="000000"/>
          <w:sz w:val="24"/>
          <w:szCs w:val="32"/>
        </w:rPr>
      </w:pPr>
    </w:p>
    <w:p w14:paraId="325A9B7C" w14:textId="2C8F2D14" w:rsidR="00EF4AEA" w:rsidRPr="0039681D" w:rsidRDefault="0039681D" w:rsidP="00733C48">
      <w:pPr>
        <w:wordWrap w:val="0"/>
        <w:jc w:val="right"/>
        <w:rPr>
          <w:rFonts w:ascii="Times New Roman" w:hAnsi="Times New Roman" w:cs="Times New Roman"/>
          <w:color w:val="000000"/>
          <w:sz w:val="24"/>
          <w:szCs w:val="32"/>
        </w:rPr>
      </w:pPr>
      <m:oMath>
        <m:eqArr>
          <m:eqArrPr>
            <m:ctrlPr>
              <w:rPr>
                <w:rFonts w:ascii="Cambria Math" w:hAnsi="Cambria Math" w:cs="Times New Roman"/>
                <w:color w:val="000000"/>
                <w:sz w:val="28"/>
                <w:szCs w:val="36"/>
              </w:rPr>
            </m:ctrlPr>
          </m:eqArrPr>
          <m:e>
            <m:sSub>
              <m:sSubPr>
                <m:ctrlPr>
                  <w:rPr>
                    <w:rFonts w:ascii="Cambria Math" w:hAnsi="Cambria Math" w:cs="Times New Roman"/>
                    <w:color w:val="000000"/>
                    <w:sz w:val="28"/>
                    <w:szCs w:val="36"/>
                  </w:rPr>
                </m:ctrlPr>
              </m:sSubPr>
              <m:e>
                <m:r>
                  <w:rPr>
                    <w:rFonts w:ascii="Cambria Math" w:hAnsi="Cambria Math" w:cs="Times New Roman"/>
                    <w:color w:val="000000"/>
                    <w:sz w:val="28"/>
                    <w:szCs w:val="36"/>
                  </w:rPr>
                  <m:t>v</m:t>
                </m:r>
              </m:e>
              <m:sub>
                <m:r>
                  <w:rPr>
                    <w:rFonts w:ascii="Cambria Math" w:hAnsi="Cambria Math" w:cs="Times New Roman"/>
                    <w:color w:val="000000"/>
                    <w:sz w:val="28"/>
                    <w:szCs w:val="36"/>
                  </w:rPr>
                  <m:t>t</m:t>
                </m:r>
              </m:sub>
            </m:sSub>
            <m:r>
              <w:rPr>
                <w:rFonts w:ascii="Cambria Math" w:hAnsi="Cambria Math" w:cs="Times New Roman"/>
                <w:color w:val="000000"/>
                <w:sz w:val="28"/>
                <w:szCs w:val="36"/>
              </w:rPr>
              <m:t>&amp;=</m:t>
            </m:r>
            <m:sSubSup>
              <m:sSubSupPr>
                <m:ctrlPr>
                  <w:rPr>
                    <w:rFonts w:ascii="Cambria Math" w:hAnsi="Cambria Math" w:cs="Times New Roman"/>
                    <w:color w:val="000000"/>
                    <w:sz w:val="28"/>
                    <w:szCs w:val="36"/>
                  </w:rPr>
                </m:ctrlPr>
              </m:sSubSupPr>
              <m:e>
                <m:r>
                  <w:rPr>
                    <w:rFonts w:ascii="Cambria Math" w:hAnsi="Cambria Math" w:cs="Times New Roman"/>
                    <w:color w:val="000000"/>
                    <w:sz w:val="28"/>
                    <w:szCs w:val="36"/>
                  </w:rPr>
                  <m:t>β</m:t>
                </m:r>
              </m:e>
              <m:sub>
                <m:r>
                  <w:rPr>
                    <w:rFonts w:ascii="Cambria Math" w:hAnsi="Cambria Math" w:cs="Times New Roman"/>
                    <w:color w:val="000000"/>
                    <w:sz w:val="28"/>
                    <w:szCs w:val="36"/>
                  </w:rPr>
                  <m:t>2</m:t>
                </m:r>
              </m:sub>
              <m:sup>
                <m:r>
                  <w:rPr>
                    <w:rFonts w:ascii="Cambria Math" w:hAnsi="Cambria Math" w:cs="Times New Roman"/>
                    <w:color w:val="000000"/>
                    <w:sz w:val="28"/>
                    <w:szCs w:val="36"/>
                  </w:rPr>
                  <m:t>p</m:t>
                </m:r>
              </m:sup>
            </m:sSubSup>
            <m:sSub>
              <m:sSubPr>
                <m:ctrlPr>
                  <w:rPr>
                    <w:rFonts w:ascii="Cambria Math" w:hAnsi="Cambria Math" w:cs="Times New Roman"/>
                    <w:color w:val="000000"/>
                    <w:sz w:val="28"/>
                    <w:szCs w:val="36"/>
                  </w:rPr>
                </m:ctrlPr>
              </m:sSubPr>
              <m:e>
                <m:r>
                  <w:rPr>
                    <w:rFonts w:ascii="Cambria Math" w:hAnsi="Cambria Math" w:cs="Times New Roman"/>
                    <w:color w:val="000000"/>
                    <w:sz w:val="28"/>
                    <w:szCs w:val="36"/>
                  </w:rPr>
                  <m:t>v</m:t>
                </m:r>
              </m:e>
              <m:sub>
                <m:r>
                  <w:rPr>
                    <w:rFonts w:ascii="Cambria Math" w:hAnsi="Cambria Math" w:cs="Times New Roman"/>
                    <w:color w:val="000000"/>
                    <w:sz w:val="28"/>
                    <w:szCs w:val="36"/>
                  </w:rPr>
                  <m:t>t</m:t>
                </m:r>
                <m:r>
                  <w:rPr>
                    <w:rFonts w:ascii="Cambria Math" w:hAnsi="Cambria Math" w:cs="Times New Roman"/>
                    <w:color w:val="000000"/>
                    <w:sz w:val="28"/>
                    <w:szCs w:val="36"/>
                  </w:rPr>
                  <m:t>-</m:t>
                </m:r>
                <m:r>
                  <w:rPr>
                    <w:rFonts w:ascii="Cambria Math" w:hAnsi="Cambria Math" w:cs="Times New Roman"/>
                    <w:color w:val="000000"/>
                    <w:sz w:val="28"/>
                    <w:szCs w:val="36"/>
                  </w:rPr>
                  <m:t>1</m:t>
                </m:r>
              </m:sub>
            </m:sSub>
            <m:r>
              <w:rPr>
                <w:rFonts w:ascii="Cambria Math" w:hAnsi="Cambria Math" w:cs="Times New Roman"/>
                <w:color w:val="000000"/>
                <w:sz w:val="28"/>
                <w:szCs w:val="36"/>
              </w:rPr>
              <m:t>+</m:t>
            </m:r>
            <m:d>
              <m:dPr>
                <m:ctrlPr>
                  <w:rPr>
                    <w:rFonts w:ascii="Cambria Math" w:hAnsi="Cambria Math" w:cs="Times New Roman"/>
                    <w:color w:val="000000"/>
                    <w:sz w:val="28"/>
                    <w:szCs w:val="36"/>
                  </w:rPr>
                </m:ctrlPr>
              </m:dPr>
              <m:e>
                <m:r>
                  <w:rPr>
                    <w:rFonts w:ascii="Cambria Math" w:hAnsi="Cambria Math" w:cs="Times New Roman"/>
                    <w:color w:val="000000"/>
                    <w:sz w:val="28"/>
                    <w:szCs w:val="36"/>
                  </w:rPr>
                  <m:t>1-</m:t>
                </m:r>
                <m:sSubSup>
                  <m:sSubSupPr>
                    <m:ctrlPr>
                      <w:rPr>
                        <w:rFonts w:ascii="Cambria Math" w:hAnsi="Cambria Math" w:cs="Times New Roman"/>
                        <w:color w:val="000000"/>
                        <w:sz w:val="28"/>
                        <w:szCs w:val="36"/>
                      </w:rPr>
                    </m:ctrlPr>
                  </m:sSubSupPr>
                  <m:e>
                    <m:r>
                      <w:rPr>
                        <w:rFonts w:ascii="Cambria Math" w:hAnsi="Cambria Math" w:cs="Times New Roman"/>
                        <w:color w:val="000000"/>
                        <w:sz w:val="28"/>
                        <w:szCs w:val="36"/>
                      </w:rPr>
                      <m:t>β</m:t>
                    </m:r>
                  </m:e>
                  <m:sub>
                    <m:r>
                      <w:rPr>
                        <w:rFonts w:ascii="Cambria Math" w:hAnsi="Cambria Math" w:cs="Times New Roman"/>
                        <w:color w:val="000000"/>
                        <w:sz w:val="28"/>
                        <w:szCs w:val="36"/>
                      </w:rPr>
                      <m:t>2</m:t>
                    </m:r>
                  </m:sub>
                  <m:sup>
                    <m:r>
                      <w:rPr>
                        <w:rFonts w:ascii="Cambria Math" w:hAnsi="Cambria Math" w:cs="Times New Roman"/>
                        <w:color w:val="000000"/>
                        <w:sz w:val="28"/>
                        <w:szCs w:val="36"/>
                      </w:rPr>
                      <m:t>p</m:t>
                    </m:r>
                  </m:sup>
                </m:sSubSup>
              </m:e>
            </m:d>
            <m:sSup>
              <m:sSupPr>
                <m:ctrlPr>
                  <w:rPr>
                    <w:rFonts w:ascii="Cambria Math" w:hAnsi="Cambria Math" w:cs="Times New Roman"/>
                    <w:color w:val="000000"/>
                    <w:sz w:val="28"/>
                    <w:szCs w:val="36"/>
                  </w:rPr>
                </m:ctrlPr>
              </m:sSupPr>
              <m:e>
                <m:d>
                  <m:dPr>
                    <m:begChr m:val="|"/>
                    <m:endChr m:val="|"/>
                    <m:ctrlPr>
                      <w:rPr>
                        <w:rFonts w:ascii="Cambria Math" w:hAnsi="Cambria Math" w:cs="Times New Roman"/>
                        <w:color w:val="000000"/>
                        <w:sz w:val="28"/>
                        <w:szCs w:val="36"/>
                      </w:rPr>
                    </m:ctrlPr>
                  </m:dPr>
                  <m:e>
                    <m:sSub>
                      <m:sSubPr>
                        <m:ctrlPr>
                          <w:rPr>
                            <w:rFonts w:ascii="Cambria Math" w:hAnsi="Cambria Math" w:cs="Times New Roman"/>
                            <w:color w:val="000000"/>
                            <w:sz w:val="28"/>
                            <w:szCs w:val="36"/>
                          </w:rPr>
                        </m:ctrlPr>
                      </m:sSubPr>
                      <m:e>
                        <m:r>
                          <w:rPr>
                            <w:rFonts w:ascii="Cambria Math" w:hAnsi="Cambria Math" w:cs="Times New Roman"/>
                            <w:color w:val="000000"/>
                            <w:sz w:val="28"/>
                            <w:szCs w:val="36"/>
                          </w:rPr>
                          <m:t>g</m:t>
                        </m:r>
                      </m:e>
                      <m:sub>
                        <m:r>
                          <w:rPr>
                            <w:rFonts w:ascii="Cambria Math" w:hAnsi="Cambria Math" w:cs="Times New Roman"/>
                            <w:color w:val="000000"/>
                            <w:sz w:val="28"/>
                            <w:szCs w:val="36"/>
                          </w:rPr>
                          <m:t>t</m:t>
                        </m:r>
                      </m:sub>
                    </m:sSub>
                  </m:e>
                </m:d>
              </m:e>
              <m:sup>
                <m:r>
                  <w:rPr>
                    <w:rFonts w:ascii="Cambria Math" w:hAnsi="Cambria Math" w:cs="Times New Roman"/>
                    <w:color w:val="000000"/>
                    <w:sz w:val="28"/>
                    <w:szCs w:val="36"/>
                  </w:rPr>
                  <m:t>p</m:t>
                </m:r>
              </m:sup>
            </m:sSup>
          </m:e>
          <m:e>
            <m:r>
              <w:rPr>
                <w:rFonts w:ascii="Cambria Math" w:hAnsi="Cambria Math" w:cs="Times New Roman"/>
                <w:color w:val="000000"/>
                <w:sz w:val="28"/>
                <w:szCs w:val="36"/>
              </w:rPr>
              <m:t>&amp;=</m:t>
            </m:r>
            <m:d>
              <m:dPr>
                <m:ctrlPr>
                  <w:rPr>
                    <w:rFonts w:ascii="Cambria Math" w:hAnsi="Cambria Math" w:cs="Times New Roman"/>
                    <w:color w:val="000000"/>
                    <w:sz w:val="28"/>
                    <w:szCs w:val="36"/>
                  </w:rPr>
                </m:ctrlPr>
              </m:dPr>
              <m:e>
                <m:r>
                  <w:rPr>
                    <w:rFonts w:ascii="Cambria Math" w:hAnsi="Cambria Math" w:cs="Times New Roman"/>
                    <w:color w:val="000000"/>
                    <w:sz w:val="28"/>
                    <w:szCs w:val="36"/>
                  </w:rPr>
                  <m:t>1-</m:t>
                </m:r>
                <m:sSubSup>
                  <m:sSubSupPr>
                    <m:ctrlPr>
                      <w:rPr>
                        <w:rFonts w:ascii="Cambria Math" w:hAnsi="Cambria Math" w:cs="Times New Roman"/>
                        <w:color w:val="000000"/>
                        <w:sz w:val="28"/>
                        <w:szCs w:val="36"/>
                      </w:rPr>
                    </m:ctrlPr>
                  </m:sSubSupPr>
                  <m:e>
                    <m:r>
                      <w:rPr>
                        <w:rFonts w:ascii="Cambria Math" w:hAnsi="Cambria Math" w:cs="Times New Roman"/>
                        <w:color w:val="000000"/>
                        <w:sz w:val="28"/>
                        <w:szCs w:val="36"/>
                      </w:rPr>
                      <m:t>β</m:t>
                    </m:r>
                  </m:e>
                  <m:sub>
                    <m:r>
                      <w:rPr>
                        <w:rFonts w:ascii="Cambria Math" w:hAnsi="Cambria Math" w:cs="Times New Roman"/>
                        <w:color w:val="000000"/>
                        <w:sz w:val="28"/>
                        <w:szCs w:val="36"/>
                      </w:rPr>
                      <m:t>2</m:t>
                    </m:r>
                  </m:sub>
                  <m:sup>
                    <m:r>
                      <w:rPr>
                        <w:rFonts w:ascii="Cambria Math" w:hAnsi="Cambria Math" w:cs="Times New Roman"/>
                        <w:color w:val="000000"/>
                        <w:sz w:val="28"/>
                        <w:szCs w:val="36"/>
                      </w:rPr>
                      <m:t>p</m:t>
                    </m:r>
                  </m:sup>
                </m:sSubSup>
              </m:e>
            </m:d>
            <m:nary>
              <m:naryPr>
                <m:chr m:val="∑"/>
                <m:limLoc m:val="undOvr"/>
                <m:grow m:val="1"/>
                <m:ctrlPr>
                  <w:rPr>
                    <w:rFonts w:ascii="Cambria Math" w:hAnsi="Cambria Math" w:cs="Times New Roman"/>
                    <w:color w:val="000000"/>
                    <w:sz w:val="28"/>
                    <w:szCs w:val="36"/>
                  </w:rPr>
                </m:ctrlPr>
              </m:naryPr>
              <m:sub>
                <m:r>
                  <w:rPr>
                    <w:rFonts w:ascii="Cambria Math" w:hAnsi="Cambria Math" w:cs="Times New Roman"/>
                    <w:color w:val="000000"/>
                    <w:sz w:val="28"/>
                    <w:szCs w:val="36"/>
                  </w:rPr>
                  <m:t>i</m:t>
                </m:r>
                <m:r>
                  <w:rPr>
                    <w:rFonts w:ascii="Cambria Math" w:hAnsi="Cambria Math" w:cs="Times New Roman"/>
                    <w:color w:val="000000"/>
                    <w:sz w:val="28"/>
                    <w:szCs w:val="36"/>
                  </w:rPr>
                  <m:t>=1</m:t>
                </m:r>
              </m:sub>
              <m:sup>
                <m:r>
                  <w:rPr>
                    <w:rFonts w:ascii="Cambria Math" w:hAnsi="Cambria Math" w:cs="Times New Roman"/>
                    <w:color w:val="000000"/>
                    <w:sz w:val="28"/>
                    <w:szCs w:val="36"/>
                  </w:rPr>
                  <m:t>t</m:t>
                </m:r>
              </m:sup>
              <m:e>
                <m:r>
                  <w:rPr>
                    <w:rFonts w:ascii="Cambria Math" w:hAnsi="Cambria Math" w:cs="Times New Roman"/>
                    <w:color w:val="000000"/>
                    <w:sz w:val="28"/>
                    <w:szCs w:val="36"/>
                  </w:rPr>
                  <m:t> </m:t>
                </m:r>
              </m:e>
            </m:nary>
            <m:sSubSup>
              <m:sSubSupPr>
                <m:ctrlPr>
                  <w:rPr>
                    <w:rFonts w:ascii="Cambria Math" w:hAnsi="Cambria Math" w:cs="Times New Roman"/>
                    <w:color w:val="000000"/>
                    <w:sz w:val="28"/>
                    <w:szCs w:val="36"/>
                  </w:rPr>
                </m:ctrlPr>
              </m:sSubSupPr>
              <m:e>
                <m:r>
                  <w:rPr>
                    <w:rFonts w:ascii="Cambria Math" w:hAnsi="Cambria Math" w:cs="Times New Roman"/>
                    <w:color w:val="000000"/>
                    <w:sz w:val="28"/>
                    <w:szCs w:val="36"/>
                  </w:rPr>
                  <m:t>β</m:t>
                </m:r>
              </m:e>
              <m:sub>
                <m:r>
                  <w:rPr>
                    <w:rFonts w:ascii="Cambria Math" w:hAnsi="Cambria Math" w:cs="Times New Roman"/>
                    <w:color w:val="000000"/>
                    <w:sz w:val="28"/>
                    <w:szCs w:val="36"/>
                  </w:rPr>
                  <m:t>2</m:t>
                </m:r>
              </m:sub>
              <m:sup>
                <m:r>
                  <w:rPr>
                    <w:rFonts w:ascii="Cambria Math" w:hAnsi="Cambria Math" w:cs="Times New Roman"/>
                    <w:color w:val="000000"/>
                    <w:sz w:val="28"/>
                    <w:szCs w:val="36"/>
                  </w:rPr>
                  <m:t>p</m:t>
                </m:r>
                <m:r>
                  <w:rPr>
                    <w:rFonts w:ascii="Cambria Math" w:hAnsi="Cambria Math" w:cs="Times New Roman"/>
                    <w:color w:val="000000"/>
                    <w:sz w:val="28"/>
                    <w:szCs w:val="36"/>
                  </w:rPr>
                  <m:t>(</m:t>
                </m:r>
                <m:r>
                  <w:rPr>
                    <w:rFonts w:ascii="Cambria Math" w:hAnsi="Cambria Math" w:cs="Times New Roman"/>
                    <w:color w:val="000000"/>
                    <w:sz w:val="28"/>
                    <w:szCs w:val="36"/>
                  </w:rPr>
                  <m:t>t</m:t>
                </m:r>
                <m:r>
                  <w:rPr>
                    <w:rFonts w:ascii="Cambria Math" w:hAnsi="Cambria Math" w:cs="Times New Roman"/>
                    <w:color w:val="000000"/>
                    <w:sz w:val="28"/>
                    <w:szCs w:val="36"/>
                  </w:rPr>
                  <m:t>-</m:t>
                </m:r>
                <m:r>
                  <w:rPr>
                    <w:rFonts w:ascii="Cambria Math" w:hAnsi="Cambria Math" w:cs="Times New Roman"/>
                    <w:color w:val="000000"/>
                    <w:sz w:val="28"/>
                    <w:szCs w:val="36"/>
                  </w:rPr>
                  <m:t>i</m:t>
                </m:r>
                <m:r>
                  <w:rPr>
                    <w:rFonts w:ascii="Cambria Math" w:hAnsi="Cambria Math" w:cs="Times New Roman"/>
                    <w:color w:val="000000"/>
                    <w:sz w:val="28"/>
                    <w:szCs w:val="36"/>
                  </w:rPr>
                  <m:t>)</m:t>
                </m:r>
              </m:sup>
            </m:sSubSup>
            <m:r>
              <w:rPr>
                <w:rFonts w:ascii="Cambria Math" w:hAnsi="Cambria Math" w:cs="Times New Roman"/>
                <w:color w:val="000000"/>
                <w:sz w:val="28"/>
                <w:szCs w:val="36"/>
              </w:rPr>
              <m:t>⋅</m:t>
            </m:r>
            <m:sSup>
              <m:sSupPr>
                <m:ctrlPr>
                  <w:rPr>
                    <w:rFonts w:ascii="Cambria Math" w:hAnsi="Cambria Math" w:cs="Times New Roman"/>
                    <w:color w:val="000000"/>
                    <w:sz w:val="28"/>
                    <w:szCs w:val="36"/>
                  </w:rPr>
                </m:ctrlPr>
              </m:sSupPr>
              <m:e>
                <m:d>
                  <m:dPr>
                    <m:begChr m:val="|"/>
                    <m:endChr m:val="|"/>
                    <m:ctrlPr>
                      <w:rPr>
                        <w:rFonts w:ascii="Cambria Math" w:hAnsi="Cambria Math" w:cs="Times New Roman"/>
                        <w:color w:val="000000"/>
                        <w:sz w:val="28"/>
                        <w:szCs w:val="36"/>
                      </w:rPr>
                    </m:ctrlPr>
                  </m:dPr>
                  <m:e>
                    <m:sSub>
                      <m:sSubPr>
                        <m:ctrlPr>
                          <w:rPr>
                            <w:rFonts w:ascii="Cambria Math" w:hAnsi="Cambria Math" w:cs="Times New Roman"/>
                            <w:color w:val="000000"/>
                            <w:sz w:val="28"/>
                            <w:szCs w:val="36"/>
                          </w:rPr>
                        </m:ctrlPr>
                      </m:sSubPr>
                      <m:e>
                        <m:r>
                          <w:rPr>
                            <w:rFonts w:ascii="Cambria Math" w:hAnsi="Cambria Math" w:cs="Times New Roman"/>
                            <w:color w:val="000000"/>
                            <w:sz w:val="28"/>
                            <w:szCs w:val="36"/>
                          </w:rPr>
                          <m:t>g</m:t>
                        </m:r>
                      </m:e>
                      <m:sub>
                        <m:r>
                          <w:rPr>
                            <w:rFonts w:ascii="Cambria Math" w:hAnsi="Cambria Math" w:cs="Times New Roman"/>
                            <w:color w:val="000000"/>
                            <w:sz w:val="28"/>
                            <w:szCs w:val="36"/>
                          </w:rPr>
                          <m:t>i</m:t>
                        </m:r>
                      </m:sub>
                    </m:sSub>
                  </m:e>
                </m:d>
              </m:e>
              <m:sup>
                <m:r>
                  <w:rPr>
                    <w:rFonts w:ascii="Cambria Math" w:hAnsi="Cambria Math" w:cs="Times New Roman"/>
                    <w:color w:val="000000"/>
                    <w:sz w:val="28"/>
                    <w:szCs w:val="36"/>
                  </w:rPr>
                  <m:t>p</m:t>
                </m:r>
              </m:sup>
            </m:sSup>
          </m:e>
        </m:eqArr>
      </m:oMath>
      <w:r w:rsidR="00733C48" w:rsidRPr="0039681D">
        <w:rPr>
          <w:rFonts w:ascii="Times New Roman" w:hAnsi="Times New Roman" w:cs="Times New Roman" w:hint="eastAsia"/>
          <w:color w:val="000000"/>
          <w:sz w:val="28"/>
          <w:szCs w:val="36"/>
        </w:rPr>
        <w:t xml:space="preserve"> </w:t>
      </w:r>
      <w:r w:rsidR="00733C48" w:rsidRPr="0039681D">
        <w:rPr>
          <w:rFonts w:ascii="Times New Roman" w:hAnsi="Times New Roman" w:cs="Times New Roman"/>
          <w:color w:val="000000"/>
          <w:sz w:val="28"/>
          <w:szCs w:val="36"/>
        </w:rPr>
        <w:t xml:space="preserve">               </w:t>
      </w:r>
      <w:r w:rsidR="00733C48" w:rsidRPr="0039681D">
        <w:rPr>
          <w:rFonts w:ascii="Times New Roman" w:hAnsi="Times New Roman" w:cs="Times New Roman" w:hint="eastAsia"/>
          <w:color w:val="000000"/>
          <w:sz w:val="24"/>
          <w:szCs w:val="32"/>
        </w:rPr>
        <w:t>（</w:t>
      </w:r>
      <w:r w:rsidR="00733C48" w:rsidRPr="0039681D">
        <w:rPr>
          <w:rFonts w:ascii="Times New Roman" w:hAnsi="Times New Roman" w:cs="Times New Roman" w:hint="eastAsia"/>
          <w:color w:val="000000"/>
          <w:sz w:val="24"/>
          <w:szCs w:val="32"/>
        </w:rPr>
        <w:t>1</w:t>
      </w:r>
      <w:r w:rsidR="00733C48" w:rsidRPr="0039681D">
        <w:rPr>
          <w:rFonts w:ascii="Times New Roman" w:hAnsi="Times New Roman" w:cs="Times New Roman" w:hint="eastAsia"/>
          <w:color w:val="000000"/>
          <w:sz w:val="24"/>
          <w:szCs w:val="32"/>
        </w:rPr>
        <w:t>）</w:t>
      </w:r>
    </w:p>
    <w:p w14:paraId="41F4D42D" w14:textId="77777777" w:rsidR="00EF4AEA" w:rsidRPr="0039681D" w:rsidRDefault="00EF4AEA">
      <w:pPr>
        <w:rPr>
          <w:rFonts w:ascii="Times New Roman" w:hAnsi="Times New Roman" w:cs="Times New Roman"/>
          <w:color w:val="000000"/>
          <w:sz w:val="24"/>
          <w:szCs w:val="32"/>
        </w:rPr>
      </w:pPr>
    </w:p>
    <w:p w14:paraId="6CBB99C2" w14:textId="77777777" w:rsidR="00EF4AEA" w:rsidRPr="0039681D" w:rsidRDefault="00EF4AEA">
      <w:pPr>
        <w:rPr>
          <w:rFonts w:ascii="Times New Roman" w:hAnsi="Times New Roman" w:cs="Times New Roman"/>
          <w:color w:val="000000"/>
          <w:sz w:val="24"/>
          <w:szCs w:val="32"/>
        </w:rPr>
      </w:pPr>
    </w:p>
    <w:p w14:paraId="27587B44" w14:textId="3333FE9D"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V</w:t>
      </w:r>
      <w:r w:rsidRPr="0039681D">
        <w:rPr>
          <w:rFonts w:ascii="Times New Roman" w:hAnsi="Times New Roman" w:cs="Times New Roman"/>
          <w:color w:val="000000"/>
          <w:sz w:val="24"/>
          <w:szCs w:val="32"/>
          <w:vertAlign w:val="subscript"/>
        </w:rPr>
        <w:t>t</w:t>
      </w:r>
      <w:r w:rsidRPr="0039681D">
        <w:rPr>
          <w:rFonts w:ascii="Times New Roman" w:hAnsi="Times New Roman" w:cs="Times New Roman"/>
          <w:color w:val="000000"/>
          <w:sz w:val="24"/>
          <w:szCs w:val="32"/>
        </w:rPr>
        <w:t xml:space="preserve"> is the gradient value obtained by the current batch, V</w:t>
      </w:r>
      <w:r w:rsidRPr="0039681D">
        <w:rPr>
          <w:rFonts w:ascii="Times New Roman" w:hAnsi="Times New Roman" w:cs="Times New Roman"/>
          <w:color w:val="000000"/>
          <w:sz w:val="24"/>
          <w:szCs w:val="32"/>
          <w:vertAlign w:val="subscript"/>
        </w:rPr>
        <w:t>T-1</w:t>
      </w:r>
      <w:r w:rsidRPr="0039681D">
        <w:rPr>
          <w:rFonts w:ascii="Times New Roman" w:hAnsi="Times New Roman" w:cs="Times New Roman"/>
          <w:color w:val="000000"/>
          <w:sz w:val="24"/>
          <w:szCs w:val="32"/>
        </w:rPr>
        <w:t xml:space="preserve"> is the gradient value calculated by the previous batch, and g</w:t>
      </w:r>
      <w:r w:rsidRPr="0039681D">
        <w:rPr>
          <w:rFonts w:ascii="Times New Roman" w:hAnsi="Times New Roman" w:cs="Times New Roman"/>
          <w:color w:val="000000"/>
          <w:sz w:val="24"/>
          <w:szCs w:val="32"/>
          <w:vertAlign w:val="subscript"/>
        </w:rPr>
        <w:t>t</w:t>
      </w:r>
      <w:r w:rsidRPr="0039681D">
        <w:rPr>
          <w:rFonts w:ascii="Times New Roman" w:hAnsi="Times New Roman" w:cs="Times New Roman"/>
          <w:color w:val="000000"/>
          <w:sz w:val="24"/>
          <w:szCs w:val="32"/>
        </w:rPr>
        <w:t xml:space="preserve"> is the gradient value of the gradient back propagation</w:t>
      </w:r>
    </w:p>
    <w:p w14:paraId="087DB234" w14:textId="77777777" w:rsidR="005B61EA" w:rsidRPr="0039681D" w:rsidRDefault="005B61EA">
      <w:pPr>
        <w:rPr>
          <w:rFonts w:ascii="Times New Roman" w:hAnsi="Times New Roman" w:cs="Times New Roman"/>
          <w:color w:val="000000"/>
          <w:sz w:val="24"/>
          <w:szCs w:val="32"/>
        </w:rPr>
      </w:pPr>
    </w:p>
    <w:p w14:paraId="592A27D7" w14:textId="77777777" w:rsidR="005B61EA" w:rsidRPr="0039681D" w:rsidRDefault="0039681D">
      <w:pPr>
        <w:numPr>
          <w:ilvl w:val="0"/>
          <w:numId w:val="1"/>
        </w:numPr>
        <w:rPr>
          <w:rFonts w:ascii="Times New Roman" w:hAnsi="Times New Roman" w:cs="Times New Roman"/>
          <w:color w:val="000000"/>
          <w:sz w:val="24"/>
          <w:szCs w:val="32"/>
        </w:rPr>
      </w:pPr>
      <w:r w:rsidRPr="0039681D">
        <w:rPr>
          <w:rFonts w:ascii="Times New Roman" w:hAnsi="Times New Roman" w:cs="Times New Roman"/>
          <w:color w:val="000000"/>
          <w:sz w:val="24"/>
          <w:szCs w:val="32"/>
        </w:rPr>
        <w:t>The modified resnet101 model</w:t>
      </w:r>
    </w:p>
    <w:p w14:paraId="414750BA" w14:textId="77777777" w:rsidR="005B61EA" w:rsidRPr="0039681D" w:rsidRDefault="005B61EA">
      <w:pPr>
        <w:rPr>
          <w:rFonts w:ascii="Times New Roman" w:hAnsi="Times New Roman" w:cs="Times New Roman"/>
          <w:color w:val="000000"/>
          <w:sz w:val="24"/>
          <w:szCs w:val="32"/>
        </w:rPr>
      </w:pPr>
    </w:p>
    <w:p w14:paraId="67F0BF71"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Resnet is a typical Convolutional Neural Network (CNN) whose goal is to learn the abstract mapping between image data and the desired labels. the most important components of the DL model are the Residual Block and the Fully Connected Layer. The residual block consists of a convolutional layer, activation function, batch normalization, and residual connectivity to learn features from data adaptively. The DL model simulates the process of human brain analysis and extracts high-level semantic features by over</w:t>
      </w:r>
      <w:r w:rsidRPr="0039681D">
        <w:rPr>
          <w:rFonts w:ascii="Times New Roman" w:hAnsi="Times New Roman" w:cs="Times New Roman"/>
          <w:color w:val="000000"/>
          <w:sz w:val="24"/>
          <w:szCs w:val="32"/>
        </w:rPr>
        <w:t>laying multiple residual blocks, and then sends the output values to the fully-connected layer classifier through the global average pooling layer. The residual learning structure can be implemented by forward neural networks combined with residual connectivity. The residual connectivity is similar to the principle of constant mapping in that it neither generates additional parameters nor increases the computational complexity. Moreover, the whole network can still be trained by end-to-end back propagation.</w:t>
      </w:r>
    </w:p>
    <w:p w14:paraId="19ED4405" w14:textId="77777777" w:rsidR="005B61EA" w:rsidRPr="0039681D" w:rsidRDefault="005B61EA">
      <w:pPr>
        <w:rPr>
          <w:rFonts w:ascii="Times New Roman" w:hAnsi="Times New Roman" w:cs="Times New Roman"/>
          <w:color w:val="000000"/>
          <w:sz w:val="24"/>
          <w:szCs w:val="32"/>
        </w:rPr>
      </w:pPr>
    </w:p>
    <w:p w14:paraId="3E5731DC"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In this study, an end-to-end improved resnet101 model with 101 layers is constructed based on the principle of residual networks with input image size: 224 × 224. The model consists of 33 residual blocks that efficiently propagate gradients and accelerate network convergence through shortcut connections with raw CT images at the input. We also define specialized loss functions to train the model for risk prediction. The model is trained using data enhancement and fine-tuning techniques to avoid overfitting.</w:t>
      </w:r>
    </w:p>
    <w:p w14:paraId="322087AF" w14:textId="77777777" w:rsidR="005B61EA" w:rsidRPr="0039681D" w:rsidRDefault="005B61EA">
      <w:pPr>
        <w:rPr>
          <w:rFonts w:ascii="Times New Roman" w:hAnsi="Times New Roman" w:cs="Times New Roman"/>
          <w:color w:val="000000"/>
          <w:sz w:val="24"/>
          <w:szCs w:val="32"/>
        </w:rPr>
      </w:pPr>
    </w:p>
    <w:p w14:paraId="25021859"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Migration learning: Overfitting occurs when we train a DL model using a limited dataset. We perform migration learning on the data from the training set - details of migration learning; the parameters of the model trained on ImageNet (a large-scale </w:t>
      </w:r>
      <w:r w:rsidRPr="0039681D">
        <w:rPr>
          <w:rFonts w:ascii="Times New Roman" w:hAnsi="Times New Roman" w:cs="Times New Roman"/>
          <w:color w:val="000000"/>
          <w:sz w:val="24"/>
          <w:szCs w:val="32"/>
        </w:rPr>
        <w:lastRenderedPageBreak/>
        <w:t>dataset of 10 million natural images) are used as the initialization parameters of the deep model in this study, and the parameters of the convolution operation are frozen during subsequent training, and only the parameters in the fully connected layer are fine-tuned.</w:t>
      </w:r>
    </w:p>
    <w:p w14:paraId="5C6CC4A7" w14:textId="77777777" w:rsidR="005B61EA" w:rsidRPr="0039681D" w:rsidRDefault="005B61EA">
      <w:pPr>
        <w:rPr>
          <w:rFonts w:ascii="Times New Roman" w:hAnsi="Times New Roman" w:cs="Times New Roman"/>
          <w:color w:val="000000"/>
          <w:sz w:val="24"/>
          <w:szCs w:val="32"/>
        </w:rPr>
      </w:pPr>
    </w:p>
    <w:p w14:paraId="53C12EF5"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Fine-tuning: A process used for model optimization to improve model performance and reduce time by freezing shallow model parameters to train the model, allowing deep focused training of the model to obtain problem-specific features. This study builds an improved resnet101 model custom fully connected layer based on this method to improve the model performance.</w:t>
      </w:r>
    </w:p>
    <w:p w14:paraId="3533433F" w14:textId="77777777" w:rsidR="005B61EA" w:rsidRPr="0039681D" w:rsidRDefault="005B61EA">
      <w:pPr>
        <w:rPr>
          <w:rFonts w:ascii="Times New Roman" w:hAnsi="Times New Roman" w:cs="Times New Roman"/>
          <w:color w:val="000000"/>
          <w:sz w:val="24"/>
          <w:szCs w:val="32"/>
        </w:rPr>
      </w:pPr>
    </w:p>
    <w:p w14:paraId="0AA7A45A"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Loss function: In the DL learning model, the loss function is used to calculate the error between the model output and the actual label, and we define the loss function as</w:t>
      </w:r>
      <w:r w:rsidRPr="0039681D">
        <w:rPr>
          <w:rFonts w:ascii="Times New Roman" w:hAnsi="Times New Roman" w:cs="Times New Roman"/>
          <w:color w:val="000000"/>
          <w:sz w:val="24"/>
          <w:szCs w:val="32"/>
        </w:rPr>
        <w:t>：</w:t>
      </w:r>
      <w:r w:rsidRPr="0039681D">
        <w:rPr>
          <w:rFonts w:ascii="Times New Roman" w:hAnsi="Times New Roman" w:cs="Times New Roman"/>
          <w:color w:val="000000"/>
          <w:sz w:val="24"/>
          <w:szCs w:val="32"/>
        </w:rPr>
        <w:t>A scalable discrete-time survival model for neural networks</w:t>
      </w:r>
    </w:p>
    <w:p w14:paraId="5C58C9B7" w14:textId="77777777" w:rsidR="005B61EA" w:rsidRPr="0039681D" w:rsidRDefault="005B61EA">
      <w:pPr>
        <w:rPr>
          <w:rFonts w:ascii="Times New Roman" w:hAnsi="Times New Roman" w:cs="Times New Roman"/>
          <w:color w:val="000000"/>
          <w:sz w:val="24"/>
          <w:szCs w:val="32"/>
        </w:rPr>
      </w:pPr>
    </w:p>
    <w:p w14:paraId="553F5416"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Dropout: When training a complex feedforward neural network with many parameters on a training set with a small sample size, it usually has high accuracy on the training set and poor performance on the </w:t>
      </w:r>
      <w:r w:rsidRPr="0039681D">
        <w:rPr>
          <w:rFonts w:ascii="Times New Roman" w:hAnsi="Times New Roman" w:cs="Times New Roman"/>
          <w:color w:val="000000"/>
          <w:sz w:val="24"/>
          <w:szCs w:val="32"/>
        </w:rPr>
        <w:t>validation set, resulting in overfitting. Because we use Dropout to reduce the possibility of overfitting and thus improve the generalization ability of the model, Dropout can randomly and temporarily select some hidden neurons in the intermediate layers to stop working with a certain probability, while keeping the number of neurons in the input and output layers unchanged. In the process of back-propagation and parameter update, the neurons that are not removed update their corresponding weights, while the</w:t>
      </w:r>
      <w:r w:rsidRPr="0039681D">
        <w:rPr>
          <w:rFonts w:ascii="Times New Roman" w:hAnsi="Times New Roman" w:cs="Times New Roman"/>
          <w:color w:val="000000"/>
          <w:sz w:val="24"/>
          <w:szCs w:val="32"/>
        </w:rPr>
        <w:t xml:space="preserve"> weights of those neurons that are stopped remain unchanged so that they can be re-selected to participate in the update of weights in the next iteration as the starting point. The probability of Dropout is set to 0.5.</w:t>
      </w:r>
    </w:p>
    <w:p w14:paraId="7989AB54" w14:textId="77777777" w:rsidR="005B61EA" w:rsidRPr="0039681D" w:rsidRDefault="005B61EA">
      <w:pPr>
        <w:rPr>
          <w:rFonts w:ascii="Times New Roman" w:hAnsi="Times New Roman" w:cs="Times New Roman"/>
          <w:color w:val="000000"/>
          <w:sz w:val="24"/>
          <w:szCs w:val="32"/>
        </w:rPr>
      </w:pPr>
    </w:p>
    <w:p w14:paraId="317E9F77"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 xml:space="preserve">Learning rate: The learning rate controls the speed of adjusting the neural network weights based on the gradient of the loss function, and is a hyperparameter of DL. The smaller the learning rate, the slower the gradient of the loss function decreases and the longer the convergence time; if the learning rate is too small, it will cause the training set model to be easy to overfit and converge slowly, and if the learning rate is too large, it is easy to explode the loss function, easy to oscillate and will </w:t>
      </w:r>
      <w:r w:rsidRPr="0039681D">
        <w:rPr>
          <w:rFonts w:ascii="Times New Roman" w:hAnsi="Times New Roman" w:cs="Times New Roman"/>
          <w:color w:val="000000"/>
          <w:sz w:val="24"/>
          <w:szCs w:val="32"/>
        </w:rPr>
        <w:t>cross the optimal value. The initial learning rate in this study is 0.001, while the learning rate is dynamically adjusted by combining the ReduceLROnPlateau strategy, and the learning rate decreases to one-tenth of the initial learning rate when the training set loss does not decrease for 10 consecutive epochs.</w:t>
      </w:r>
    </w:p>
    <w:p w14:paraId="61B86C13" w14:textId="77777777" w:rsidR="005B61EA" w:rsidRPr="0039681D" w:rsidRDefault="005B61EA">
      <w:pPr>
        <w:rPr>
          <w:rFonts w:ascii="Times New Roman" w:hAnsi="Times New Roman" w:cs="Times New Roman"/>
          <w:color w:val="000000"/>
          <w:sz w:val="24"/>
          <w:szCs w:val="32"/>
        </w:rPr>
      </w:pPr>
    </w:p>
    <w:p w14:paraId="7B16F88E"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The overfitting phenomenon is further suppressed using the early stopping strategy, which is determined with reference to the loss on the validation set, and training is stopped when the validation set loss does not decrease for 20 consecutive epochs. Within the epoch limit, the best model with the lowest loss on the training set is preserved.</w:t>
      </w:r>
    </w:p>
    <w:p w14:paraId="3B4A4FC1" w14:textId="77777777" w:rsidR="005B61EA" w:rsidRPr="0039681D" w:rsidRDefault="005B61EA">
      <w:pPr>
        <w:rPr>
          <w:rFonts w:ascii="Times New Roman" w:hAnsi="Times New Roman" w:cs="Times New Roman"/>
          <w:color w:val="000000"/>
          <w:sz w:val="24"/>
          <w:szCs w:val="32"/>
        </w:rPr>
      </w:pPr>
    </w:p>
    <w:p w14:paraId="2CE275CF"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lastRenderedPageBreak/>
        <w:t xml:space="preserve">Appendix E4 Radiomic model </w:t>
      </w:r>
    </w:p>
    <w:p w14:paraId="06CE3FBF" w14:textId="77777777" w:rsidR="005B61EA" w:rsidRPr="0039681D" w:rsidRDefault="005B61EA">
      <w:pPr>
        <w:rPr>
          <w:rFonts w:ascii="Times New Roman" w:hAnsi="Times New Roman" w:cs="Times New Roman"/>
          <w:color w:val="000000"/>
          <w:sz w:val="24"/>
          <w:szCs w:val="32"/>
        </w:rPr>
      </w:pPr>
    </w:p>
    <w:p w14:paraId="3170490C"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Images of HCC in the arterial phase of all patients were uploaded to the deepwise platform and sketched by two experts with 7 and 8 years of radiology experience without knowledge of clinical and laboratory information. The ROI was as close to the tumor edge as possible, and the deepwise platform was then used to automatically extract features. Then the correlation coefficients between the classes were calculated to ensure the stability and repeatability of the radiological features. Then, the non-0 coeffic</w:t>
      </w:r>
      <w:r w:rsidRPr="0039681D">
        <w:rPr>
          <w:rFonts w:ascii="Times New Roman" w:hAnsi="Times New Roman" w:cs="Times New Roman"/>
          <w:color w:val="000000"/>
          <w:sz w:val="24"/>
          <w:szCs w:val="32"/>
        </w:rPr>
        <w:t>ient features were selected by LASSO COX to construct radscore and the feature correlation analysis was carried out</w:t>
      </w:r>
    </w:p>
    <w:p w14:paraId="3BAF0FDA" w14:textId="77777777" w:rsidR="005B61EA" w:rsidRPr="0039681D" w:rsidRDefault="005B61EA">
      <w:pPr>
        <w:rPr>
          <w:rFonts w:ascii="Times New Roman" w:hAnsi="Times New Roman" w:cs="Times New Roman"/>
          <w:color w:val="000000"/>
          <w:sz w:val="24"/>
          <w:szCs w:val="32"/>
        </w:rPr>
      </w:pPr>
    </w:p>
    <w:p w14:paraId="45FFE467"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Appendix E5 Statistical analysis</w:t>
      </w:r>
    </w:p>
    <w:p w14:paraId="04EA24D4" w14:textId="77777777" w:rsidR="005B61EA" w:rsidRPr="0039681D" w:rsidRDefault="005B61EA">
      <w:pPr>
        <w:rPr>
          <w:rFonts w:ascii="Times New Roman" w:hAnsi="Times New Roman" w:cs="Times New Roman"/>
          <w:color w:val="000000"/>
          <w:sz w:val="24"/>
          <w:szCs w:val="32"/>
        </w:rPr>
      </w:pPr>
    </w:p>
    <w:p w14:paraId="25939197"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Categorical variables were descripted as frequency and percentage. Comparison of clinical  features were conducted using Student’s t-test or Wilcoxon rank-sum test and chi-square test or Fisher’s exact test for continuous variables and categorical variables, respectively. LASSO COX was used to screen radiomic signatures related to survival using “glmnet” package in R. Multivariate stepwise Logistic regression was conducted to identify the independent factors associated with survival. ROC curves were plotted</w:t>
      </w:r>
      <w:r w:rsidRPr="0039681D">
        <w:rPr>
          <w:rFonts w:ascii="Times New Roman" w:hAnsi="Times New Roman" w:cs="Times New Roman"/>
          <w:color w:val="000000"/>
          <w:sz w:val="24"/>
          <w:szCs w:val="32"/>
        </w:rPr>
        <w:t xml:space="preserve"> using the "pROC" package. Calibration curves and decision curves were plotted using “rms” package and “rmda” package, respectively. All statistical analyses were performed in R software version 3.6.3, and </w:t>
      </w:r>
      <w:r w:rsidRPr="0039681D">
        <w:rPr>
          <w:rFonts w:ascii="Times New Roman" w:hAnsi="Times New Roman" w:cs="Times New Roman"/>
          <w:i/>
          <w:iCs/>
          <w:color w:val="000000"/>
          <w:sz w:val="24"/>
          <w:szCs w:val="32"/>
        </w:rPr>
        <w:t>p</w:t>
      </w:r>
      <w:r w:rsidRPr="0039681D">
        <w:rPr>
          <w:rFonts w:ascii="Times New Roman" w:hAnsi="Times New Roman" w:cs="Times New Roman"/>
          <w:color w:val="000000"/>
          <w:sz w:val="24"/>
          <w:szCs w:val="32"/>
        </w:rPr>
        <w:t xml:space="preserve"> &lt; 0.05 was considered to be statistically significant. Kaplan-Meier curves were plotted using the "survival" package in R. </w:t>
      </w:r>
    </w:p>
    <w:p w14:paraId="294506A7" w14:textId="77777777" w:rsidR="005B61EA" w:rsidRPr="0039681D" w:rsidRDefault="005B61EA">
      <w:pPr>
        <w:rPr>
          <w:rFonts w:ascii="Times New Roman" w:hAnsi="Times New Roman" w:cs="Times New Roman"/>
          <w:color w:val="000000"/>
          <w:sz w:val="24"/>
          <w:szCs w:val="32"/>
        </w:rPr>
      </w:pPr>
    </w:p>
    <w:p w14:paraId="581D025E" w14:textId="77777777" w:rsidR="005B61EA" w:rsidRPr="0039681D" w:rsidRDefault="005B61EA">
      <w:pPr>
        <w:rPr>
          <w:rFonts w:ascii="Times New Roman" w:hAnsi="Times New Roman" w:cs="Times New Roman"/>
          <w:color w:val="000000"/>
          <w:sz w:val="24"/>
          <w:szCs w:val="32"/>
        </w:rPr>
      </w:pPr>
    </w:p>
    <w:p w14:paraId="6BF0B7D9" w14:textId="77777777" w:rsidR="005B61EA" w:rsidRPr="0039681D" w:rsidRDefault="005B61EA">
      <w:pPr>
        <w:rPr>
          <w:rFonts w:ascii="Times New Roman" w:hAnsi="Times New Roman" w:cs="Times New Roman"/>
          <w:color w:val="000000"/>
          <w:sz w:val="24"/>
          <w:szCs w:val="32"/>
        </w:rPr>
      </w:pPr>
    </w:p>
    <w:p w14:paraId="0CC9E8A9"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Appendix E6 Results of LASSO feature selection</w:t>
      </w:r>
    </w:p>
    <w:p w14:paraId="38EF535E" w14:textId="77777777" w:rsidR="005B61EA" w:rsidRPr="0039681D" w:rsidRDefault="005B61EA">
      <w:pPr>
        <w:rPr>
          <w:rFonts w:ascii="Times New Roman" w:hAnsi="Times New Roman" w:cs="Times New Roman"/>
          <w:color w:val="000000"/>
          <w:sz w:val="24"/>
          <w:szCs w:val="32"/>
        </w:rPr>
      </w:pPr>
    </w:p>
    <w:p w14:paraId="505E0AEC" w14:textId="77777777" w:rsidR="005B61EA" w:rsidRPr="0039681D" w:rsidRDefault="0039681D">
      <w:pPr>
        <w:widowControl/>
        <w:jc w:val="left"/>
        <w:rPr>
          <w:rFonts w:ascii="Times New Roman" w:hAnsi="Times New Roman" w:cs="Times New Roman"/>
          <w:color w:val="000000"/>
          <w:kern w:val="0"/>
          <w:sz w:val="22"/>
          <w:szCs w:val="22"/>
          <w:lang w:bidi="ar"/>
        </w:rPr>
      </w:pPr>
      <w:r w:rsidRPr="0039681D">
        <w:rPr>
          <w:rFonts w:ascii="Times New Roman" w:hAnsi="Times New Roman" w:cs="Times New Roman"/>
          <w:color w:val="000000"/>
          <w:sz w:val="24"/>
          <w:szCs w:val="32"/>
        </w:rPr>
        <w:t>A total of 713 features were extracted from each patient's ROI, of which (88%) had satisfactory intra- and interobserver reproducibility (ICC &gt; 0.8). Subsequently, LASSO features were screened using regularized regression with penalty (α denoted as the weight of the penalty term) and the number of features was reduced to 5. Finally, Radscore was constructed from the 5 features and calculated as follows:</w:t>
      </w:r>
    </w:p>
    <w:p w14:paraId="42D5EE67" w14:textId="77777777" w:rsidR="005B61EA" w:rsidRPr="0039681D" w:rsidRDefault="005B61EA">
      <w:pPr>
        <w:widowControl/>
        <w:jc w:val="left"/>
        <w:rPr>
          <w:rFonts w:ascii="Times New Roman" w:eastAsia="SimSun" w:hAnsi="Times New Roman" w:cs="Times New Roman"/>
          <w:color w:val="000000"/>
          <w:kern w:val="0"/>
          <w:sz w:val="22"/>
          <w:szCs w:val="22"/>
          <w:lang w:bidi="ar"/>
        </w:rPr>
      </w:pPr>
    </w:p>
    <w:p w14:paraId="2427CA20" w14:textId="77777777" w:rsidR="005B61EA" w:rsidRPr="0039681D" w:rsidRDefault="0039681D">
      <w:pPr>
        <w:widowControl/>
        <w:jc w:val="left"/>
        <w:rPr>
          <w:rFonts w:ascii="Times New Roman" w:hAnsi="Times New Roman" w:cs="Times New Roman"/>
          <w:color w:val="000000"/>
          <w:sz w:val="24"/>
          <w:szCs w:val="32"/>
        </w:rPr>
      </w:pPr>
      <w:r w:rsidRPr="0039681D">
        <w:rPr>
          <w:rFonts w:ascii="Times New Roman" w:hAnsi="Times New Roman" w:cs="Times New Roman"/>
          <w:color w:val="000000"/>
          <w:sz w:val="24"/>
          <w:szCs w:val="32"/>
        </w:rPr>
        <w:t>Radscore</w:t>
      </w:r>
      <w:r w:rsidRPr="0039681D">
        <w:rPr>
          <w:rFonts w:ascii="Times New Roman" w:eastAsia="SimSun" w:hAnsi="Times New Roman" w:cs="Times New Roman"/>
          <w:color w:val="000000"/>
          <w:kern w:val="0"/>
          <w:sz w:val="22"/>
          <w:szCs w:val="22"/>
          <w:lang w:bidi="ar"/>
        </w:rPr>
        <w:t xml:space="preserve"> </w:t>
      </w:r>
      <w:r w:rsidRPr="0039681D">
        <w:rPr>
          <w:rFonts w:ascii="Times New Roman" w:hAnsi="Times New Roman" w:cs="Times New Roman"/>
          <w:color w:val="000000"/>
          <w:sz w:val="24"/>
          <w:szCs w:val="32"/>
        </w:rPr>
        <w:t>= 1.628708e-01 + gradient_glszm_ZoneEntropy × 0.062126883 +</w:t>
      </w:r>
    </w:p>
    <w:p w14:paraId="2581E5E6" w14:textId="77777777" w:rsidR="005B61EA" w:rsidRPr="0039681D" w:rsidRDefault="0039681D">
      <w:pPr>
        <w:widowControl/>
        <w:jc w:val="left"/>
        <w:rPr>
          <w:rFonts w:ascii="Times New Roman" w:hAnsi="Times New Roman" w:cs="Times New Roman"/>
          <w:color w:val="000000"/>
          <w:sz w:val="24"/>
          <w:szCs w:val="32"/>
        </w:rPr>
      </w:pPr>
      <w:r w:rsidRPr="0039681D">
        <w:rPr>
          <w:rFonts w:ascii="Times New Roman" w:hAnsi="Times New Roman" w:cs="Times New Roman"/>
          <w:color w:val="000000"/>
          <w:sz w:val="24"/>
          <w:szCs w:val="32"/>
        </w:rPr>
        <w:t>log.sigma.2.0.mm.3D_ngtdm_Contrast × -3.097256224 +</w:t>
      </w:r>
    </w:p>
    <w:p w14:paraId="035D6BD8"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log.sigma.4.0.mm.3D_glszm_SmallAreaEmphasis</w:t>
      </w:r>
      <w:r w:rsidRPr="0039681D">
        <w:rPr>
          <w:rFonts w:ascii="Times New Roman" w:hAnsi="Times New Roman" w:cs="Times New Roman"/>
          <w:color w:val="000000"/>
          <w:sz w:val="24"/>
          <w:szCs w:val="32"/>
        </w:rPr>
        <w:tab/>
        <w:t>× -0.004368544 +</w:t>
      </w:r>
    </w:p>
    <w:p w14:paraId="31FEF54B"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square_firstorder_Variance × 0.000134998 +</w:t>
      </w:r>
    </w:p>
    <w:p w14:paraId="1D14FE16" w14:textId="77777777" w:rsidR="005B61EA" w:rsidRPr="0039681D" w:rsidRDefault="0039681D">
      <w:pPr>
        <w:rPr>
          <w:rFonts w:ascii="Times New Roman" w:hAnsi="Times New Roman" w:cs="Times New Roman"/>
          <w:color w:val="000000"/>
          <w:sz w:val="24"/>
          <w:szCs w:val="32"/>
        </w:rPr>
      </w:pPr>
      <w:r w:rsidRPr="0039681D">
        <w:rPr>
          <w:rFonts w:ascii="Times New Roman" w:hAnsi="Times New Roman" w:cs="Times New Roman"/>
          <w:color w:val="000000"/>
          <w:sz w:val="24"/>
          <w:szCs w:val="32"/>
        </w:rPr>
        <w:t>wavelet.HLL_ngtdm_Complexity × 0.000507638</w:t>
      </w:r>
    </w:p>
    <w:p w14:paraId="4964628A" w14:textId="77777777" w:rsidR="005B61EA" w:rsidRPr="0039681D" w:rsidRDefault="005B61EA">
      <w:pPr>
        <w:rPr>
          <w:color w:val="000000"/>
        </w:rPr>
      </w:pPr>
    </w:p>
    <w:p w14:paraId="2B252C17" w14:textId="77777777" w:rsidR="005B61EA" w:rsidRPr="0039681D" w:rsidRDefault="005B61EA">
      <w:pPr>
        <w:rPr>
          <w:color w:val="000000"/>
        </w:rPr>
      </w:pPr>
    </w:p>
    <w:p w14:paraId="4C192DAB" w14:textId="77777777" w:rsidR="005B61EA" w:rsidRPr="0039681D" w:rsidRDefault="005B61EA">
      <w:pPr>
        <w:rPr>
          <w:color w:val="000000"/>
        </w:rPr>
      </w:pPr>
    </w:p>
    <w:p w14:paraId="7CF9E59D" w14:textId="77777777" w:rsidR="005B61EA" w:rsidRPr="0039681D" w:rsidRDefault="005B61EA">
      <w:pPr>
        <w:rPr>
          <w:color w:val="000000"/>
        </w:rPr>
      </w:pPr>
    </w:p>
    <w:p w14:paraId="19EAB8D7" w14:textId="77777777" w:rsidR="005B61EA" w:rsidRPr="0039681D" w:rsidRDefault="005B61EA">
      <w:pPr>
        <w:rPr>
          <w:color w:val="000000"/>
        </w:rPr>
      </w:pPr>
    </w:p>
    <w:p w14:paraId="5CC1CCDF" w14:textId="77777777" w:rsidR="005B61EA" w:rsidRPr="0039681D" w:rsidRDefault="005B61EA">
      <w:pPr>
        <w:rPr>
          <w:color w:val="000000"/>
        </w:rPr>
      </w:pPr>
    </w:p>
    <w:p w14:paraId="11DD6CC4" w14:textId="77777777" w:rsidR="005B61EA" w:rsidRPr="0039681D" w:rsidRDefault="005B61EA">
      <w:pPr>
        <w:rPr>
          <w:color w:val="000000"/>
        </w:rPr>
      </w:pPr>
    </w:p>
    <w:p w14:paraId="4F884EA7" w14:textId="77777777" w:rsidR="005B61EA" w:rsidRPr="0039681D" w:rsidRDefault="005B61EA">
      <w:pPr>
        <w:rPr>
          <w:color w:val="000000"/>
        </w:rPr>
      </w:pPr>
    </w:p>
    <w:p w14:paraId="3B3E4019" w14:textId="77777777" w:rsidR="005B61EA" w:rsidRPr="0039681D" w:rsidRDefault="0039681D">
      <w:pPr>
        <w:rPr>
          <w:rFonts w:ascii="Times New Roman" w:hAnsi="Times New Roman" w:cs="Times New Roman"/>
          <w:color w:val="000000"/>
        </w:rPr>
      </w:pPr>
      <w:r w:rsidRPr="0039681D">
        <w:rPr>
          <w:rFonts w:ascii="Times New Roman" w:hAnsi="Times New Roman" w:cs="Times New Roman"/>
          <w:color w:val="000000"/>
        </w:rPr>
        <w:t xml:space="preserve">Table S1 Univariate and multifactorial COX analysis of </w:t>
      </w:r>
      <w:r w:rsidRPr="0039681D">
        <w:rPr>
          <w:rFonts w:ascii="Times New Roman" w:hAnsi="Times New Roman" w:cs="Times New Roman"/>
          <w:color w:val="000000"/>
        </w:rPr>
        <w:t>DLOP</w:t>
      </w:r>
      <w:r w:rsidRPr="0039681D">
        <w:rPr>
          <w:rFonts w:ascii="Times New Roman" w:hAnsi="Times New Roman" w:cs="Times New Roman"/>
          <w:color w:val="000000"/>
          <w:vertAlign w:val="subscript"/>
        </w:rPr>
        <w:t>CTR</w:t>
      </w:r>
      <w:r w:rsidRPr="0039681D">
        <w:rPr>
          <w:rFonts w:ascii="Times New Roman" w:hAnsi="Times New Roman" w:cs="Times New Roman"/>
          <w:color w:val="000000"/>
        </w:rPr>
        <w:t xml:space="preserve"> and clinical factors</w:t>
      </w:r>
    </w:p>
    <w:p w14:paraId="5E2DDA58" w14:textId="77777777" w:rsidR="005B61EA" w:rsidRPr="0039681D" w:rsidRDefault="005B61EA">
      <w:pPr>
        <w:rPr>
          <w:color w:val="000000"/>
        </w:rPr>
      </w:pPr>
    </w:p>
    <w:tbl>
      <w:tblPr>
        <w:tblStyle w:val="TableGrid"/>
        <w:tblW w:w="8378" w:type="dxa"/>
        <w:tblInd w:w="0" w:type="dxa"/>
        <w:tblLayout w:type="fixed"/>
        <w:tblCellMar>
          <w:left w:w="108" w:type="dxa"/>
          <w:right w:w="108" w:type="dxa"/>
        </w:tblCellMar>
        <w:tblLook w:val="04A0" w:firstRow="1" w:lastRow="0" w:firstColumn="1" w:lastColumn="0" w:noHBand="0" w:noVBand="1"/>
      </w:tblPr>
      <w:tblGrid>
        <w:gridCol w:w="2275"/>
        <w:gridCol w:w="2029"/>
        <w:gridCol w:w="1051"/>
        <w:gridCol w:w="1883"/>
        <w:gridCol w:w="1140"/>
      </w:tblGrid>
      <w:tr w:rsidR="005B61EA" w:rsidRPr="0039681D" w14:paraId="27795762" w14:textId="77777777">
        <w:trPr>
          <w:trHeight w:val="325"/>
        </w:trPr>
        <w:tc>
          <w:tcPr>
            <w:tcW w:w="2275" w:type="dxa"/>
            <w:vMerge w:val="restart"/>
            <w:noWrap/>
          </w:tcPr>
          <w:p w14:paraId="201E44F4" w14:textId="77777777" w:rsidR="005B61EA" w:rsidRPr="0039681D" w:rsidRDefault="0039681D">
            <w:pPr>
              <w:jc w:val="left"/>
              <w:rPr>
                <w:rFonts w:ascii="Times New Roman" w:hAnsi="Times New Roman" w:cs="Times New Roman"/>
                <w:b/>
                <w:bCs/>
                <w:color w:val="000000"/>
                <w:szCs w:val="21"/>
              </w:rPr>
            </w:pPr>
            <w:r w:rsidRPr="0039681D">
              <w:rPr>
                <w:rFonts w:ascii="Times New Roman" w:hAnsi="Times New Roman" w:cs="Times New Roman" w:hint="eastAsia"/>
                <w:b/>
                <w:bCs/>
                <w:color w:val="000000"/>
                <w:szCs w:val="21"/>
              </w:rPr>
              <w:t>Variable</w:t>
            </w:r>
          </w:p>
        </w:tc>
        <w:tc>
          <w:tcPr>
            <w:tcW w:w="3080" w:type="dxa"/>
            <w:gridSpan w:val="2"/>
            <w:noWrap/>
          </w:tcPr>
          <w:p w14:paraId="4447F618" w14:textId="77777777" w:rsidR="005B61EA" w:rsidRPr="0039681D" w:rsidRDefault="0039681D">
            <w:pPr>
              <w:jc w:val="left"/>
              <w:rPr>
                <w:rFonts w:ascii="Times New Roman" w:hAnsi="Times New Roman" w:cs="Times New Roman"/>
                <w:b/>
                <w:bCs/>
                <w:color w:val="000000"/>
                <w:szCs w:val="21"/>
              </w:rPr>
            </w:pPr>
            <w:r w:rsidRPr="0039681D">
              <w:rPr>
                <w:rFonts w:ascii="Times New Roman" w:hAnsi="Times New Roman" w:cs="Times New Roman" w:hint="eastAsia"/>
                <w:b/>
                <w:bCs/>
                <w:color w:val="000000"/>
                <w:szCs w:val="21"/>
              </w:rPr>
              <w:t>Univariate Analysis</w:t>
            </w:r>
          </w:p>
        </w:tc>
        <w:tc>
          <w:tcPr>
            <w:tcW w:w="3023" w:type="dxa"/>
            <w:gridSpan w:val="2"/>
            <w:noWrap/>
          </w:tcPr>
          <w:p w14:paraId="17B8CC11" w14:textId="77777777" w:rsidR="005B61EA" w:rsidRPr="0039681D" w:rsidRDefault="0039681D">
            <w:pPr>
              <w:jc w:val="left"/>
              <w:rPr>
                <w:rFonts w:ascii="Times New Roman" w:hAnsi="Times New Roman" w:cs="Times New Roman"/>
                <w:b/>
                <w:bCs/>
                <w:color w:val="000000"/>
                <w:szCs w:val="21"/>
              </w:rPr>
            </w:pPr>
            <w:r w:rsidRPr="0039681D">
              <w:rPr>
                <w:rFonts w:ascii="Times New Roman" w:hAnsi="Times New Roman" w:cs="Times New Roman" w:hint="eastAsia"/>
                <w:b/>
                <w:bCs/>
                <w:color w:val="000000"/>
                <w:szCs w:val="21"/>
              </w:rPr>
              <w:t>Multivariate Analysis</w:t>
            </w:r>
          </w:p>
        </w:tc>
      </w:tr>
      <w:tr w:rsidR="005B61EA" w:rsidRPr="0039681D" w14:paraId="6B48E2BF" w14:textId="77777777">
        <w:trPr>
          <w:trHeight w:val="325"/>
        </w:trPr>
        <w:tc>
          <w:tcPr>
            <w:tcW w:w="2275" w:type="dxa"/>
            <w:vMerge/>
            <w:noWrap/>
          </w:tcPr>
          <w:p w14:paraId="751A0EB5" w14:textId="77777777" w:rsidR="005B61EA" w:rsidRPr="0039681D" w:rsidRDefault="005B61EA">
            <w:pPr>
              <w:jc w:val="left"/>
              <w:rPr>
                <w:rFonts w:ascii="Times New Roman" w:hAnsi="Times New Roman" w:cs="Times New Roman"/>
                <w:b/>
                <w:bCs/>
                <w:color w:val="000000"/>
                <w:szCs w:val="21"/>
              </w:rPr>
            </w:pPr>
          </w:p>
        </w:tc>
        <w:tc>
          <w:tcPr>
            <w:tcW w:w="2029" w:type="dxa"/>
            <w:noWrap/>
          </w:tcPr>
          <w:p w14:paraId="03B33A3B" w14:textId="77777777" w:rsidR="005B61EA" w:rsidRPr="0039681D" w:rsidRDefault="0039681D">
            <w:pPr>
              <w:jc w:val="left"/>
              <w:rPr>
                <w:rFonts w:ascii="Times New Roman" w:hAnsi="Times New Roman" w:cs="Times New Roman"/>
                <w:b/>
                <w:bCs/>
                <w:color w:val="000000"/>
                <w:szCs w:val="21"/>
              </w:rPr>
            </w:pPr>
            <w:r w:rsidRPr="0039681D">
              <w:rPr>
                <w:rFonts w:ascii="Times New Roman" w:hAnsi="Times New Roman" w:cs="Times New Roman" w:hint="eastAsia"/>
                <w:b/>
                <w:bCs/>
                <w:color w:val="000000"/>
                <w:szCs w:val="21"/>
              </w:rPr>
              <w:t>HR (95%CI)</w:t>
            </w:r>
          </w:p>
        </w:tc>
        <w:tc>
          <w:tcPr>
            <w:tcW w:w="1051" w:type="dxa"/>
            <w:noWrap/>
          </w:tcPr>
          <w:p w14:paraId="0DCDA24F" w14:textId="77777777" w:rsidR="005B61EA" w:rsidRPr="0039681D" w:rsidRDefault="0039681D">
            <w:pPr>
              <w:jc w:val="center"/>
              <w:rPr>
                <w:rFonts w:ascii="Times New Roman" w:hAnsi="Times New Roman" w:cs="Times New Roman"/>
                <w:b/>
                <w:bCs/>
                <w:color w:val="000000"/>
                <w:szCs w:val="21"/>
              </w:rPr>
            </w:pPr>
            <w:r w:rsidRPr="0039681D">
              <w:rPr>
                <w:rFonts w:ascii="Times New Roman" w:hAnsi="Times New Roman" w:cs="Times New Roman" w:hint="eastAsia"/>
                <w:b/>
                <w:bCs/>
                <w:i/>
                <w:iCs/>
                <w:color w:val="000000"/>
                <w:szCs w:val="21"/>
              </w:rPr>
              <w:t>P</w:t>
            </w:r>
          </w:p>
        </w:tc>
        <w:tc>
          <w:tcPr>
            <w:tcW w:w="1883" w:type="dxa"/>
            <w:noWrap/>
          </w:tcPr>
          <w:p w14:paraId="24D85F02" w14:textId="77777777" w:rsidR="005B61EA" w:rsidRPr="0039681D" w:rsidRDefault="0039681D">
            <w:pPr>
              <w:jc w:val="left"/>
              <w:rPr>
                <w:rFonts w:ascii="Times New Roman" w:hAnsi="Times New Roman" w:cs="Times New Roman"/>
                <w:b/>
                <w:bCs/>
                <w:color w:val="000000"/>
                <w:szCs w:val="21"/>
              </w:rPr>
            </w:pPr>
            <w:r w:rsidRPr="0039681D">
              <w:rPr>
                <w:rFonts w:ascii="Times New Roman" w:hAnsi="Times New Roman" w:cs="Times New Roman" w:hint="eastAsia"/>
                <w:b/>
                <w:bCs/>
                <w:color w:val="000000"/>
                <w:szCs w:val="21"/>
              </w:rPr>
              <w:t>HR (95%CI)</w:t>
            </w:r>
          </w:p>
        </w:tc>
        <w:tc>
          <w:tcPr>
            <w:tcW w:w="1140" w:type="dxa"/>
            <w:noWrap/>
          </w:tcPr>
          <w:p w14:paraId="1BC18CF2" w14:textId="77777777" w:rsidR="005B61EA" w:rsidRPr="0039681D" w:rsidRDefault="0039681D">
            <w:pPr>
              <w:jc w:val="center"/>
              <w:rPr>
                <w:rFonts w:ascii="Times New Roman" w:hAnsi="Times New Roman" w:cs="Times New Roman"/>
                <w:b/>
                <w:bCs/>
                <w:color w:val="000000"/>
                <w:szCs w:val="21"/>
              </w:rPr>
            </w:pPr>
            <w:r w:rsidRPr="0039681D">
              <w:rPr>
                <w:rFonts w:ascii="Times New Roman" w:hAnsi="Times New Roman" w:cs="Times New Roman" w:hint="eastAsia"/>
                <w:b/>
                <w:bCs/>
                <w:i/>
                <w:iCs/>
                <w:color w:val="000000"/>
                <w:szCs w:val="21"/>
              </w:rPr>
              <w:t>P</w:t>
            </w:r>
          </w:p>
        </w:tc>
      </w:tr>
      <w:tr w:rsidR="005B61EA" w:rsidRPr="0039681D" w14:paraId="6AE3A40B" w14:textId="77777777">
        <w:trPr>
          <w:trHeight w:val="325"/>
        </w:trPr>
        <w:tc>
          <w:tcPr>
            <w:tcW w:w="2275" w:type="dxa"/>
            <w:noWrap/>
          </w:tcPr>
          <w:p w14:paraId="662FBA7C" w14:textId="77777777" w:rsidR="005B61EA" w:rsidRPr="0039681D" w:rsidRDefault="0039681D">
            <w:pPr>
              <w:pStyle w:val="ListParagraph"/>
              <w:ind w:firstLineChars="0" w:firstLine="0"/>
              <w:jc w:val="left"/>
              <w:rPr>
                <w:rFonts w:ascii="Times New Roman" w:hAnsi="Times New Roman" w:cs="Times New Roman"/>
                <w:color w:val="000000"/>
                <w:szCs w:val="21"/>
              </w:rPr>
            </w:pPr>
            <w:r w:rsidRPr="0039681D">
              <w:rPr>
                <w:rFonts w:ascii="Times New Roman" w:hAnsi="Times New Roman" w:cs="Times New Roman" w:hint="eastAsia"/>
                <w:color w:val="000000"/>
                <w:szCs w:val="21"/>
              </w:rPr>
              <w:t>Age</w:t>
            </w:r>
          </w:p>
        </w:tc>
        <w:tc>
          <w:tcPr>
            <w:tcW w:w="2029" w:type="dxa"/>
            <w:noWrap/>
          </w:tcPr>
          <w:p w14:paraId="5012260D"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0.98(0.96-0.99)</w:t>
            </w:r>
          </w:p>
        </w:tc>
        <w:tc>
          <w:tcPr>
            <w:tcW w:w="1051" w:type="dxa"/>
            <w:noWrap/>
          </w:tcPr>
          <w:p w14:paraId="634A95FD"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&lt; 0.05</w:t>
            </w:r>
          </w:p>
        </w:tc>
        <w:tc>
          <w:tcPr>
            <w:tcW w:w="1883" w:type="dxa"/>
            <w:noWrap/>
          </w:tcPr>
          <w:p w14:paraId="3F68FFE0" w14:textId="77777777" w:rsidR="005B61EA" w:rsidRPr="0039681D" w:rsidRDefault="0039681D">
            <w:pPr>
              <w:jc w:val="center"/>
              <w:rPr>
                <w:color w:val="000000"/>
                <w:sz w:val="18"/>
                <w:szCs w:val="18"/>
              </w:rPr>
            </w:pPr>
            <w:r w:rsidRPr="0039681D">
              <w:rPr>
                <w:rFonts w:hint="eastAsia"/>
                <w:color w:val="000000"/>
                <w:sz w:val="18"/>
                <w:szCs w:val="18"/>
              </w:rPr>
              <w:t>1.00 (0.98-1.00)</w:t>
            </w:r>
          </w:p>
        </w:tc>
        <w:tc>
          <w:tcPr>
            <w:tcW w:w="1140" w:type="dxa"/>
            <w:noWrap/>
          </w:tcPr>
          <w:p w14:paraId="3A2CFC9B" w14:textId="77777777" w:rsidR="005B61EA" w:rsidRPr="0039681D" w:rsidRDefault="0039681D">
            <w:pPr>
              <w:jc w:val="center"/>
              <w:rPr>
                <w:color w:val="000000"/>
                <w:sz w:val="18"/>
                <w:szCs w:val="18"/>
              </w:rPr>
            </w:pPr>
            <w:r w:rsidRPr="0039681D">
              <w:rPr>
                <w:rFonts w:hint="eastAsia"/>
                <w:color w:val="000000"/>
                <w:sz w:val="18"/>
                <w:szCs w:val="18"/>
              </w:rPr>
              <w:t>0.</w:t>
            </w:r>
            <w:r w:rsidRPr="0039681D">
              <w:rPr>
                <w:color w:val="000000"/>
                <w:sz w:val="18"/>
                <w:szCs w:val="18"/>
              </w:rPr>
              <w:t>72</w:t>
            </w:r>
          </w:p>
        </w:tc>
      </w:tr>
      <w:tr w:rsidR="005B61EA" w:rsidRPr="0039681D" w14:paraId="73F01681" w14:textId="77777777">
        <w:trPr>
          <w:trHeight w:val="325"/>
        </w:trPr>
        <w:tc>
          <w:tcPr>
            <w:tcW w:w="2275" w:type="dxa"/>
            <w:noWrap/>
          </w:tcPr>
          <w:p w14:paraId="3A191CC1"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Gender</w:t>
            </w:r>
          </w:p>
        </w:tc>
        <w:tc>
          <w:tcPr>
            <w:tcW w:w="2029" w:type="dxa"/>
            <w:noWrap/>
          </w:tcPr>
          <w:p w14:paraId="7070DB2C"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1.00 (0.78-1.40)</w:t>
            </w:r>
          </w:p>
        </w:tc>
        <w:tc>
          <w:tcPr>
            <w:tcW w:w="1051" w:type="dxa"/>
            <w:noWrap/>
          </w:tcPr>
          <w:p w14:paraId="349516A1"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0.78</w:t>
            </w:r>
          </w:p>
        </w:tc>
        <w:tc>
          <w:tcPr>
            <w:tcW w:w="1883" w:type="dxa"/>
            <w:noWrap/>
          </w:tcPr>
          <w:p w14:paraId="5691EAD7" w14:textId="77777777" w:rsidR="005B61EA" w:rsidRPr="0039681D" w:rsidRDefault="005B61EA">
            <w:pPr>
              <w:jc w:val="center"/>
              <w:rPr>
                <w:color w:val="000000"/>
                <w:sz w:val="18"/>
                <w:szCs w:val="18"/>
              </w:rPr>
            </w:pPr>
          </w:p>
        </w:tc>
        <w:tc>
          <w:tcPr>
            <w:tcW w:w="1140" w:type="dxa"/>
            <w:noWrap/>
          </w:tcPr>
          <w:p w14:paraId="36EB1778" w14:textId="77777777" w:rsidR="005B61EA" w:rsidRPr="0039681D" w:rsidRDefault="005B61EA">
            <w:pPr>
              <w:jc w:val="center"/>
              <w:rPr>
                <w:color w:val="000000"/>
                <w:sz w:val="18"/>
                <w:szCs w:val="18"/>
              </w:rPr>
            </w:pPr>
          </w:p>
        </w:tc>
      </w:tr>
      <w:tr w:rsidR="005B61EA" w:rsidRPr="0039681D" w14:paraId="45CE116D" w14:textId="77777777">
        <w:trPr>
          <w:trHeight w:val="325"/>
        </w:trPr>
        <w:tc>
          <w:tcPr>
            <w:tcW w:w="2275" w:type="dxa"/>
            <w:noWrap/>
          </w:tcPr>
          <w:p w14:paraId="5C9C50BE"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Portal Hypertension</w:t>
            </w:r>
          </w:p>
        </w:tc>
        <w:tc>
          <w:tcPr>
            <w:tcW w:w="2029" w:type="dxa"/>
            <w:noWrap/>
          </w:tcPr>
          <w:p w14:paraId="73D268DB"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0.79 (0.59-1.10)</w:t>
            </w:r>
          </w:p>
        </w:tc>
        <w:tc>
          <w:tcPr>
            <w:tcW w:w="1051" w:type="dxa"/>
            <w:noWrap/>
          </w:tcPr>
          <w:p w14:paraId="6A0D7F9C"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0.11</w:t>
            </w:r>
          </w:p>
        </w:tc>
        <w:tc>
          <w:tcPr>
            <w:tcW w:w="1883" w:type="dxa"/>
            <w:noWrap/>
          </w:tcPr>
          <w:p w14:paraId="22E56CCC" w14:textId="77777777" w:rsidR="005B61EA" w:rsidRPr="0039681D" w:rsidRDefault="005B61EA">
            <w:pPr>
              <w:jc w:val="center"/>
              <w:rPr>
                <w:color w:val="000000"/>
                <w:sz w:val="18"/>
                <w:szCs w:val="18"/>
              </w:rPr>
            </w:pPr>
          </w:p>
        </w:tc>
        <w:tc>
          <w:tcPr>
            <w:tcW w:w="1140" w:type="dxa"/>
            <w:noWrap/>
          </w:tcPr>
          <w:p w14:paraId="568BA1E1" w14:textId="77777777" w:rsidR="005B61EA" w:rsidRPr="0039681D" w:rsidRDefault="005B61EA">
            <w:pPr>
              <w:jc w:val="center"/>
              <w:rPr>
                <w:color w:val="000000"/>
                <w:sz w:val="18"/>
                <w:szCs w:val="18"/>
              </w:rPr>
            </w:pPr>
          </w:p>
        </w:tc>
      </w:tr>
      <w:tr w:rsidR="005B61EA" w:rsidRPr="0039681D" w14:paraId="30C33A92" w14:textId="77777777">
        <w:trPr>
          <w:trHeight w:val="325"/>
        </w:trPr>
        <w:tc>
          <w:tcPr>
            <w:tcW w:w="2275" w:type="dxa"/>
            <w:noWrap/>
          </w:tcPr>
          <w:p w14:paraId="0D7F5087"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Diabetes</w:t>
            </w:r>
          </w:p>
        </w:tc>
        <w:tc>
          <w:tcPr>
            <w:tcW w:w="2029" w:type="dxa"/>
            <w:noWrap/>
          </w:tcPr>
          <w:p w14:paraId="6840FAEC"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 xml:space="preserve">0.89 </w:t>
            </w:r>
            <w:r w:rsidRPr="0039681D">
              <w:rPr>
                <w:rFonts w:hint="eastAsia"/>
                <w:color w:val="000000"/>
                <w:sz w:val="18"/>
                <w:szCs w:val="18"/>
              </w:rPr>
              <w:t>(0.65-1.2)</w:t>
            </w:r>
          </w:p>
        </w:tc>
        <w:tc>
          <w:tcPr>
            <w:tcW w:w="1051" w:type="dxa"/>
            <w:noWrap/>
          </w:tcPr>
          <w:p w14:paraId="1FE70C33"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0.47</w:t>
            </w:r>
          </w:p>
        </w:tc>
        <w:tc>
          <w:tcPr>
            <w:tcW w:w="1883" w:type="dxa"/>
            <w:noWrap/>
          </w:tcPr>
          <w:p w14:paraId="7DCBB98B" w14:textId="77777777" w:rsidR="005B61EA" w:rsidRPr="0039681D" w:rsidRDefault="005B61EA">
            <w:pPr>
              <w:jc w:val="center"/>
              <w:rPr>
                <w:color w:val="000000"/>
                <w:sz w:val="18"/>
                <w:szCs w:val="18"/>
              </w:rPr>
            </w:pPr>
          </w:p>
        </w:tc>
        <w:tc>
          <w:tcPr>
            <w:tcW w:w="1140" w:type="dxa"/>
            <w:noWrap/>
          </w:tcPr>
          <w:p w14:paraId="0B9A1278" w14:textId="77777777" w:rsidR="005B61EA" w:rsidRPr="0039681D" w:rsidRDefault="005B61EA">
            <w:pPr>
              <w:jc w:val="center"/>
              <w:rPr>
                <w:color w:val="000000"/>
                <w:sz w:val="18"/>
                <w:szCs w:val="18"/>
              </w:rPr>
            </w:pPr>
          </w:p>
        </w:tc>
      </w:tr>
      <w:tr w:rsidR="005B61EA" w:rsidRPr="0039681D" w14:paraId="293E1DF7" w14:textId="77777777">
        <w:trPr>
          <w:trHeight w:val="325"/>
        </w:trPr>
        <w:tc>
          <w:tcPr>
            <w:tcW w:w="2275" w:type="dxa"/>
            <w:noWrap/>
          </w:tcPr>
          <w:p w14:paraId="4CAAB6A0"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Cirrhosis</w:t>
            </w:r>
          </w:p>
        </w:tc>
        <w:tc>
          <w:tcPr>
            <w:tcW w:w="2029" w:type="dxa"/>
            <w:noWrap/>
          </w:tcPr>
          <w:p w14:paraId="4C2CEBD2"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0.87 (0.68-1.1)</w:t>
            </w:r>
          </w:p>
        </w:tc>
        <w:tc>
          <w:tcPr>
            <w:tcW w:w="1051" w:type="dxa"/>
            <w:noWrap/>
          </w:tcPr>
          <w:p w14:paraId="725FAD01"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0.28</w:t>
            </w:r>
          </w:p>
        </w:tc>
        <w:tc>
          <w:tcPr>
            <w:tcW w:w="1883" w:type="dxa"/>
            <w:noWrap/>
          </w:tcPr>
          <w:p w14:paraId="5B7CF7C6" w14:textId="77777777" w:rsidR="005B61EA" w:rsidRPr="0039681D" w:rsidRDefault="005B61EA">
            <w:pPr>
              <w:jc w:val="center"/>
              <w:rPr>
                <w:color w:val="000000"/>
                <w:sz w:val="18"/>
                <w:szCs w:val="18"/>
              </w:rPr>
            </w:pPr>
          </w:p>
        </w:tc>
        <w:tc>
          <w:tcPr>
            <w:tcW w:w="1140" w:type="dxa"/>
            <w:noWrap/>
          </w:tcPr>
          <w:p w14:paraId="643A3CDF" w14:textId="77777777" w:rsidR="005B61EA" w:rsidRPr="0039681D" w:rsidRDefault="005B61EA">
            <w:pPr>
              <w:jc w:val="center"/>
              <w:rPr>
                <w:color w:val="000000"/>
                <w:sz w:val="18"/>
                <w:szCs w:val="18"/>
              </w:rPr>
            </w:pPr>
          </w:p>
        </w:tc>
      </w:tr>
      <w:tr w:rsidR="005B61EA" w:rsidRPr="0039681D" w14:paraId="3D0AE84E" w14:textId="77777777">
        <w:trPr>
          <w:trHeight w:val="325"/>
        </w:trPr>
        <w:tc>
          <w:tcPr>
            <w:tcW w:w="2275" w:type="dxa"/>
            <w:noWrap/>
          </w:tcPr>
          <w:p w14:paraId="4F10563C"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Hepatitis</w:t>
            </w:r>
          </w:p>
        </w:tc>
        <w:tc>
          <w:tcPr>
            <w:tcW w:w="2029" w:type="dxa"/>
            <w:noWrap/>
          </w:tcPr>
          <w:p w14:paraId="40C91CE7"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0.75 (0.51-1.1)</w:t>
            </w:r>
          </w:p>
        </w:tc>
        <w:tc>
          <w:tcPr>
            <w:tcW w:w="1051" w:type="dxa"/>
            <w:noWrap/>
          </w:tcPr>
          <w:p w14:paraId="7E66B357"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0.14</w:t>
            </w:r>
          </w:p>
        </w:tc>
        <w:tc>
          <w:tcPr>
            <w:tcW w:w="1883" w:type="dxa"/>
            <w:noWrap/>
          </w:tcPr>
          <w:p w14:paraId="44FB0040" w14:textId="77777777" w:rsidR="005B61EA" w:rsidRPr="0039681D" w:rsidRDefault="005B61EA">
            <w:pPr>
              <w:pStyle w:val="ListParagraph"/>
              <w:ind w:firstLineChars="0" w:firstLine="0"/>
              <w:jc w:val="center"/>
              <w:rPr>
                <w:color w:val="000000"/>
                <w:sz w:val="18"/>
                <w:szCs w:val="18"/>
              </w:rPr>
            </w:pPr>
          </w:p>
        </w:tc>
        <w:tc>
          <w:tcPr>
            <w:tcW w:w="1140" w:type="dxa"/>
            <w:noWrap/>
          </w:tcPr>
          <w:p w14:paraId="6C456399" w14:textId="77777777" w:rsidR="005B61EA" w:rsidRPr="0039681D" w:rsidRDefault="005B61EA">
            <w:pPr>
              <w:pStyle w:val="ListParagraph"/>
              <w:ind w:firstLineChars="0" w:firstLine="0"/>
              <w:jc w:val="center"/>
              <w:rPr>
                <w:color w:val="000000"/>
                <w:sz w:val="18"/>
                <w:szCs w:val="18"/>
              </w:rPr>
            </w:pPr>
          </w:p>
        </w:tc>
      </w:tr>
      <w:tr w:rsidR="005B61EA" w:rsidRPr="0039681D" w14:paraId="2DCF7D06" w14:textId="77777777">
        <w:trPr>
          <w:trHeight w:val="325"/>
        </w:trPr>
        <w:tc>
          <w:tcPr>
            <w:tcW w:w="2275" w:type="dxa"/>
            <w:noWrap/>
            <w:vAlign w:val="center"/>
          </w:tcPr>
          <w:p w14:paraId="667EDEC3" w14:textId="77777777" w:rsidR="005B61EA" w:rsidRPr="0039681D" w:rsidRDefault="0039681D">
            <w:pPr>
              <w:jc w:val="left"/>
              <w:rPr>
                <w:b/>
                <w:bCs/>
                <w:color w:val="000000"/>
                <w:sz w:val="18"/>
                <w:szCs w:val="18"/>
              </w:rPr>
            </w:pPr>
            <w:r w:rsidRPr="0039681D">
              <w:rPr>
                <w:rFonts w:hint="eastAsia"/>
                <w:b/>
                <w:bCs/>
                <w:color w:val="000000"/>
                <w:sz w:val="18"/>
                <w:szCs w:val="18"/>
              </w:rPr>
              <w:t>Child-Pugh score</w:t>
            </w:r>
          </w:p>
        </w:tc>
        <w:tc>
          <w:tcPr>
            <w:tcW w:w="2029" w:type="dxa"/>
            <w:noWrap/>
            <w:vAlign w:val="center"/>
          </w:tcPr>
          <w:p w14:paraId="2C34C44B"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1.447 (1.078-1.941)</w:t>
            </w:r>
          </w:p>
        </w:tc>
        <w:tc>
          <w:tcPr>
            <w:tcW w:w="1051" w:type="dxa"/>
            <w:noWrap/>
            <w:vAlign w:val="center"/>
          </w:tcPr>
          <w:p w14:paraId="7F5B48D5" w14:textId="77777777" w:rsidR="005B61EA" w:rsidRPr="0039681D" w:rsidRDefault="0039681D">
            <w:pPr>
              <w:widowControl/>
              <w:jc w:val="center"/>
              <w:textAlignment w:val="top"/>
              <w:rPr>
                <w:color w:val="000000"/>
                <w:sz w:val="18"/>
                <w:szCs w:val="18"/>
                <w:lang w:eastAsia="zh-Hans"/>
              </w:rPr>
            </w:pPr>
            <w:r w:rsidRPr="0039681D">
              <w:rPr>
                <w:color w:val="000000"/>
                <w:sz w:val="18"/>
                <w:szCs w:val="18"/>
              </w:rPr>
              <w:t>0</w:t>
            </w:r>
            <w:r w:rsidRPr="0039681D">
              <w:rPr>
                <w:rFonts w:hint="eastAsia"/>
                <w:color w:val="000000"/>
                <w:sz w:val="18"/>
                <w:szCs w:val="18"/>
                <w:lang w:eastAsia="zh-Hans"/>
              </w:rPr>
              <w:t>.</w:t>
            </w:r>
            <w:r w:rsidRPr="0039681D">
              <w:rPr>
                <w:color w:val="000000"/>
                <w:sz w:val="18"/>
                <w:szCs w:val="18"/>
                <w:lang w:eastAsia="zh-Hans"/>
              </w:rPr>
              <w:t>01</w:t>
            </w:r>
          </w:p>
        </w:tc>
        <w:tc>
          <w:tcPr>
            <w:tcW w:w="1883" w:type="dxa"/>
            <w:noWrap/>
            <w:vAlign w:val="center"/>
          </w:tcPr>
          <w:p w14:paraId="6C06208B" w14:textId="77777777" w:rsidR="005B61EA" w:rsidRPr="0039681D" w:rsidRDefault="0039681D">
            <w:pPr>
              <w:widowControl/>
              <w:jc w:val="center"/>
              <w:textAlignment w:val="top"/>
              <w:rPr>
                <w:color w:val="000000"/>
                <w:sz w:val="18"/>
                <w:szCs w:val="18"/>
                <w:lang w:eastAsia="zh-Hans"/>
              </w:rPr>
            </w:pPr>
            <w:r w:rsidRPr="0039681D">
              <w:rPr>
                <w:color w:val="000000"/>
                <w:sz w:val="18"/>
                <w:szCs w:val="18"/>
              </w:rPr>
              <w:t>1</w:t>
            </w:r>
            <w:r w:rsidRPr="0039681D">
              <w:rPr>
                <w:rFonts w:hint="eastAsia"/>
                <w:color w:val="000000"/>
                <w:sz w:val="18"/>
                <w:szCs w:val="18"/>
                <w:lang w:eastAsia="zh-Hans"/>
              </w:rPr>
              <w:t>.</w:t>
            </w:r>
            <w:r w:rsidRPr="0039681D">
              <w:rPr>
                <w:color w:val="000000"/>
                <w:sz w:val="18"/>
                <w:szCs w:val="18"/>
                <w:lang w:eastAsia="zh-Hans"/>
              </w:rPr>
              <w:t>357</w:t>
            </w:r>
            <w:r w:rsidRPr="0039681D">
              <w:rPr>
                <w:color w:val="000000"/>
                <w:sz w:val="18"/>
                <w:szCs w:val="18"/>
              </w:rPr>
              <w:t xml:space="preserve"> (0</w:t>
            </w:r>
            <w:r w:rsidRPr="0039681D">
              <w:rPr>
                <w:rFonts w:hint="eastAsia"/>
                <w:color w:val="000000"/>
                <w:sz w:val="18"/>
                <w:szCs w:val="18"/>
                <w:lang w:eastAsia="zh-Hans"/>
              </w:rPr>
              <w:t>.</w:t>
            </w:r>
            <w:r w:rsidRPr="0039681D">
              <w:rPr>
                <w:color w:val="000000"/>
                <w:sz w:val="18"/>
                <w:szCs w:val="18"/>
                <w:lang w:eastAsia="zh-Hans"/>
              </w:rPr>
              <w:t>995</w:t>
            </w:r>
            <w:r w:rsidRPr="0039681D">
              <w:rPr>
                <w:rFonts w:hint="eastAsia"/>
                <w:color w:val="000000"/>
                <w:sz w:val="18"/>
                <w:szCs w:val="18"/>
              </w:rPr>
              <w:t>-</w:t>
            </w:r>
            <w:r w:rsidRPr="0039681D">
              <w:rPr>
                <w:color w:val="000000"/>
                <w:sz w:val="18"/>
                <w:szCs w:val="18"/>
              </w:rPr>
              <w:t xml:space="preserve"> 1</w:t>
            </w:r>
            <w:r w:rsidRPr="0039681D">
              <w:rPr>
                <w:rFonts w:hint="eastAsia"/>
                <w:color w:val="000000"/>
                <w:sz w:val="18"/>
                <w:szCs w:val="18"/>
                <w:lang w:eastAsia="zh-Hans"/>
              </w:rPr>
              <w:t>.</w:t>
            </w:r>
            <w:r w:rsidRPr="0039681D">
              <w:rPr>
                <w:color w:val="000000"/>
                <w:sz w:val="18"/>
                <w:szCs w:val="18"/>
                <w:lang w:eastAsia="zh-Hans"/>
              </w:rPr>
              <w:t>851</w:t>
            </w:r>
            <w:r w:rsidRPr="0039681D">
              <w:rPr>
                <w:color w:val="000000"/>
                <w:sz w:val="18"/>
                <w:szCs w:val="18"/>
              </w:rPr>
              <w:t>)</w:t>
            </w:r>
          </w:p>
        </w:tc>
        <w:tc>
          <w:tcPr>
            <w:tcW w:w="1140" w:type="dxa"/>
            <w:noWrap/>
            <w:vAlign w:val="center"/>
          </w:tcPr>
          <w:p w14:paraId="421B566D" w14:textId="77777777" w:rsidR="005B61EA" w:rsidRPr="0039681D" w:rsidRDefault="0039681D">
            <w:pPr>
              <w:widowControl/>
              <w:jc w:val="center"/>
              <w:textAlignment w:val="top"/>
              <w:rPr>
                <w:color w:val="000000"/>
                <w:sz w:val="18"/>
                <w:szCs w:val="18"/>
              </w:rPr>
            </w:pPr>
            <w:r w:rsidRPr="0039681D">
              <w:rPr>
                <w:color w:val="000000"/>
                <w:sz w:val="18"/>
                <w:szCs w:val="18"/>
              </w:rPr>
              <w:t>0.0537</w:t>
            </w:r>
          </w:p>
        </w:tc>
      </w:tr>
      <w:tr w:rsidR="005B61EA" w:rsidRPr="0039681D" w14:paraId="4A0BD84F" w14:textId="77777777">
        <w:trPr>
          <w:trHeight w:val="325"/>
        </w:trPr>
        <w:tc>
          <w:tcPr>
            <w:tcW w:w="2275" w:type="dxa"/>
            <w:noWrap/>
          </w:tcPr>
          <w:p w14:paraId="0BFC1877"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AFP</w:t>
            </w:r>
          </w:p>
        </w:tc>
        <w:tc>
          <w:tcPr>
            <w:tcW w:w="2029" w:type="dxa"/>
            <w:noWrap/>
          </w:tcPr>
          <w:p w14:paraId="61433311" w14:textId="77777777" w:rsidR="005B61EA" w:rsidRPr="0039681D" w:rsidRDefault="0039681D">
            <w:pPr>
              <w:widowControl/>
              <w:jc w:val="center"/>
              <w:textAlignment w:val="top"/>
              <w:rPr>
                <w:color w:val="000000"/>
                <w:sz w:val="18"/>
                <w:szCs w:val="18"/>
              </w:rPr>
            </w:pPr>
            <w:r w:rsidRPr="0039681D">
              <w:rPr>
                <w:color w:val="000000"/>
                <w:sz w:val="18"/>
                <w:szCs w:val="18"/>
              </w:rPr>
              <w:t>1.59(0.78-3.26)</w:t>
            </w:r>
          </w:p>
        </w:tc>
        <w:tc>
          <w:tcPr>
            <w:tcW w:w="1051" w:type="dxa"/>
            <w:noWrap/>
          </w:tcPr>
          <w:p w14:paraId="6A0B08F6" w14:textId="77777777" w:rsidR="005B61EA" w:rsidRPr="0039681D" w:rsidRDefault="0039681D">
            <w:pPr>
              <w:widowControl/>
              <w:jc w:val="center"/>
              <w:textAlignment w:val="top"/>
              <w:rPr>
                <w:color w:val="000000"/>
                <w:sz w:val="18"/>
                <w:szCs w:val="18"/>
              </w:rPr>
            </w:pPr>
            <w:r w:rsidRPr="0039681D">
              <w:rPr>
                <w:color w:val="000000"/>
                <w:sz w:val="18"/>
                <w:szCs w:val="18"/>
              </w:rPr>
              <w:t>0.2</w:t>
            </w:r>
            <w:r w:rsidRPr="0039681D">
              <w:rPr>
                <w:rFonts w:hint="eastAsia"/>
                <w:color w:val="000000"/>
                <w:sz w:val="18"/>
                <w:szCs w:val="18"/>
              </w:rPr>
              <w:t>0</w:t>
            </w:r>
          </w:p>
        </w:tc>
        <w:tc>
          <w:tcPr>
            <w:tcW w:w="1883" w:type="dxa"/>
            <w:noWrap/>
          </w:tcPr>
          <w:p w14:paraId="4463B3E3" w14:textId="77777777" w:rsidR="005B61EA" w:rsidRPr="0039681D" w:rsidRDefault="005B61EA">
            <w:pPr>
              <w:pStyle w:val="ListParagraph"/>
              <w:ind w:firstLineChars="0" w:firstLine="0"/>
              <w:jc w:val="center"/>
              <w:rPr>
                <w:color w:val="000000"/>
                <w:sz w:val="18"/>
                <w:szCs w:val="18"/>
              </w:rPr>
            </w:pPr>
          </w:p>
        </w:tc>
        <w:tc>
          <w:tcPr>
            <w:tcW w:w="1140" w:type="dxa"/>
            <w:noWrap/>
          </w:tcPr>
          <w:p w14:paraId="3FF8E23B" w14:textId="77777777" w:rsidR="005B61EA" w:rsidRPr="0039681D" w:rsidRDefault="005B61EA">
            <w:pPr>
              <w:pStyle w:val="ListParagraph"/>
              <w:ind w:firstLineChars="0" w:firstLine="0"/>
              <w:jc w:val="center"/>
              <w:rPr>
                <w:color w:val="000000"/>
                <w:sz w:val="18"/>
                <w:szCs w:val="18"/>
              </w:rPr>
            </w:pPr>
          </w:p>
        </w:tc>
      </w:tr>
      <w:tr w:rsidR="005B61EA" w:rsidRPr="0039681D" w14:paraId="079B5CF6" w14:textId="77777777">
        <w:trPr>
          <w:trHeight w:val="325"/>
        </w:trPr>
        <w:tc>
          <w:tcPr>
            <w:tcW w:w="2275" w:type="dxa"/>
            <w:noWrap/>
          </w:tcPr>
          <w:p w14:paraId="43763799"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AST</w:t>
            </w:r>
          </w:p>
        </w:tc>
        <w:tc>
          <w:tcPr>
            <w:tcW w:w="2029" w:type="dxa"/>
            <w:noWrap/>
          </w:tcPr>
          <w:p w14:paraId="293FCDD0" w14:textId="77777777" w:rsidR="005B61EA" w:rsidRPr="0039681D" w:rsidRDefault="0039681D">
            <w:pPr>
              <w:widowControl/>
              <w:jc w:val="center"/>
              <w:textAlignment w:val="top"/>
              <w:rPr>
                <w:color w:val="000000"/>
                <w:sz w:val="18"/>
                <w:szCs w:val="18"/>
              </w:rPr>
            </w:pPr>
            <w:r w:rsidRPr="0039681D">
              <w:rPr>
                <w:color w:val="000000"/>
                <w:sz w:val="18"/>
                <w:szCs w:val="18"/>
              </w:rPr>
              <w:t>1.93(0.71-5.26)</w:t>
            </w:r>
          </w:p>
        </w:tc>
        <w:tc>
          <w:tcPr>
            <w:tcW w:w="1051" w:type="dxa"/>
            <w:noWrap/>
          </w:tcPr>
          <w:p w14:paraId="0FC76740" w14:textId="77777777" w:rsidR="005B61EA" w:rsidRPr="0039681D" w:rsidRDefault="0039681D">
            <w:pPr>
              <w:widowControl/>
              <w:jc w:val="center"/>
              <w:textAlignment w:val="top"/>
              <w:rPr>
                <w:color w:val="000000"/>
                <w:sz w:val="18"/>
                <w:szCs w:val="18"/>
              </w:rPr>
            </w:pPr>
            <w:r w:rsidRPr="0039681D">
              <w:rPr>
                <w:color w:val="000000"/>
                <w:sz w:val="18"/>
                <w:szCs w:val="18"/>
              </w:rPr>
              <w:t>0.20</w:t>
            </w:r>
          </w:p>
        </w:tc>
        <w:tc>
          <w:tcPr>
            <w:tcW w:w="1883" w:type="dxa"/>
            <w:noWrap/>
          </w:tcPr>
          <w:p w14:paraId="6FD0CF0D" w14:textId="77777777" w:rsidR="005B61EA" w:rsidRPr="0039681D" w:rsidRDefault="005B61EA">
            <w:pPr>
              <w:pStyle w:val="ListParagraph"/>
              <w:ind w:firstLineChars="0" w:firstLine="0"/>
              <w:jc w:val="center"/>
              <w:rPr>
                <w:color w:val="000000"/>
                <w:sz w:val="18"/>
                <w:szCs w:val="18"/>
              </w:rPr>
            </w:pPr>
          </w:p>
        </w:tc>
        <w:tc>
          <w:tcPr>
            <w:tcW w:w="1140" w:type="dxa"/>
            <w:noWrap/>
          </w:tcPr>
          <w:p w14:paraId="38A40688" w14:textId="77777777" w:rsidR="005B61EA" w:rsidRPr="0039681D" w:rsidRDefault="005B61EA">
            <w:pPr>
              <w:pStyle w:val="ListParagraph"/>
              <w:ind w:firstLineChars="0" w:firstLine="0"/>
              <w:jc w:val="center"/>
              <w:rPr>
                <w:color w:val="000000"/>
                <w:sz w:val="18"/>
                <w:szCs w:val="18"/>
              </w:rPr>
            </w:pPr>
          </w:p>
        </w:tc>
      </w:tr>
      <w:tr w:rsidR="005B61EA" w:rsidRPr="0039681D" w14:paraId="3B3FB645" w14:textId="77777777">
        <w:trPr>
          <w:trHeight w:val="325"/>
        </w:trPr>
        <w:tc>
          <w:tcPr>
            <w:tcW w:w="2275" w:type="dxa"/>
            <w:noWrap/>
          </w:tcPr>
          <w:p w14:paraId="6E49FCC4"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ALT</w:t>
            </w:r>
          </w:p>
        </w:tc>
        <w:tc>
          <w:tcPr>
            <w:tcW w:w="2029" w:type="dxa"/>
            <w:noWrap/>
          </w:tcPr>
          <w:p w14:paraId="2772DC46" w14:textId="77777777" w:rsidR="005B61EA" w:rsidRPr="0039681D" w:rsidRDefault="0039681D">
            <w:pPr>
              <w:widowControl/>
              <w:jc w:val="center"/>
              <w:textAlignment w:val="top"/>
              <w:rPr>
                <w:color w:val="000000"/>
                <w:sz w:val="18"/>
                <w:szCs w:val="18"/>
              </w:rPr>
            </w:pPr>
            <w:r w:rsidRPr="0039681D">
              <w:rPr>
                <w:color w:val="000000"/>
                <w:sz w:val="18"/>
                <w:szCs w:val="18"/>
              </w:rPr>
              <w:t>2.58(0.69-9.74)</w:t>
            </w:r>
          </w:p>
        </w:tc>
        <w:tc>
          <w:tcPr>
            <w:tcW w:w="1051" w:type="dxa"/>
            <w:noWrap/>
          </w:tcPr>
          <w:p w14:paraId="7C7920A6" w14:textId="77777777" w:rsidR="005B61EA" w:rsidRPr="0039681D" w:rsidRDefault="0039681D">
            <w:pPr>
              <w:widowControl/>
              <w:jc w:val="center"/>
              <w:textAlignment w:val="top"/>
              <w:rPr>
                <w:color w:val="000000"/>
                <w:sz w:val="18"/>
                <w:szCs w:val="18"/>
              </w:rPr>
            </w:pPr>
            <w:r w:rsidRPr="0039681D">
              <w:rPr>
                <w:color w:val="000000"/>
                <w:sz w:val="18"/>
                <w:szCs w:val="18"/>
              </w:rPr>
              <w:t>0.16</w:t>
            </w:r>
          </w:p>
        </w:tc>
        <w:tc>
          <w:tcPr>
            <w:tcW w:w="1883" w:type="dxa"/>
            <w:noWrap/>
          </w:tcPr>
          <w:p w14:paraId="4DE67B7C" w14:textId="77777777" w:rsidR="005B61EA" w:rsidRPr="0039681D" w:rsidRDefault="005B61EA">
            <w:pPr>
              <w:pStyle w:val="ListParagraph"/>
              <w:ind w:firstLineChars="0" w:firstLine="0"/>
              <w:jc w:val="center"/>
              <w:rPr>
                <w:color w:val="000000"/>
                <w:sz w:val="18"/>
                <w:szCs w:val="18"/>
              </w:rPr>
            </w:pPr>
          </w:p>
        </w:tc>
        <w:tc>
          <w:tcPr>
            <w:tcW w:w="1140" w:type="dxa"/>
            <w:noWrap/>
          </w:tcPr>
          <w:p w14:paraId="1E1C3591" w14:textId="77777777" w:rsidR="005B61EA" w:rsidRPr="0039681D" w:rsidRDefault="005B61EA">
            <w:pPr>
              <w:pStyle w:val="ListParagraph"/>
              <w:ind w:firstLineChars="0" w:firstLine="0"/>
              <w:jc w:val="center"/>
              <w:rPr>
                <w:color w:val="000000"/>
                <w:sz w:val="18"/>
                <w:szCs w:val="18"/>
              </w:rPr>
            </w:pPr>
          </w:p>
        </w:tc>
      </w:tr>
      <w:tr w:rsidR="005B61EA" w:rsidRPr="0039681D" w14:paraId="735121BA" w14:textId="77777777">
        <w:trPr>
          <w:trHeight w:val="325"/>
        </w:trPr>
        <w:tc>
          <w:tcPr>
            <w:tcW w:w="2275" w:type="dxa"/>
            <w:noWrap/>
          </w:tcPr>
          <w:p w14:paraId="1640508F"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ALB</w:t>
            </w:r>
          </w:p>
        </w:tc>
        <w:tc>
          <w:tcPr>
            <w:tcW w:w="2029" w:type="dxa"/>
            <w:noWrap/>
          </w:tcPr>
          <w:p w14:paraId="3C5F291C" w14:textId="77777777" w:rsidR="005B61EA" w:rsidRPr="0039681D" w:rsidRDefault="0039681D">
            <w:pPr>
              <w:widowControl/>
              <w:jc w:val="center"/>
              <w:textAlignment w:val="top"/>
              <w:rPr>
                <w:color w:val="000000"/>
                <w:sz w:val="18"/>
                <w:szCs w:val="18"/>
              </w:rPr>
            </w:pPr>
            <w:r w:rsidRPr="0039681D">
              <w:rPr>
                <w:color w:val="000000"/>
                <w:sz w:val="18"/>
                <w:szCs w:val="18"/>
              </w:rPr>
              <w:t>0.74(0.36-1.54)</w:t>
            </w:r>
          </w:p>
        </w:tc>
        <w:tc>
          <w:tcPr>
            <w:tcW w:w="1051" w:type="dxa"/>
            <w:noWrap/>
          </w:tcPr>
          <w:p w14:paraId="29B8E2A0" w14:textId="77777777" w:rsidR="005B61EA" w:rsidRPr="0039681D" w:rsidRDefault="0039681D">
            <w:pPr>
              <w:widowControl/>
              <w:jc w:val="center"/>
              <w:textAlignment w:val="top"/>
              <w:rPr>
                <w:color w:val="000000"/>
                <w:sz w:val="18"/>
                <w:szCs w:val="18"/>
              </w:rPr>
            </w:pPr>
            <w:r w:rsidRPr="0039681D">
              <w:rPr>
                <w:color w:val="000000"/>
                <w:sz w:val="18"/>
                <w:szCs w:val="18"/>
              </w:rPr>
              <w:t>0.42</w:t>
            </w:r>
          </w:p>
        </w:tc>
        <w:tc>
          <w:tcPr>
            <w:tcW w:w="1883" w:type="dxa"/>
            <w:noWrap/>
          </w:tcPr>
          <w:p w14:paraId="34DAEA98" w14:textId="77777777" w:rsidR="005B61EA" w:rsidRPr="0039681D" w:rsidRDefault="005B61EA">
            <w:pPr>
              <w:pStyle w:val="ListParagraph"/>
              <w:ind w:firstLineChars="0" w:firstLine="0"/>
              <w:jc w:val="center"/>
              <w:rPr>
                <w:color w:val="000000"/>
                <w:sz w:val="18"/>
                <w:szCs w:val="18"/>
              </w:rPr>
            </w:pPr>
          </w:p>
        </w:tc>
        <w:tc>
          <w:tcPr>
            <w:tcW w:w="1140" w:type="dxa"/>
            <w:noWrap/>
          </w:tcPr>
          <w:p w14:paraId="4D669439" w14:textId="77777777" w:rsidR="005B61EA" w:rsidRPr="0039681D" w:rsidRDefault="005B61EA">
            <w:pPr>
              <w:pStyle w:val="ListParagraph"/>
              <w:ind w:firstLineChars="0" w:firstLine="0"/>
              <w:jc w:val="center"/>
              <w:rPr>
                <w:color w:val="000000"/>
                <w:sz w:val="18"/>
                <w:szCs w:val="18"/>
              </w:rPr>
            </w:pPr>
          </w:p>
        </w:tc>
      </w:tr>
      <w:tr w:rsidR="005B61EA" w:rsidRPr="0039681D" w14:paraId="46AE473B" w14:textId="77777777">
        <w:trPr>
          <w:trHeight w:val="325"/>
        </w:trPr>
        <w:tc>
          <w:tcPr>
            <w:tcW w:w="2275" w:type="dxa"/>
            <w:noWrap/>
          </w:tcPr>
          <w:p w14:paraId="0A87C04E"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TBIL</w:t>
            </w:r>
          </w:p>
        </w:tc>
        <w:tc>
          <w:tcPr>
            <w:tcW w:w="2029" w:type="dxa"/>
            <w:noWrap/>
          </w:tcPr>
          <w:p w14:paraId="14E91AD3" w14:textId="77777777" w:rsidR="005B61EA" w:rsidRPr="0039681D" w:rsidRDefault="0039681D">
            <w:pPr>
              <w:widowControl/>
              <w:jc w:val="center"/>
              <w:textAlignment w:val="top"/>
              <w:rPr>
                <w:color w:val="000000"/>
                <w:sz w:val="18"/>
                <w:szCs w:val="18"/>
              </w:rPr>
            </w:pPr>
            <w:r w:rsidRPr="0039681D">
              <w:rPr>
                <w:color w:val="000000"/>
                <w:sz w:val="18"/>
                <w:szCs w:val="18"/>
              </w:rPr>
              <w:t>1.16(0.48-2.75)</w:t>
            </w:r>
          </w:p>
        </w:tc>
        <w:tc>
          <w:tcPr>
            <w:tcW w:w="1051" w:type="dxa"/>
            <w:noWrap/>
          </w:tcPr>
          <w:p w14:paraId="4DB6C3C1" w14:textId="77777777" w:rsidR="005B61EA" w:rsidRPr="0039681D" w:rsidRDefault="0039681D">
            <w:pPr>
              <w:widowControl/>
              <w:jc w:val="center"/>
              <w:textAlignment w:val="top"/>
              <w:rPr>
                <w:color w:val="000000"/>
                <w:sz w:val="18"/>
                <w:szCs w:val="18"/>
              </w:rPr>
            </w:pPr>
            <w:r w:rsidRPr="0039681D">
              <w:rPr>
                <w:color w:val="000000"/>
                <w:sz w:val="18"/>
                <w:szCs w:val="18"/>
              </w:rPr>
              <w:t>0.7</w:t>
            </w:r>
            <w:r w:rsidRPr="0039681D">
              <w:rPr>
                <w:rFonts w:hint="eastAsia"/>
                <w:color w:val="000000"/>
                <w:sz w:val="18"/>
                <w:szCs w:val="18"/>
              </w:rPr>
              <w:t>5</w:t>
            </w:r>
          </w:p>
        </w:tc>
        <w:tc>
          <w:tcPr>
            <w:tcW w:w="1883" w:type="dxa"/>
            <w:noWrap/>
          </w:tcPr>
          <w:p w14:paraId="7780984E" w14:textId="77777777" w:rsidR="005B61EA" w:rsidRPr="0039681D" w:rsidRDefault="005B61EA">
            <w:pPr>
              <w:pStyle w:val="ListParagraph"/>
              <w:ind w:firstLineChars="0" w:firstLine="0"/>
              <w:jc w:val="center"/>
              <w:rPr>
                <w:color w:val="000000"/>
                <w:sz w:val="18"/>
                <w:szCs w:val="18"/>
              </w:rPr>
            </w:pPr>
          </w:p>
        </w:tc>
        <w:tc>
          <w:tcPr>
            <w:tcW w:w="1140" w:type="dxa"/>
            <w:noWrap/>
          </w:tcPr>
          <w:p w14:paraId="1B5FD655" w14:textId="77777777" w:rsidR="005B61EA" w:rsidRPr="0039681D" w:rsidRDefault="005B61EA">
            <w:pPr>
              <w:pStyle w:val="ListParagraph"/>
              <w:ind w:firstLineChars="0" w:firstLine="0"/>
              <w:jc w:val="center"/>
              <w:rPr>
                <w:color w:val="000000"/>
                <w:sz w:val="18"/>
                <w:szCs w:val="18"/>
              </w:rPr>
            </w:pPr>
          </w:p>
        </w:tc>
      </w:tr>
      <w:tr w:rsidR="005B61EA" w:rsidRPr="0039681D" w14:paraId="50AFB26A" w14:textId="77777777">
        <w:trPr>
          <w:trHeight w:val="325"/>
        </w:trPr>
        <w:tc>
          <w:tcPr>
            <w:tcW w:w="2275" w:type="dxa"/>
            <w:noWrap/>
          </w:tcPr>
          <w:p w14:paraId="26EF7FCC"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Tumor number</w:t>
            </w:r>
          </w:p>
        </w:tc>
        <w:tc>
          <w:tcPr>
            <w:tcW w:w="2029" w:type="dxa"/>
            <w:noWrap/>
          </w:tcPr>
          <w:p w14:paraId="4D067506"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1.1</w:t>
            </w:r>
            <w:r w:rsidRPr="0039681D">
              <w:rPr>
                <w:color w:val="000000"/>
                <w:sz w:val="18"/>
                <w:szCs w:val="18"/>
              </w:rPr>
              <w:t>2</w:t>
            </w:r>
            <w:r w:rsidRPr="0039681D">
              <w:rPr>
                <w:rFonts w:hint="eastAsia"/>
                <w:color w:val="000000"/>
                <w:sz w:val="18"/>
                <w:szCs w:val="18"/>
              </w:rPr>
              <w:t xml:space="preserve"> (0.88-1.4</w:t>
            </w:r>
            <w:r w:rsidRPr="0039681D">
              <w:rPr>
                <w:color w:val="000000"/>
                <w:sz w:val="18"/>
                <w:szCs w:val="18"/>
              </w:rPr>
              <w:t>3</w:t>
            </w:r>
            <w:r w:rsidRPr="0039681D">
              <w:rPr>
                <w:rFonts w:hint="eastAsia"/>
                <w:color w:val="000000"/>
                <w:sz w:val="18"/>
                <w:szCs w:val="18"/>
              </w:rPr>
              <w:t>)</w:t>
            </w:r>
          </w:p>
        </w:tc>
        <w:tc>
          <w:tcPr>
            <w:tcW w:w="1051" w:type="dxa"/>
            <w:noWrap/>
          </w:tcPr>
          <w:p w14:paraId="0BC43EB3"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0.3</w:t>
            </w:r>
            <w:r w:rsidRPr="0039681D">
              <w:rPr>
                <w:color w:val="000000"/>
                <w:sz w:val="18"/>
                <w:szCs w:val="18"/>
              </w:rPr>
              <w:t>5</w:t>
            </w:r>
          </w:p>
        </w:tc>
        <w:tc>
          <w:tcPr>
            <w:tcW w:w="1883" w:type="dxa"/>
            <w:noWrap/>
          </w:tcPr>
          <w:p w14:paraId="02A61280" w14:textId="77777777" w:rsidR="005B61EA" w:rsidRPr="0039681D" w:rsidRDefault="005B61EA">
            <w:pPr>
              <w:pStyle w:val="ListParagraph"/>
              <w:ind w:firstLineChars="0" w:firstLine="0"/>
              <w:jc w:val="center"/>
              <w:rPr>
                <w:color w:val="000000"/>
                <w:sz w:val="18"/>
                <w:szCs w:val="18"/>
              </w:rPr>
            </w:pPr>
          </w:p>
        </w:tc>
        <w:tc>
          <w:tcPr>
            <w:tcW w:w="1140" w:type="dxa"/>
            <w:noWrap/>
          </w:tcPr>
          <w:p w14:paraId="38207831" w14:textId="77777777" w:rsidR="005B61EA" w:rsidRPr="0039681D" w:rsidRDefault="005B61EA">
            <w:pPr>
              <w:pStyle w:val="ListParagraph"/>
              <w:ind w:firstLineChars="0" w:firstLine="0"/>
              <w:jc w:val="center"/>
              <w:rPr>
                <w:color w:val="000000"/>
                <w:sz w:val="18"/>
                <w:szCs w:val="18"/>
              </w:rPr>
            </w:pPr>
          </w:p>
        </w:tc>
      </w:tr>
      <w:tr w:rsidR="005B61EA" w:rsidRPr="0039681D" w14:paraId="21212611" w14:textId="77777777">
        <w:trPr>
          <w:trHeight w:val="325"/>
        </w:trPr>
        <w:tc>
          <w:tcPr>
            <w:tcW w:w="2275" w:type="dxa"/>
            <w:noWrap/>
          </w:tcPr>
          <w:p w14:paraId="7F5C6957"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Tumor size</w:t>
            </w:r>
          </w:p>
        </w:tc>
        <w:tc>
          <w:tcPr>
            <w:tcW w:w="2029" w:type="dxa"/>
            <w:noWrap/>
          </w:tcPr>
          <w:p w14:paraId="174230D5"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1.00 (1.00-1.00)</w:t>
            </w:r>
          </w:p>
        </w:tc>
        <w:tc>
          <w:tcPr>
            <w:tcW w:w="1051" w:type="dxa"/>
            <w:noWrap/>
          </w:tcPr>
          <w:p w14:paraId="61582987"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0.74</w:t>
            </w:r>
          </w:p>
        </w:tc>
        <w:tc>
          <w:tcPr>
            <w:tcW w:w="1883" w:type="dxa"/>
            <w:noWrap/>
          </w:tcPr>
          <w:p w14:paraId="0E3E0B32" w14:textId="77777777" w:rsidR="005B61EA" w:rsidRPr="0039681D" w:rsidRDefault="005B61EA">
            <w:pPr>
              <w:pStyle w:val="ListParagraph"/>
              <w:ind w:firstLineChars="0" w:firstLine="0"/>
              <w:jc w:val="center"/>
              <w:rPr>
                <w:color w:val="000000"/>
                <w:sz w:val="18"/>
                <w:szCs w:val="18"/>
              </w:rPr>
            </w:pPr>
          </w:p>
        </w:tc>
        <w:tc>
          <w:tcPr>
            <w:tcW w:w="1140" w:type="dxa"/>
            <w:noWrap/>
          </w:tcPr>
          <w:p w14:paraId="7D4026E5" w14:textId="77777777" w:rsidR="005B61EA" w:rsidRPr="0039681D" w:rsidRDefault="005B61EA">
            <w:pPr>
              <w:pStyle w:val="ListParagraph"/>
              <w:ind w:firstLineChars="0" w:firstLine="0"/>
              <w:jc w:val="center"/>
              <w:rPr>
                <w:color w:val="000000"/>
                <w:sz w:val="18"/>
                <w:szCs w:val="18"/>
              </w:rPr>
            </w:pPr>
          </w:p>
        </w:tc>
      </w:tr>
      <w:tr w:rsidR="005B61EA" w:rsidRPr="0039681D" w14:paraId="6740F6DA" w14:textId="77777777">
        <w:trPr>
          <w:trHeight w:val="325"/>
        </w:trPr>
        <w:tc>
          <w:tcPr>
            <w:tcW w:w="2275" w:type="dxa"/>
            <w:noWrap/>
          </w:tcPr>
          <w:p w14:paraId="0FBE0BDB"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Tumor location</w:t>
            </w:r>
          </w:p>
        </w:tc>
        <w:tc>
          <w:tcPr>
            <w:tcW w:w="2029" w:type="dxa"/>
            <w:noWrap/>
          </w:tcPr>
          <w:p w14:paraId="08D99473" w14:textId="77777777" w:rsidR="005B61EA" w:rsidRPr="0039681D" w:rsidRDefault="005B61EA">
            <w:pPr>
              <w:jc w:val="center"/>
              <w:rPr>
                <w:color w:val="000000"/>
                <w:sz w:val="18"/>
                <w:szCs w:val="18"/>
              </w:rPr>
            </w:pPr>
          </w:p>
        </w:tc>
        <w:tc>
          <w:tcPr>
            <w:tcW w:w="1051" w:type="dxa"/>
            <w:noWrap/>
          </w:tcPr>
          <w:p w14:paraId="1E20A29F" w14:textId="77777777" w:rsidR="005B61EA" w:rsidRPr="0039681D" w:rsidRDefault="005B61EA">
            <w:pPr>
              <w:jc w:val="center"/>
              <w:rPr>
                <w:color w:val="000000"/>
                <w:sz w:val="18"/>
                <w:szCs w:val="18"/>
              </w:rPr>
            </w:pPr>
          </w:p>
        </w:tc>
        <w:tc>
          <w:tcPr>
            <w:tcW w:w="1883" w:type="dxa"/>
            <w:noWrap/>
          </w:tcPr>
          <w:p w14:paraId="650B72FE" w14:textId="77777777" w:rsidR="005B61EA" w:rsidRPr="0039681D" w:rsidRDefault="005B61EA">
            <w:pPr>
              <w:pStyle w:val="ListParagraph"/>
              <w:ind w:firstLineChars="0" w:firstLine="0"/>
              <w:jc w:val="center"/>
              <w:rPr>
                <w:color w:val="000000"/>
                <w:sz w:val="18"/>
                <w:szCs w:val="18"/>
              </w:rPr>
            </w:pPr>
          </w:p>
        </w:tc>
        <w:tc>
          <w:tcPr>
            <w:tcW w:w="1140" w:type="dxa"/>
            <w:noWrap/>
          </w:tcPr>
          <w:p w14:paraId="03477430" w14:textId="77777777" w:rsidR="005B61EA" w:rsidRPr="0039681D" w:rsidRDefault="005B61EA">
            <w:pPr>
              <w:pStyle w:val="ListParagraph"/>
              <w:ind w:firstLineChars="0" w:firstLine="0"/>
              <w:jc w:val="center"/>
              <w:rPr>
                <w:color w:val="000000"/>
                <w:sz w:val="18"/>
                <w:szCs w:val="18"/>
              </w:rPr>
            </w:pPr>
          </w:p>
        </w:tc>
      </w:tr>
      <w:tr w:rsidR="005B61EA" w:rsidRPr="0039681D" w14:paraId="46566828" w14:textId="77777777">
        <w:trPr>
          <w:trHeight w:val="325"/>
        </w:trPr>
        <w:tc>
          <w:tcPr>
            <w:tcW w:w="2275" w:type="dxa"/>
            <w:noWrap/>
          </w:tcPr>
          <w:p w14:paraId="424B09DA"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Left</w:t>
            </w:r>
          </w:p>
        </w:tc>
        <w:tc>
          <w:tcPr>
            <w:tcW w:w="2029" w:type="dxa"/>
            <w:noWrap/>
          </w:tcPr>
          <w:p w14:paraId="53C5B5F4" w14:textId="77777777" w:rsidR="005B61EA" w:rsidRPr="0039681D" w:rsidRDefault="0039681D">
            <w:pPr>
              <w:jc w:val="center"/>
              <w:rPr>
                <w:color w:val="000000"/>
                <w:sz w:val="18"/>
                <w:szCs w:val="18"/>
              </w:rPr>
            </w:pPr>
            <w:r w:rsidRPr="0039681D">
              <w:rPr>
                <w:rFonts w:hint="eastAsia"/>
                <w:color w:val="000000"/>
                <w:sz w:val="18"/>
                <w:szCs w:val="18"/>
              </w:rPr>
              <w:t>reference</w:t>
            </w:r>
          </w:p>
        </w:tc>
        <w:tc>
          <w:tcPr>
            <w:tcW w:w="1051" w:type="dxa"/>
            <w:noWrap/>
          </w:tcPr>
          <w:p w14:paraId="62E22F99" w14:textId="77777777" w:rsidR="005B61EA" w:rsidRPr="0039681D" w:rsidRDefault="005B61EA">
            <w:pPr>
              <w:jc w:val="center"/>
              <w:rPr>
                <w:color w:val="000000"/>
                <w:sz w:val="18"/>
                <w:szCs w:val="18"/>
              </w:rPr>
            </w:pPr>
          </w:p>
        </w:tc>
        <w:tc>
          <w:tcPr>
            <w:tcW w:w="1883" w:type="dxa"/>
            <w:noWrap/>
          </w:tcPr>
          <w:p w14:paraId="1A48F83F" w14:textId="77777777" w:rsidR="005B61EA" w:rsidRPr="0039681D" w:rsidRDefault="005B61EA">
            <w:pPr>
              <w:pStyle w:val="ListParagraph"/>
              <w:ind w:firstLineChars="0" w:firstLine="0"/>
              <w:jc w:val="center"/>
              <w:rPr>
                <w:color w:val="000000"/>
                <w:sz w:val="18"/>
                <w:szCs w:val="18"/>
              </w:rPr>
            </w:pPr>
          </w:p>
        </w:tc>
        <w:tc>
          <w:tcPr>
            <w:tcW w:w="1140" w:type="dxa"/>
            <w:noWrap/>
          </w:tcPr>
          <w:p w14:paraId="7C683F6E" w14:textId="77777777" w:rsidR="005B61EA" w:rsidRPr="0039681D" w:rsidRDefault="005B61EA">
            <w:pPr>
              <w:pStyle w:val="ListParagraph"/>
              <w:ind w:firstLineChars="0" w:firstLine="0"/>
              <w:jc w:val="center"/>
              <w:rPr>
                <w:color w:val="000000"/>
                <w:sz w:val="18"/>
                <w:szCs w:val="18"/>
              </w:rPr>
            </w:pPr>
          </w:p>
        </w:tc>
      </w:tr>
      <w:tr w:rsidR="005B61EA" w:rsidRPr="0039681D" w14:paraId="211F6932" w14:textId="77777777">
        <w:trPr>
          <w:trHeight w:val="325"/>
        </w:trPr>
        <w:tc>
          <w:tcPr>
            <w:tcW w:w="2275" w:type="dxa"/>
            <w:noWrap/>
          </w:tcPr>
          <w:p w14:paraId="7BE6907B"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Right</w:t>
            </w:r>
          </w:p>
        </w:tc>
        <w:tc>
          <w:tcPr>
            <w:tcW w:w="2029" w:type="dxa"/>
            <w:noWrap/>
          </w:tcPr>
          <w:p w14:paraId="5741C999"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0.18 (0.86-1.7)</w:t>
            </w:r>
          </w:p>
        </w:tc>
        <w:tc>
          <w:tcPr>
            <w:tcW w:w="1051" w:type="dxa"/>
            <w:noWrap/>
          </w:tcPr>
          <w:p w14:paraId="11DFE9CC"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0.56</w:t>
            </w:r>
          </w:p>
        </w:tc>
        <w:tc>
          <w:tcPr>
            <w:tcW w:w="1883" w:type="dxa"/>
            <w:noWrap/>
          </w:tcPr>
          <w:p w14:paraId="5618EA36" w14:textId="77777777" w:rsidR="005B61EA" w:rsidRPr="0039681D" w:rsidRDefault="005B61EA">
            <w:pPr>
              <w:pStyle w:val="ListParagraph"/>
              <w:ind w:firstLineChars="0" w:firstLine="0"/>
              <w:jc w:val="center"/>
              <w:rPr>
                <w:color w:val="000000"/>
                <w:sz w:val="18"/>
                <w:szCs w:val="18"/>
              </w:rPr>
            </w:pPr>
          </w:p>
        </w:tc>
        <w:tc>
          <w:tcPr>
            <w:tcW w:w="1140" w:type="dxa"/>
            <w:noWrap/>
          </w:tcPr>
          <w:p w14:paraId="14DDEED0" w14:textId="77777777" w:rsidR="005B61EA" w:rsidRPr="0039681D" w:rsidRDefault="005B61EA">
            <w:pPr>
              <w:pStyle w:val="ListParagraph"/>
              <w:ind w:firstLineChars="0" w:firstLine="0"/>
              <w:jc w:val="center"/>
              <w:rPr>
                <w:color w:val="000000"/>
                <w:sz w:val="18"/>
                <w:szCs w:val="18"/>
              </w:rPr>
            </w:pPr>
          </w:p>
        </w:tc>
      </w:tr>
      <w:tr w:rsidR="005B61EA" w:rsidRPr="0039681D" w14:paraId="4643A988" w14:textId="77777777">
        <w:trPr>
          <w:trHeight w:val="325"/>
        </w:trPr>
        <w:tc>
          <w:tcPr>
            <w:tcW w:w="2275" w:type="dxa"/>
            <w:noWrap/>
          </w:tcPr>
          <w:p w14:paraId="4D136F84"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Others</w:t>
            </w:r>
          </w:p>
        </w:tc>
        <w:tc>
          <w:tcPr>
            <w:tcW w:w="2029" w:type="dxa"/>
            <w:noWrap/>
          </w:tcPr>
          <w:p w14:paraId="7DA9F84F"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0.18 (0.79-1.8)</w:t>
            </w:r>
          </w:p>
        </w:tc>
        <w:tc>
          <w:tcPr>
            <w:tcW w:w="1051" w:type="dxa"/>
            <w:noWrap/>
          </w:tcPr>
          <w:p w14:paraId="7CA7FB56"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0.56</w:t>
            </w:r>
          </w:p>
        </w:tc>
        <w:tc>
          <w:tcPr>
            <w:tcW w:w="1883" w:type="dxa"/>
            <w:noWrap/>
          </w:tcPr>
          <w:p w14:paraId="53621032" w14:textId="77777777" w:rsidR="005B61EA" w:rsidRPr="0039681D" w:rsidRDefault="005B61EA">
            <w:pPr>
              <w:pStyle w:val="ListParagraph"/>
              <w:ind w:firstLineChars="0" w:firstLine="0"/>
              <w:jc w:val="center"/>
              <w:rPr>
                <w:color w:val="000000"/>
                <w:sz w:val="18"/>
                <w:szCs w:val="18"/>
              </w:rPr>
            </w:pPr>
          </w:p>
        </w:tc>
        <w:tc>
          <w:tcPr>
            <w:tcW w:w="1140" w:type="dxa"/>
            <w:noWrap/>
          </w:tcPr>
          <w:p w14:paraId="7414350A" w14:textId="77777777" w:rsidR="005B61EA" w:rsidRPr="0039681D" w:rsidRDefault="005B61EA">
            <w:pPr>
              <w:pStyle w:val="ListParagraph"/>
              <w:ind w:firstLineChars="0" w:firstLine="0"/>
              <w:jc w:val="center"/>
              <w:rPr>
                <w:color w:val="000000"/>
                <w:sz w:val="18"/>
                <w:szCs w:val="18"/>
              </w:rPr>
            </w:pPr>
          </w:p>
        </w:tc>
      </w:tr>
      <w:tr w:rsidR="005B61EA" w:rsidRPr="0039681D" w14:paraId="46174D1C" w14:textId="77777777">
        <w:trPr>
          <w:trHeight w:val="336"/>
        </w:trPr>
        <w:tc>
          <w:tcPr>
            <w:tcW w:w="2275" w:type="dxa"/>
            <w:noWrap/>
            <w:vAlign w:val="center"/>
          </w:tcPr>
          <w:p w14:paraId="2CCBABA3" w14:textId="77777777" w:rsidR="005B61EA" w:rsidRPr="0039681D" w:rsidRDefault="0039681D">
            <w:pPr>
              <w:jc w:val="left"/>
              <w:rPr>
                <w:b/>
                <w:color w:val="000000"/>
                <w:sz w:val="18"/>
                <w:szCs w:val="18"/>
              </w:rPr>
            </w:pPr>
            <w:r w:rsidRPr="0039681D">
              <w:rPr>
                <w:rFonts w:cs="Calibri" w:hint="eastAsia"/>
                <w:b/>
                <w:color w:val="000000"/>
                <w:kern w:val="0"/>
                <w:sz w:val="18"/>
                <w:szCs w:val="18"/>
                <w:lang w:bidi="ar"/>
              </w:rPr>
              <w:t>MVI</w:t>
            </w:r>
          </w:p>
        </w:tc>
        <w:tc>
          <w:tcPr>
            <w:tcW w:w="2029" w:type="dxa"/>
            <w:noWrap/>
            <w:vAlign w:val="center"/>
          </w:tcPr>
          <w:p w14:paraId="1C844EE7"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 xml:space="preserve">1.742 </w:t>
            </w:r>
            <w:r w:rsidRPr="0039681D">
              <w:rPr>
                <w:rFonts w:hint="eastAsia"/>
                <w:color w:val="000000"/>
                <w:sz w:val="18"/>
                <w:szCs w:val="18"/>
              </w:rPr>
              <w:t>(1.325-2.290)</w:t>
            </w:r>
          </w:p>
        </w:tc>
        <w:tc>
          <w:tcPr>
            <w:tcW w:w="1051" w:type="dxa"/>
            <w:noWrap/>
            <w:vAlign w:val="center"/>
          </w:tcPr>
          <w:p w14:paraId="1AD3C0B9"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&lt;.0001</w:t>
            </w:r>
          </w:p>
        </w:tc>
        <w:tc>
          <w:tcPr>
            <w:tcW w:w="1883" w:type="dxa"/>
            <w:noWrap/>
            <w:vAlign w:val="center"/>
          </w:tcPr>
          <w:p w14:paraId="489533A7" w14:textId="77777777" w:rsidR="005B61EA" w:rsidRPr="0039681D" w:rsidRDefault="0039681D">
            <w:pPr>
              <w:widowControl/>
              <w:jc w:val="center"/>
              <w:textAlignment w:val="top"/>
              <w:rPr>
                <w:color w:val="000000"/>
                <w:sz w:val="18"/>
                <w:szCs w:val="18"/>
              </w:rPr>
            </w:pPr>
            <w:r w:rsidRPr="0039681D">
              <w:rPr>
                <w:color w:val="000000"/>
                <w:sz w:val="18"/>
                <w:szCs w:val="18"/>
              </w:rPr>
              <w:t>1.43 (1.08-1.90)</w:t>
            </w:r>
          </w:p>
        </w:tc>
        <w:tc>
          <w:tcPr>
            <w:tcW w:w="1140" w:type="dxa"/>
            <w:noWrap/>
            <w:vAlign w:val="center"/>
          </w:tcPr>
          <w:p w14:paraId="1EEB5B39" w14:textId="77777777" w:rsidR="005B61EA" w:rsidRPr="0039681D" w:rsidRDefault="0039681D">
            <w:pPr>
              <w:widowControl/>
              <w:jc w:val="center"/>
              <w:textAlignment w:val="top"/>
              <w:rPr>
                <w:rFonts w:ascii="SimSun"/>
                <w:color w:val="000000"/>
                <w:sz w:val="18"/>
                <w:szCs w:val="18"/>
              </w:rPr>
            </w:pPr>
            <w:r w:rsidRPr="0039681D">
              <w:rPr>
                <w:color w:val="000000"/>
                <w:sz w:val="18"/>
                <w:szCs w:val="18"/>
              </w:rPr>
              <w:t>0.0147</w:t>
            </w:r>
          </w:p>
        </w:tc>
      </w:tr>
      <w:tr w:rsidR="005B61EA" w:rsidRPr="0039681D" w14:paraId="052601AF" w14:textId="77777777">
        <w:trPr>
          <w:trHeight w:val="336"/>
        </w:trPr>
        <w:tc>
          <w:tcPr>
            <w:tcW w:w="2275" w:type="dxa"/>
            <w:noWrap/>
            <w:vAlign w:val="center"/>
          </w:tcPr>
          <w:p w14:paraId="06F5F5E1" w14:textId="77777777" w:rsidR="005B61EA" w:rsidRPr="0039681D" w:rsidRDefault="0039681D">
            <w:pPr>
              <w:jc w:val="left"/>
              <w:rPr>
                <w:b/>
                <w:color w:val="000000"/>
                <w:sz w:val="18"/>
                <w:szCs w:val="18"/>
              </w:rPr>
            </w:pPr>
            <w:r w:rsidRPr="0039681D">
              <w:rPr>
                <w:rFonts w:hint="eastAsia"/>
                <w:b/>
                <w:color w:val="000000"/>
                <w:sz w:val="18"/>
                <w:szCs w:val="18"/>
              </w:rPr>
              <w:t>ALBI score</w:t>
            </w:r>
          </w:p>
        </w:tc>
        <w:tc>
          <w:tcPr>
            <w:tcW w:w="2029" w:type="dxa"/>
            <w:noWrap/>
            <w:vAlign w:val="center"/>
          </w:tcPr>
          <w:p w14:paraId="24E66FE3"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2.125 (1.618-2.791)</w:t>
            </w:r>
          </w:p>
        </w:tc>
        <w:tc>
          <w:tcPr>
            <w:tcW w:w="1051" w:type="dxa"/>
            <w:noWrap/>
            <w:vAlign w:val="center"/>
          </w:tcPr>
          <w:p w14:paraId="375F2551"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&lt;.0001</w:t>
            </w:r>
          </w:p>
        </w:tc>
        <w:tc>
          <w:tcPr>
            <w:tcW w:w="1883" w:type="dxa"/>
            <w:noWrap/>
            <w:vAlign w:val="center"/>
          </w:tcPr>
          <w:p w14:paraId="582763B3" w14:textId="77777777" w:rsidR="005B61EA" w:rsidRPr="0039681D" w:rsidRDefault="0039681D">
            <w:pPr>
              <w:widowControl/>
              <w:jc w:val="center"/>
              <w:textAlignment w:val="top"/>
              <w:rPr>
                <w:color w:val="000000"/>
                <w:sz w:val="18"/>
                <w:szCs w:val="18"/>
              </w:rPr>
            </w:pPr>
            <w:r w:rsidRPr="0039681D">
              <w:rPr>
                <w:color w:val="000000"/>
                <w:sz w:val="18"/>
                <w:szCs w:val="18"/>
              </w:rPr>
              <w:t>1.57(1.17-2.10)</w:t>
            </w:r>
          </w:p>
        </w:tc>
        <w:tc>
          <w:tcPr>
            <w:tcW w:w="1140" w:type="dxa"/>
            <w:noWrap/>
            <w:vAlign w:val="center"/>
          </w:tcPr>
          <w:p w14:paraId="7A28AA9B" w14:textId="77777777" w:rsidR="005B61EA" w:rsidRPr="0039681D" w:rsidRDefault="0039681D">
            <w:pPr>
              <w:widowControl/>
              <w:jc w:val="center"/>
              <w:textAlignment w:val="top"/>
              <w:rPr>
                <w:rFonts w:ascii="SimSun"/>
                <w:color w:val="000000"/>
                <w:sz w:val="18"/>
                <w:szCs w:val="18"/>
              </w:rPr>
            </w:pPr>
            <w:r w:rsidRPr="0039681D">
              <w:rPr>
                <w:color w:val="000000"/>
                <w:sz w:val="18"/>
                <w:szCs w:val="18"/>
              </w:rPr>
              <w:t>0.0027</w:t>
            </w:r>
          </w:p>
        </w:tc>
      </w:tr>
      <w:tr w:rsidR="005B61EA" w:rsidRPr="0039681D" w14:paraId="4A59EBB2" w14:textId="77777777">
        <w:trPr>
          <w:trHeight w:val="336"/>
        </w:trPr>
        <w:tc>
          <w:tcPr>
            <w:tcW w:w="2275" w:type="dxa"/>
            <w:noWrap/>
            <w:vAlign w:val="center"/>
          </w:tcPr>
          <w:p w14:paraId="1E1B5657" w14:textId="77777777" w:rsidR="005B61EA" w:rsidRPr="0039681D" w:rsidRDefault="0039681D">
            <w:pPr>
              <w:jc w:val="left"/>
              <w:rPr>
                <w:b/>
                <w:color w:val="000000"/>
                <w:sz w:val="18"/>
                <w:szCs w:val="18"/>
              </w:rPr>
            </w:pPr>
            <w:r w:rsidRPr="0039681D">
              <w:rPr>
                <w:rFonts w:cs="Calibri" w:hint="eastAsia"/>
                <w:b/>
                <w:color w:val="000000"/>
                <w:kern w:val="0"/>
                <w:sz w:val="18"/>
                <w:szCs w:val="18"/>
                <w:lang w:bidi="ar"/>
              </w:rPr>
              <w:t>BCLC B subclassification</w:t>
            </w:r>
          </w:p>
        </w:tc>
        <w:tc>
          <w:tcPr>
            <w:tcW w:w="2029" w:type="dxa"/>
            <w:noWrap/>
            <w:vAlign w:val="center"/>
          </w:tcPr>
          <w:p w14:paraId="19CC1130" w14:textId="77777777" w:rsidR="005B61EA" w:rsidRPr="0039681D" w:rsidRDefault="005B61EA">
            <w:pPr>
              <w:widowControl/>
              <w:jc w:val="center"/>
              <w:textAlignment w:val="top"/>
              <w:rPr>
                <w:color w:val="000000"/>
                <w:sz w:val="18"/>
                <w:szCs w:val="18"/>
              </w:rPr>
            </w:pPr>
          </w:p>
        </w:tc>
        <w:tc>
          <w:tcPr>
            <w:tcW w:w="1051" w:type="dxa"/>
            <w:noWrap/>
            <w:vAlign w:val="center"/>
          </w:tcPr>
          <w:p w14:paraId="44BC2026" w14:textId="77777777" w:rsidR="005B61EA" w:rsidRPr="0039681D" w:rsidRDefault="005B61EA">
            <w:pPr>
              <w:widowControl/>
              <w:jc w:val="center"/>
              <w:textAlignment w:val="top"/>
              <w:rPr>
                <w:color w:val="000000"/>
                <w:sz w:val="18"/>
                <w:szCs w:val="18"/>
              </w:rPr>
            </w:pPr>
          </w:p>
        </w:tc>
        <w:tc>
          <w:tcPr>
            <w:tcW w:w="1883" w:type="dxa"/>
            <w:noWrap/>
          </w:tcPr>
          <w:p w14:paraId="002A371D" w14:textId="77777777" w:rsidR="005B61EA" w:rsidRPr="0039681D" w:rsidRDefault="005B61EA">
            <w:pPr>
              <w:pStyle w:val="ListParagraph"/>
              <w:ind w:firstLineChars="0" w:firstLine="0"/>
              <w:jc w:val="center"/>
              <w:rPr>
                <w:color w:val="000000"/>
                <w:sz w:val="18"/>
                <w:szCs w:val="18"/>
              </w:rPr>
            </w:pPr>
          </w:p>
        </w:tc>
        <w:tc>
          <w:tcPr>
            <w:tcW w:w="1140" w:type="dxa"/>
            <w:noWrap/>
          </w:tcPr>
          <w:p w14:paraId="6E90F6D3" w14:textId="77777777" w:rsidR="005B61EA" w:rsidRPr="0039681D" w:rsidRDefault="005B61EA">
            <w:pPr>
              <w:pStyle w:val="ListParagraph"/>
              <w:ind w:firstLineChars="0" w:firstLine="0"/>
              <w:jc w:val="center"/>
              <w:rPr>
                <w:color w:val="000000"/>
                <w:sz w:val="18"/>
                <w:szCs w:val="18"/>
              </w:rPr>
            </w:pPr>
          </w:p>
        </w:tc>
      </w:tr>
      <w:tr w:rsidR="005B61EA" w:rsidRPr="0039681D" w14:paraId="0F3E5E31" w14:textId="77777777">
        <w:trPr>
          <w:trHeight w:val="336"/>
        </w:trPr>
        <w:tc>
          <w:tcPr>
            <w:tcW w:w="2275" w:type="dxa"/>
            <w:noWrap/>
            <w:vAlign w:val="center"/>
          </w:tcPr>
          <w:p w14:paraId="76B3FB3B" w14:textId="77777777" w:rsidR="005B61EA" w:rsidRPr="0039681D" w:rsidRDefault="0039681D">
            <w:pPr>
              <w:jc w:val="left"/>
              <w:rPr>
                <w:b/>
                <w:color w:val="000000"/>
                <w:sz w:val="18"/>
                <w:szCs w:val="18"/>
              </w:rPr>
            </w:pPr>
            <w:r w:rsidRPr="0039681D">
              <w:rPr>
                <w:rFonts w:hint="eastAsia"/>
                <w:b/>
                <w:color w:val="000000"/>
                <w:sz w:val="18"/>
                <w:szCs w:val="18"/>
                <w:lang w:eastAsia="zh-Hans"/>
              </w:rPr>
              <w:t>reference</w:t>
            </w:r>
          </w:p>
        </w:tc>
        <w:tc>
          <w:tcPr>
            <w:tcW w:w="2029" w:type="dxa"/>
            <w:noWrap/>
            <w:vAlign w:val="center"/>
          </w:tcPr>
          <w:p w14:paraId="71B9F207" w14:textId="77777777" w:rsidR="005B61EA" w:rsidRPr="0039681D" w:rsidRDefault="005B61EA">
            <w:pPr>
              <w:widowControl/>
              <w:jc w:val="center"/>
              <w:textAlignment w:val="top"/>
              <w:rPr>
                <w:color w:val="000000"/>
                <w:sz w:val="18"/>
                <w:szCs w:val="18"/>
              </w:rPr>
            </w:pPr>
          </w:p>
        </w:tc>
        <w:tc>
          <w:tcPr>
            <w:tcW w:w="1051" w:type="dxa"/>
            <w:noWrap/>
            <w:vAlign w:val="center"/>
          </w:tcPr>
          <w:p w14:paraId="0586F075" w14:textId="77777777" w:rsidR="005B61EA" w:rsidRPr="0039681D" w:rsidRDefault="005B61EA">
            <w:pPr>
              <w:widowControl/>
              <w:jc w:val="center"/>
              <w:textAlignment w:val="top"/>
              <w:rPr>
                <w:color w:val="000000"/>
                <w:sz w:val="18"/>
                <w:szCs w:val="18"/>
              </w:rPr>
            </w:pPr>
          </w:p>
        </w:tc>
        <w:tc>
          <w:tcPr>
            <w:tcW w:w="1883" w:type="dxa"/>
            <w:noWrap/>
          </w:tcPr>
          <w:p w14:paraId="24C35A00" w14:textId="77777777" w:rsidR="005B61EA" w:rsidRPr="0039681D" w:rsidRDefault="005B61EA">
            <w:pPr>
              <w:pStyle w:val="ListParagraph"/>
              <w:ind w:firstLineChars="0" w:firstLine="0"/>
              <w:jc w:val="center"/>
              <w:rPr>
                <w:color w:val="000000"/>
                <w:sz w:val="18"/>
                <w:szCs w:val="18"/>
              </w:rPr>
            </w:pPr>
          </w:p>
        </w:tc>
        <w:tc>
          <w:tcPr>
            <w:tcW w:w="1140" w:type="dxa"/>
            <w:noWrap/>
          </w:tcPr>
          <w:p w14:paraId="75606CE4" w14:textId="77777777" w:rsidR="005B61EA" w:rsidRPr="0039681D" w:rsidRDefault="005B61EA">
            <w:pPr>
              <w:pStyle w:val="ListParagraph"/>
              <w:ind w:firstLineChars="0" w:firstLine="0"/>
              <w:jc w:val="center"/>
              <w:rPr>
                <w:color w:val="000000"/>
                <w:sz w:val="18"/>
                <w:szCs w:val="18"/>
              </w:rPr>
            </w:pPr>
          </w:p>
        </w:tc>
      </w:tr>
      <w:tr w:rsidR="005B61EA" w:rsidRPr="0039681D" w14:paraId="509F48B5" w14:textId="77777777">
        <w:trPr>
          <w:trHeight w:val="336"/>
        </w:trPr>
        <w:tc>
          <w:tcPr>
            <w:tcW w:w="2275" w:type="dxa"/>
            <w:noWrap/>
            <w:vAlign w:val="center"/>
          </w:tcPr>
          <w:p w14:paraId="66B03EE9" w14:textId="77777777" w:rsidR="005B61EA" w:rsidRPr="0039681D" w:rsidRDefault="0039681D">
            <w:pPr>
              <w:jc w:val="left"/>
              <w:rPr>
                <w:b/>
                <w:color w:val="000000"/>
                <w:sz w:val="18"/>
                <w:szCs w:val="18"/>
              </w:rPr>
            </w:pPr>
            <w:r w:rsidRPr="0039681D">
              <w:rPr>
                <w:b/>
                <w:color w:val="000000"/>
                <w:sz w:val="18"/>
                <w:szCs w:val="18"/>
              </w:rPr>
              <w:t>2</w:t>
            </w:r>
          </w:p>
        </w:tc>
        <w:tc>
          <w:tcPr>
            <w:tcW w:w="2029" w:type="dxa"/>
            <w:noWrap/>
            <w:vAlign w:val="center"/>
          </w:tcPr>
          <w:p w14:paraId="126A6AEE"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1.347 (1.078-1.941)</w:t>
            </w:r>
          </w:p>
        </w:tc>
        <w:tc>
          <w:tcPr>
            <w:tcW w:w="1051" w:type="dxa"/>
            <w:noWrap/>
            <w:vAlign w:val="center"/>
          </w:tcPr>
          <w:p w14:paraId="1794F0B9"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0.0543</w:t>
            </w:r>
          </w:p>
        </w:tc>
        <w:tc>
          <w:tcPr>
            <w:tcW w:w="1883" w:type="dxa"/>
            <w:noWrap/>
            <w:vAlign w:val="center"/>
          </w:tcPr>
          <w:p w14:paraId="47E3AEE4" w14:textId="77777777" w:rsidR="005B61EA" w:rsidRPr="0039681D" w:rsidRDefault="0039681D">
            <w:pPr>
              <w:widowControl/>
              <w:jc w:val="center"/>
              <w:textAlignment w:val="top"/>
              <w:rPr>
                <w:color w:val="000000"/>
                <w:sz w:val="18"/>
                <w:szCs w:val="18"/>
              </w:rPr>
            </w:pPr>
            <w:r w:rsidRPr="0039681D">
              <w:rPr>
                <w:color w:val="000000"/>
                <w:sz w:val="18"/>
                <w:szCs w:val="18"/>
              </w:rPr>
              <w:t>1.46 (0.89-2.38)</w:t>
            </w:r>
          </w:p>
        </w:tc>
        <w:tc>
          <w:tcPr>
            <w:tcW w:w="1140" w:type="dxa"/>
            <w:noWrap/>
            <w:vAlign w:val="center"/>
          </w:tcPr>
          <w:p w14:paraId="04B937D3" w14:textId="77777777" w:rsidR="005B61EA" w:rsidRPr="0039681D" w:rsidRDefault="0039681D">
            <w:pPr>
              <w:widowControl/>
              <w:jc w:val="center"/>
              <w:textAlignment w:val="top"/>
              <w:rPr>
                <w:color w:val="000000"/>
                <w:sz w:val="18"/>
                <w:szCs w:val="18"/>
              </w:rPr>
            </w:pPr>
            <w:r w:rsidRPr="0039681D">
              <w:rPr>
                <w:color w:val="000000"/>
                <w:sz w:val="18"/>
                <w:szCs w:val="18"/>
              </w:rPr>
              <w:t>0.13</w:t>
            </w:r>
          </w:p>
        </w:tc>
      </w:tr>
      <w:tr w:rsidR="005B61EA" w:rsidRPr="0039681D" w14:paraId="7A69175A" w14:textId="77777777">
        <w:trPr>
          <w:trHeight w:val="336"/>
        </w:trPr>
        <w:tc>
          <w:tcPr>
            <w:tcW w:w="2275" w:type="dxa"/>
            <w:noWrap/>
            <w:vAlign w:val="center"/>
          </w:tcPr>
          <w:p w14:paraId="09B5244B" w14:textId="77777777" w:rsidR="005B61EA" w:rsidRPr="0039681D" w:rsidRDefault="0039681D">
            <w:pPr>
              <w:jc w:val="left"/>
              <w:rPr>
                <w:b/>
                <w:color w:val="000000"/>
                <w:sz w:val="18"/>
                <w:szCs w:val="18"/>
              </w:rPr>
            </w:pPr>
            <w:r w:rsidRPr="0039681D">
              <w:rPr>
                <w:b/>
                <w:color w:val="000000"/>
                <w:sz w:val="18"/>
                <w:szCs w:val="18"/>
              </w:rPr>
              <w:t>3</w:t>
            </w:r>
          </w:p>
        </w:tc>
        <w:tc>
          <w:tcPr>
            <w:tcW w:w="2029" w:type="dxa"/>
            <w:noWrap/>
            <w:vAlign w:val="center"/>
          </w:tcPr>
          <w:p w14:paraId="053E113D"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1.866 (1.172-2.971)</w:t>
            </w:r>
          </w:p>
        </w:tc>
        <w:tc>
          <w:tcPr>
            <w:tcW w:w="1051" w:type="dxa"/>
            <w:noWrap/>
            <w:vAlign w:val="center"/>
          </w:tcPr>
          <w:p w14:paraId="39280948"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0.0086</w:t>
            </w:r>
          </w:p>
        </w:tc>
        <w:tc>
          <w:tcPr>
            <w:tcW w:w="1883" w:type="dxa"/>
            <w:noWrap/>
            <w:vAlign w:val="center"/>
          </w:tcPr>
          <w:p w14:paraId="4FF8EADE" w14:textId="77777777" w:rsidR="005B61EA" w:rsidRPr="0039681D" w:rsidRDefault="0039681D">
            <w:pPr>
              <w:widowControl/>
              <w:jc w:val="center"/>
              <w:textAlignment w:val="top"/>
              <w:rPr>
                <w:color w:val="000000"/>
                <w:sz w:val="18"/>
                <w:szCs w:val="18"/>
              </w:rPr>
            </w:pPr>
            <w:r w:rsidRPr="0039681D">
              <w:rPr>
                <w:color w:val="000000"/>
                <w:sz w:val="18"/>
                <w:szCs w:val="18"/>
              </w:rPr>
              <w:t xml:space="preserve">1.42 </w:t>
            </w:r>
            <w:r w:rsidRPr="0039681D">
              <w:rPr>
                <w:color w:val="000000"/>
                <w:sz w:val="18"/>
                <w:szCs w:val="18"/>
              </w:rPr>
              <w:t>(1.04-1.95)</w:t>
            </w:r>
          </w:p>
        </w:tc>
        <w:tc>
          <w:tcPr>
            <w:tcW w:w="1140" w:type="dxa"/>
            <w:noWrap/>
            <w:vAlign w:val="center"/>
          </w:tcPr>
          <w:p w14:paraId="1B572D14" w14:textId="77777777" w:rsidR="005B61EA" w:rsidRPr="0039681D" w:rsidRDefault="0039681D">
            <w:pPr>
              <w:widowControl/>
              <w:jc w:val="center"/>
              <w:textAlignment w:val="top"/>
              <w:rPr>
                <w:color w:val="000000"/>
                <w:sz w:val="18"/>
                <w:szCs w:val="18"/>
              </w:rPr>
            </w:pPr>
            <w:r w:rsidRPr="0039681D">
              <w:rPr>
                <w:color w:val="000000"/>
                <w:sz w:val="18"/>
                <w:szCs w:val="18"/>
              </w:rPr>
              <w:t>0.03</w:t>
            </w:r>
          </w:p>
        </w:tc>
      </w:tr>
      <w:tr w:rsidR="005B61EA" w:rsidRPr="0039681D" w14:paraId="0786BD44" w14:textId="77777777">
        <w:trPr>
          <w:trHeight w:val="336"/>
        </w:trPr>
        <w:tc>
          <w:tcPr>
            <w:tcW w:w="2275" w:type="dxa"/>
            <w:noWrap/>
            <w:vAlign w:val="center"/>
          </w:tcPr>
          <w:p w14:paraId="2CB1D5A7" w14:textId="77777777" w:rsidR="005B61EA" w:rsidRPr="0039681D" w:rsidRDefault="0039681D">
            <w:pPr>
              <w:jc w:val="left"/>
              <w:rPr>
                <w:b/>
                <w:color w:val="000000"/>
                <w:sz w:val="18"/>
                <w:szCs w:val="18"/>
              </w:rPr>
            </w:pPr>
            <w:r w:rsidRPr="0039681D">
              <w:rPr>
                <w:b/>
                <w:color w:val="000000"/>
                <w:sz w:val="18"/>
                <w:szCs w:val="18"/>
              </w:rPr>
              <w:t>4</w:t>
            </w:r>
          </w:p>
        </w:tc>
        <w:tc>
          <w:tcPr>
            <w:tcW w:w="2029" w:type="dxa"/>
            <w:noWrap/>
            <w:vAlign w:val="center"/>
          </w:tcPr>
          <w:p w14:paraId="3D5E282F"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4.704</w:t>
            </w:r>
            <w:r w:rsidRPr="0039681D">
              <w:rPr>
                <w:color w:val="000000"/>
                <w:sz w:val="18"/>
                <w:szCs w:val="18"/>
              </w:rPr>
              <w:t xml:space="preserve"> </w:t>
            </w:r>
            <w:r w:rsidRPr="0039681D">
              <w:rPr>
                <w:rFonts w:hint="eastAsia"/>
                <w:color w:val="000000"/>
                <w:sz w:val="18"/>
                <w:szCs w:val="18"/>
              </w:rPr>
              <w:t>(2.926-7.562)</w:t>
            </w:r>
          </w:p>
        </w:tc>
        <w:tc>
          <w:tcPr>
            <w:tcW w:w="1051" w:type="dxa"/>
            <w:noWrap/>
            <w:vAlign w:val="center"/>
          </w:tcPr>
          <w:p w14:paraId="6038559C"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&lt;.0001</w:t>
            </w:r>
          </w:p>
        </w:tc>
        <w:tc>
          <w:tcPr>
            <w:tcW w:w="1883" w:type="dxa"/>
            <w:noWrap/>
            <w:vAlign w:val="center"/>
          </w:tcPr>
          <w:p w14:paraId="6C3926E6" w14:textId="77777777" w:rsidR="005B61EA" w:rsidRPr="0039681D" w:rsidRDefault="0039681D">
            <w:pPr>
              <w:widowControl/>
              <w:jc w:val="center"/>
              <w:textAlignment w:val="top"/>
              <w:rPr>
                <w:color w:val="000000"/>
                <w:sz w:val="18"/>
                <w:szCs w:val="18"/>
              </w:rPr>
            </w:pPr>
            <w:r w:rsidRPr="0039681D">
              <w:rPr>
                <w:color w:val="000000"/>
                <w:sz w:val="18"/>
                <w:szCs w:val="18"/>
              </w:rPr>
              <w:t>2.66 (1.63-4.33)</w:t>
            </w:r>
          </w:p>
        </w:tc>
        <w:tc>
          <w:tcPr>
            <w:tcW w:w="1140" w:type="dxa"/>
            <w:noWrap/>
            <w:vAlign w:val="center"/>
          </w:tcPr>
          <w:p w14:paraId="67962E9A" w14:textId="77777777" w:rsidR="005B61EA" w:rsidRPr="0039681D" w:rsidRDefault="0039681D">
            <w:pPr>
              <w:widowControl/>
              <w:jc w:val="center"/>
              <w:textAlignment w:val="top"/>
              <w:rPr>
                <w:color w:val="000000"/>
                <w:sz w:val="18"/>
                <w:szCs w:val="18"/>
              </w:rPr>
            </w:pPr>
            <w:r w:rsidRPr="0039681D">
              <w:rPr>
                <w:color w:val="000000"/>
                <w:sz w:val="18"/>
                <w:szCs w:val="18"/>
              </w:rPr>
              <w:t>&lt;.0001</w:t>
            </w:r>
          </w:p>
        </w:tc>
      </w:tr>
      <w:tr w:rsidR="005B61EA" w:rsidRPr="0039681D" w14:paraId="080B6B57" w14:textId="77777777">
        <w:trPr>
          <w:trHeight w:val="336"/>
        </w:trPr>
        <w:tc>
          <w:tcPr>
            <w:tcW w:w="2275" w:type="dxa"/>
            <w:noWrap/>
            <w:vAlign w:val="center"/>
          </w:tcPr>
          <w:p w14:paraId="57177BB8" w14:textId="77777777" w:rsidR="005B61EA" w:rsidRPr="0039681D" w:rsidRDefault="0039681D">
            <w:pPr>
              <w:jc w:val="left"/>
              <w:rPr>
                <w:color w:val="000000"/>
                <w:sz w:val="18"/>
                <w:szCs w:val="18"/>
              </w:rPr>
            </w:pPr>
            <w:r w:rsidRPr="0039681D">
              <w:rPr>
                <w:rFonts w:hint="eastAsia"/>
                <w:b/>
                <w:color w:val="000000"/>
                <w:sz w:val="18"/>
                <w:szCs w:val="18"/>
              </w:rPr>
              <w:t>treatment response</w:t>
            </w:r>
          </w:p>
        </w:tc>
        <w:tc>
          <w:tcPr>
            <w:tcW w:w="2029" w:type="dxa"/>
            <w:noWrap/>
            <w:vAlign w:val="center"/>
          </w:tcPr>
          <w:p w14:paraId="3AF22D84"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0.5</w:t>
            </w:r>
            <w:r w:rsidRPr="0039681D">
              <w:rPr>
                <w:color w:val="000000"/>
                <w:sz w:val="18"/>
                <w:szCs w:val="18"/>
              </w:rPr>
              <w:t>2</w:t>
            </w:r>
            <w:r w:rsidRPr="0039681D">
              <w:rPr>
                <w:rFonts w:hint="eastAsia"/>
                <w:color w:val="000000"/>
                <w:sz w:val="18"/>
                <w:szCs w:val="18"/>
              </w:rPr>
              <w:t xml:space="preserve"> (0.</w:t>
            </w:r>
            <w:r w:rsidRPr="0039681D">
              <w:rPr>
                <w:color w:val="000000"/>
                <w:sz w:val="18"/>
                <w:szCs w:val="18"/>
              </w:rPr>
              <w:t>37</w:t>
            </w:r>
            <w:r w:rsidRPr="0039681D">
              <w:rPr>
                <w:rFonts w:hint="eastAsia"/>
                <w:color w:val="000000"/>
                <w:sz w:val="18"/>
                <w:szCs w:val="18"/>
              </w:rPr>
              <w:t>-0.7</w:t>
            </w:r>
            <w:r w:rsidRPr="0039681D">
              <w:rPr>
                <w:color w:val="000000"/>
                <w:sz w:val="18"/>
                <w:szCs w:val="18"/>
              </w:rPr>
              <w:t>2</w:t>
            </w:r>
            <w:r w:rsidRPr="0039681D">
              <w:rPr>
                <w:rFonts w:hint="eastAsia"/>
                <w:color w:val="000000"/>
                <w:sz w:val="18"/>
                <w:szCs w:val="18"/>
              </w:rPr>
              <w:t>)</w:t>
            </w:r>
          </w:p>
        </w:tc>
        <w:tc>
          <w:tcPr>
            <w:tcW w:w="1051" w:type="dxa"/>
            <w:noWrap/>
            <w:vAlign w:val="center"/>
          </w:tcPr>
          <w:p w14:paraId="77C8FB77"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&lt; 0.05</w:t>
            </w:r>
          </w:p>
        </w:tc>
        <w:tc>
          <w:tcPr>
            <w:tcW w:w="1883" w:type="dxa"/>
            <w:noWrap/>
            <w:vAlign w:val="center"/>
          </w:tcPr>
          <w:p w14:paraId="7463EE40" w14:textId="77777777" w:rsidR="005B61EA" w:rsidRPr="0039681D" w:rsidRDefault="0039681D">
            <w:pPr>
              <w:widowControl/>
              <w:jc w:val="center"/>
              <w:textAlignment w:val="top"/>
              <w:rPr>
                <w:color w:val="000000"/>
                <w:sz w:val="18"/>
                <w:szCs w:val="18"/>
              </w:rPr>
            </w:pPr>
            <w:r w:rsidRPr="0039681D">
              <w:rPr>
                <w:color w:val="000000"/>
                <w:sz w:val="18"/>
                <w:szCs w:val="18"/>
              </w:rPr>
              <w:t>0.451 (0.247-0.826)</w:t>
            </w:r>
          </w:p>
        </w:tc>
        <w:tc>
          <w:tcPr>
            <w:tcW w:w="1140" w:type="dxa"/>
            <w:noWrap/>
            <w:vAlign w:val="center"/>
          </w:tcPr>
          <w:p w14:paraId="38B80E5A" w14:textId="77777777" w:rsidR="005B61EA" w:rsidRPr="0039681D" w:rsidRDefault="0039681D">
            <w:pPr>
              <w:widowControl/>
              <w:jc w:val="center"/>
              <w:textAlignment w:val="top"/>
              <w:rPr>
                <w:color w:val="000000"/>
                <w:sz w:val="18"/>
                <w:szCs w:val="18"/>
              </w:rPr>
            </w:pPr>
            <w:r w:rsidRPr="0039681D">
              <w:rPr>
                <w:color w:val="000000"/>
                <w:sz w:val="18"/>
                <w:szCs w:val="18"/>
              </w:rPr>
              <w:t>0.0099</w:t>
            </w:r>
          </w:p>
        </w:tc>
      </w:tr>
      <w:tr w:rsidR="005B61EA" w:rsidRPr="0039681D" w14:paraId="1B00EF28" w14:textId="77777777">
        <w:trPr>
          <w:trHeight w:val="336"/>
        </w:trPr>
        <w:tc>
          <w:tcPr>
            <w:tcW w:w="2275" w:type="dxa"/>
            <w:noWrap/>
          </w:tcPr>
          <w:p w14:paraId="39219783"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hint="eastAsia"/>
                <w:color w:val="000000"/>
                <w:szCs w:val="21"/>
              </w:rPr>
              <w:t>DLOP</w:t>
            </w:r>
            <w:r w:rsidRPr="0039681D">
              <w:rPr>
                <w:rFonts w:ascii="Times New Roman" w:hAnsi="Times New Roman" w:cs="Times New Roman" w:hint="eastAsia"/>
                <w:color w:val="000000"/>
                <w:szCs w:val="21"/>
                <w:vertAlign w:val="subscript"/>
              </w:rPr>
              <w:t>CTR</w:t>
            </w:r>
          </w:p>
        </w:tc>
        <w:tc>
          <w:tcPr>
            <w:tcW w:w="2029" w:type="dxa"/>
            <w:noWrap/>
          </w:tcPr>
          <w:p w14:paraId="58BE4B30"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0.12 (0.08-0.16)</w:t>
            </w:r>
          </w:p>
        </w:tc>
        <w:tc>
          <w:tcPr>
            <w:tcW w:w="1051" w:type="dxa"/>
            <w:noWrap/>
          </w:tcPr>
          <w:p w14:paraId="17575F09" w14:textId="77777777" w:rsidR="005B61EA" w:rsidRPr="0039681D" w:rsidRDefault="0039681D">
            <w:pPr>
              <w:widowControl/>
              <w:jc w:val="center"/>
              <w:textAlignment w:val="top"/>
              <w:rPr>
                <w:color w:val="000000"/>
                <w:sz w:val="18"/>
                <w:szCs w:val="18"/>
              </w:rPr>
            </w:pPr>
            <w:r w:rsidRPr="0039681D">
              <w:rPr>
                <w:rFonts w:hint="eastAsia"/>
                <w:color w:val="000000"/>
                <w:sz w:val="18"/>
                <w:szCs w:val="18"/>
              </w:rPr>
              <w:t>&lt; 0.05</w:t>
            </w:r>
          </w:p>
        </w:tc>
        <w:tc>
          <w:tcPr>
            <w:tcW w:w="1883" w:type="dxa"/>
            <w:noWrap/>
          </w:tcPr>
          <w:p w14:paraId="0DE593A5"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0.1</w:t>
            </w:r>
            <w:r w:rsidRPr="0039681D">
              <w:rPr>
                <w:color w:val="000000"/>
                <w:sz w:val="18"/>
                <w:szCs w:val="18"/>
              </w:rPr>
              <w:t xml:space="preserve">4 </w:t>
            </w:r>
            <w:r w:rsidRPr="0039681D">
              <w:rPr>
                <w:rFonts w:hint="eastAsia"/>
                <w:color w:val="000000"/>
                <w:sz w:val="18"/>
                <w:szCs w:val="18"/>
              </w:rPr>
              <w:t>(0.</w:t>
            </w:r>
            <w:r w:rsidRPr="0039681D">
              <w:rPr>
                <w:color w:val="000000"/>
                <w:sz w:val="18"/>
                <w:szCs w:val="18"/>
              </w:rPr>
              <w:t>10</w:t>
            </w:r>
            <w:r w:rsidRPr="0039681D">
              <w:rPr>
                <w:rFonts w:hint="eastAsia"/>
                <w:color w:val="000000"/>
                <w:sz w:val="18"/>
                <w:szCs w:val="18"/>
              </w:rPr>
              <w:t>-0.</w:t>
            </w:r>
            <w:r w:rsidRPr="0039681D">
              <w:rPr>
                <w:color w:val="000000"/>
                <w:sz w:val="18"/>
                <w:szCs w:val="18"/>
              </w:rPr>
              <w:t>21</w:t>
            </w:r>
            <w:r w:rsidRPr="0039681D">
              <w:rPr>
                <w:rFonts w:hint="eastAsia"/>
                <w:color w:val="000000"/>
                <w:sz w:val="18"/>
                <w:szCs w:val="18"/>
              </w:rPr>
              <w:t>)</w:t>
            </w:r>
          </w:p>
        </w:tc>
        <w:tc>
          <w:tcPr>
            <w:tcW w:w="1140" w:type="dxa"/>
            <w:noWrap/>
          </w:tcPr>
          <w:p w14:paraId="3B5DDD56" w14:textId="77777777" w:rsidR="005B61EA" w:rsidRPr="0039681D" w:rsidRDefault="0039681D">
            <w:pPr>
              <w:pStyle w:val="ListParagraph"/>
              <w:ind w:firstLineChars="0" w:firstLine="0"/>
              <w:jc w:val="center"/>
              <w:rPr>
                <w:color w:val="000000"/>
                <w:sz w:val="18"/>
                <w:szCs w:val="18"/>
              </w:rPr>
            </w:pPr>
            <w:r w:rsidRPr="0039681D">
              <w:rPr>
                <w:rFonts w:hint="eastAsia"/>
                <w:color w:val="000000"/>
                <w:sz w:val="18"/>
                <w:szCs w:val="18"/>
              </w:rPr>
              <w:t>&lt; 0.01</w:t>
            </w:r>
          </w:p>
        </w:tc>
      </w:tr>
    </w:tbl>
    <w:p w14:paraId="0DE38CE1" w14:textId="77777777" w:rsidR="005B61EA" w:rsidRPr="0039681D" w:rsidRDefault="005B61EA">
      <w:pPr>
        <w:rPr>
          <w:color w:val="000000"/>
        </w:rPr>
      </w:pPr>
    </w:p>
    <w:p w14:paraId="6DA041D1" w14:textId="77777777" w:rsidR="005B61EA" w:rsidRPr="0039681D" w:rsidRDefault="005B61EA">
      <w:pPr>
        <w:rPr>
          <w:color w:val="000000"/>
        </w:rPr>
      </w:pPr>
    </w:p>
    <w:p w14:paraId="3809E3F7" w14:textId="77777777" w:rsidR="005B61EA" w:rsidRPr="0039681D" w:rsidRDefault="005B61EA">
      <w:pPr>
        <w:rPr>
          <w:color w:val="000000"/>
        </w:rPr>
      </w:pPr>
    </w:p>
    <w:p w14:paraId="6E7B4A14" w14:textId="77777777" w:rsidR="005B61EA" w:rsidRPr="0039681D" w:rsidRDefault="005B61EA">
      <w:pPr>
        <w:rPr>
          <w:color w:val="000000"/>
        </w:rPr>
      </w:pPr>
    </w:p>
    <w:p w14:paraId="0AD5C8D2" w14:textId="77777777" w:rsidR="005B61EA" w:rsidRPr="0039681D" w:rsidRDefault="005B61EA">
      <w:pPr>
        <w:rPr>
          <w:color w:val="000000"/>
        </w:rPr>
      </w:pPr>
    </w:p>
    <w:p w14:paraId="4685D4F7" w14:textId="77777777" w:rsidR="005B61EA" w:rsidRPr="0039681D" w:rsidRDefault="005B61EA">
      <w:pPr>
        <w:rPr>
          <w:color w:val="000000"/>
        </w:rPr>
      </w:pPr>
    </w:p>
    <w:p w14:paraId="1747D5CF" w14:textId="77777777" w:rsidR="005B61EA" w:rsidRPr="0039681D" w:rsidRDefault="005B61EA">
      <w:pPr>
        <w:rPr>
          <w:color w:val="000000"/>
        </w:rPr>
      </w:pPr>
    </w:p>
    <w:p w14:paraId="39E22404" w14:textId="77777777" w:rsidR="005B61EA" w:rsidRPr="0039681D" w:rsidRDefault="005B61EA">
      <w:pPr>
        <w:rPr>
          <w:color w:val="000000"/>
        </w:rPr>
      </w:pPr>
    </w:p>
    <w:p w14:paraId="338C81AC" w14:textId="77777777" w:rsidR="005B61EA" w:rsidRPr="0039681D" w:rsidRDefault="005B61EA">
      <w:pPr>
        <w:rPr>
          <w:color w:val="000000"/>
        </w:rPr>
      </w:pPr>
    </w:p>
    <w:p w14:paraId="3057839E" w14:textId="77777777" w:rsidR="005B61EA" w:rsidRPr="0039681D" w:rsidRDefault="005B61EA">
      <w:pPr>
        <w:rPr>
          <w:color w:val="000000"/>
        </w:rPr>
      </w:pPr>
    </w:p>
    <w:p w14:paraId="28611FF6" w14:textId="77777777" w:rsidR="005B61EA" w:rsidRPr="0039681D" w:rsidRDefault="0039681D">
      <w:pPr>
        <w:rPr>
          <w:rFonts w:ascii="Times New Roman" w:hAnsi="Times New Roman" w:cs="Times New Roman"/>
          <w:color w:val="000000"/>
        </w:rPr>
      </w:pPr>
      <w:r w:rsidRPr="0039681D">
        <w:rPr>
          <w:rFonts w:ascii="Times New Roman" w:hAnsi="Times New Roman" w:cs="Times New Roman"/>
          <w:color w:val="000000"/>
        </w:rPr>
        <w:t xml:space="preserve">Table S2 Radiomic features after LASSO COX </w:t>
      </w:r>
      <w:r w:rsidRPr="0039681D">
        <w:rPr>
          <w:rFonts w:ascii="Times New Roman" w:hAnsi="Times New Roman" w:cs="Times New Roman"/>
          <w:color w:val="000000"/>
        </w:rPr>
        <w:t>selection</w:t>
      </w:r>
    </w:p>
    <w:p w14:paraId="3113F8DC" w14:textId="77777777" w:rsidR="005B61EA" w:rsidRPr="0039681D" w:rsidRDefault="005B61EA">
      <w:pPr>
        <w:jc w:val="left"/>
        <w:rPr>
          <w:b/>
          <w:bCs/>
          <w:color w:val="000000"/>
          <w:sz w:val="18"/>
          <w:szCs w:val="18"/>
        </w:rPr>
      </w:pPr>
    </w:p>
    <w:tbl>
      <w:tblPr>
        <w:tblStyle w:val="21"/>
        <w:tblW w:w="8279" w:type="dxa"/>
        <w:tblLook w:val="04A0" w:firstRow="1" w:lastRow="0" w:firstColumn="1" w:lastColumn="0" w:noHBand="0" w:noVBand="1"/>
      </w:tblPr>
      <w:tblGrid>
        <w:gridCol w:w="6232"/>
        <w:gridCol w:w="2047"/>
      </w:tblGrid>
      <w:tr w:rsidR="005B61EA" w:rsidRPr="0039681D" w14:paraId="615BE2FC" w14:textId="77777777" w:rsidTr="0047110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32" w:type="dxa"/>
            <w:noWrap/>
          </w:tcPr>
          <w:p w14:paraId="663ED740" w14:textId="77777777" w:rsidR="005B61EA" w:rsidRPr="0039681D" w:rsidRDefault="0039681D">
            <w:pPr>
              <w:jc w:val="left"/>
              <w:rPr>
                <w:rFonts w:ascii="Times New Roman" w:hAnsi="Times New Roman" w:cs="Times New Roman"/>
                <w:b w:val="0"/>
                <w:bCs w:val="0"/>
                <w:color w:val="000000"/>
                <w:szCs w:val="21"/>
              </w:rPr>
            </w:pPr>
            <w:r w:rsidRPr="0039681D">
              <w:rPr>
                <w:rFonts w:ascii="Times New Roman" w:hAnsi="Times New Roman" w:cs="Times New Roman"/>
                <w:color w:val="000000"/>
                <w:szCs w:val="21"/>
              </w:rPr>
              <w:t>Features</w:t>
            </w:r>
          </w:p>
        </w:tc>
        <w:tc>
          <w:tcPr>
            <w:tcW w:w="2047" w:type="dxa"/>
            <w:noWrap/>
          </w:tcPr>
          <w:p w14:paraId="13D4AF75" w14:textId="77777777" w:rsidR="005B61EA" w:rsidRPr="0039681D" w:rsidRDefault="0039681D">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Cs w:val="21"/>
              </w:rPr>
            </w:pPr>
            <w:r w:rsidRPr="0039681D">
              <w:rPr>
                <w:rFonts w:ascii="Times New Roman" w:hAnsi="Times New Roman" w:cs="Times New Roman"/>
                <w:color w:val="000000"/>
                <w:szCs w:val="21"/>
              </w:rPr>
              <w:t>coefficients</w:t>
            </w:r>
          </w:p>
        </w:tc>
      </w:tr>
      <w:tr w:rsidR="005B61EA" w:rsidRPr="0039681D" w14:paraId="442504A4"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6232" w:type="dxa"/>
            <w:noWrap/>
          </w:tcPr>
          <w:p w14:paraId="1D1FC254"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(Intercept)</w:t>
            </w:r>
          </w:p>
        </w:tc>
        <w:tc>
          <w:tcPr>
            <w:tcW w:w="2047" w:type="dxa"/>
            <w:noWrap/>
          </w:tcPr>
          <w:p w14:paraId="666ECFC1"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1.63E-01</w:t>
            </w:r>
          </w:p>
        </w:tc>
      </w:tr>
      <w:tr w:rsidR="005B61EA" w:rsidRPr="0039681D" w14:paraId="31019800"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0" w:type="auto"/>
            <w:noWrap/>
          </w:tcPr>
          <w:p w14:paraId="5B2FE623"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gradient_glszm_ZoneEntropy</w:t>
            </w:r>
          </w:p>
        </w:tc>
        <w:tc>
          <w:tcPr>
            <w:tcW w:w="0" w:type="auto"/>
            <w:noWrap/>
          </w:tcPr>
          <w:p w14:paraId="579CAF65"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0.062126883</w:t>
            </w:r>
          </w:p>
        </w:tc>
      </w:tr>
      <w:tr w:rsidR="005B61EA" w:rsidRPr="0039681D" w14:paraId="251EB02C"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0" w:type="auto"/>
            <w:noWrap/>
          </w:tcPr>
          <w:p w14:paraId="2530F777"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 xml:space="preserve">log.sigma.2.0.mm.3D_ngtdm_Contrast </w:t>
            </w:r>
          </w:p>
        </w:tc>
        <w:tc>
          <w:tcPr>
            <w:tcW w:w="0" w:type="auto"/>
            <w:noWrap/>
          </w:tcPr>
          <w:p w14:paraId="6292644C"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-3.097256224</w:t>
            </w:r>
          </w:p>
        </w:tc>
      </w:tr>
      <w:tr w:rsidR="005B61EA" w:rsidRPr="0039681D" w14:paraId="7F695DFA"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0" w:type="auto"/>
            <w:noWrap/>
          </w:tcPr>
          <w:p w14:paraId="2559456D"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log.sigma.4.0.mm.3D_glszm_SmallAreaEmphasis</w:t>
            </w:r>
          </w:p>
        </w:tc>
        <w:tc>
          <w:tcPr>
            <w:tcW w:w="0" w:type="auto"/>
            <w:noWrap/>
          </w:tcPr>
          <w:p w14:paraId="6CC93E56"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-0.004368544</w:t>
            </w:r>
          </w:p>
        </w:tc>
      </w:tr>
      <w:tr w:rsidR="005B61EA" w:rsidRPr="0039681D" w14:paraId="52871F74"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0" w:type="auto"/>
            <w:noWrap/>
          </w:tcPr>
          <w:p w14:paraId="08474007"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 xml:space="preserve">square_firstorder_Variance </w:t>
            </w:r>
          </w:p>
        </w:tc>
        <w:tc>
          <w:tcPr>
            <w:tcW w:w="0" w:type="auto"/>
            <w:noWrap/>
          </w:tcPr>
          <w:p w14:paraId="306FF7ED"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0.000134998</w:t>
            </w:r>
          </w:p>
        </w:tc>
      </w:tr>
      <w:tr w:rsidR="005B61EA" w:rsidRPr="0039681D" w14:paraId="6B0B79ED" w14:textId="77777777" w:rsidTr="00471104">
        <w:trPr>
          <w:trHeight w:val="301"/>
        </w:trPr>
        <w:tc>
          <w:tcPr>
            <w:cnfStyle w:val="001000000000" w:firstRow="0" w:lastRow="0" w:firstColumn="1" w:lastColumn="0" w:oddVBand="0" w:evenVBand="0" w:oddHBand="0" w:evenHBand="0" w:firstRowFirstColumn="0" w:firstRowLastColumn="0" w:lastRowFirstColumn="0" w:lastRowLastColumn="0"/>
            <w:tcW w:w="0" w:type="auto"/>
            <w:noWrap/>
          </w:tcPr>
          <w:p w14:paraId="24CE959C" w14:textId="77777777" w:rsidR="005B61EA" w:rsidRPr="0039681D" w:rsidRDefault="0039681D">
            <w:pPr>
              <w:jc w:val="left"/>
              <w:rPr>
                <w:rFonts w:ascii="Times New Roman" w:hAnsi="Times New Roman" w:cs="Times New Roman"/>
                <w:color w:val="000000"/>
                <w:szCs w:val="21"/>
              </w:rPr>
            </w:pPr>
            <w:r w:rsidRPr="0039681D">
              <w:rPr>
                <w:rFonts w:ascii="Times New Roman" w:hAnsi="Times New Roman" w:cs="Times New Roman"/>
                <w:b w:val="0"/>
                <w:bCs w:val="0"/>
                <w:color w:val="000000"/>
                <w:szCs w:val="21"/>
              </w:rPr>
              <w:t>wavelet.HLL_ngtdm_Complexity</w:t>
            </w:r>
          </w:p>
        </w:tc>
        <w:tc>
          <w:tcPr>
            <w:tcW w:w="0" w:type="auto"/>
            <w:noWrap/>
          </w:tcPr>
          <w:p w14:paraId="244E4DCD" w14:textId="77777777" w:rsidR="005B61EA" w:rsidRPr="0039681D" w:rsidRDefault="0039681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1"/>
              </w:rPr>
            </w:pPr>
            <w:r w:rsidRPr="0039681D">
              <w:rPr>
                <w:rFonts w:ascii="Times New Roman" w:hAnsi="Times New Roman" w:cs="Times New Roman"/>
                <w:color w:val="000000"/>
                <w:szCs w:val="21"/>
              </w:rPr>
              <w:t>0.000507638</w:t>
            </w:r>
          </w:p>
        </w:tc>
      </w:tr>
    </w:tbl>
    <w:p w14:paraId="32516BBD" w14:textId="5A26FD4D" w:rsidR="00471104" w:rsidRPr="0039681D" w:rsidRDefault="00471104">
      <w:pPr>
        <w:pStyle w:val="NormalWeb"/>
        <w:widowControl/>
        <w:spacing w:before="148" w:beforeAutospacing="0" w:afterAutospacing="0" w:line="368" w:lineRule="atLeast"/>
        <w:jc w:val="both"/>
        <w:rPr>
          <w:rFonts w:cstheme="minorBidi"/>
          <w:color w:val="000000"/>
          <w:kern w:val="2"/>
          <w:sz w:val="21"/>
        </w:rPr>
      </w:pPr>
    </w:p>
    <w:p w14:paraId="24D056DB" w14:textId="77777777" w:rsidR="00471104" w:rsidRPr="0039681D" w:rsidRDefault="00471104">
      <w:pPr>
        <w:widowControl/>
        <w:jc w:val="left"/>
        <w:rPr>
          <w:color w:val="000000"/>
        </w:rPr>
      </w:pPr>
      <w:r w:rsidRPr="0039681D">
        <w:rPr>
          <w:color w:val="000000"/>
        </w:rPr>
        <w:br w:type="page"/>
      </w:r>
    </w:p>
    <w:p w14:paraId="080A84DE" w14:textId="27166DEE" w:rsidR="005B61EA" w:rsidRPr="0039681D" w:rsidRDefault="0039681D">
      <w:pPr>
        <w:pStyle w:val="NormalWeb"/>
        <w:widowControl/>
        <w:spacing w:before="148" w:beforeAutospacing="0" w:afterAutospacing="0" w:line="368" w:lineRule="atLeast"/>
        <w:jc w:val="both"/>
        <w:rPr>
          <w:rFonts w:cstheme="minorBidi"/>
          <w:color w:val="000000"/>
          <w:kern w:val="2"/>
          <w:sz w:val="21"/>
        </w:rPr>
      </w:pPr>
      <w:r w:rsidRPr="0039681D">
        <w:rPr>
          <w:color w:val="000000"/>
        </w:rPr>
        <w:lastRenderedPageBreak/>
        <w:drawing>
          <wp:inline distT="0" distB="0" distL="114300" distR="114300" wp14:anchorId="09BE0EEA" wp14:editId="5B4EDE87">
            <wp:extent cx="5270500" cy="2994660"/>
            <wp:effectExtent l="0" t="0" r="1270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0500" cy="2994660"/>
                    </a:xfrm>
                    <a:prstGeom prst="rect">
                      <a:avLst/>
                    </a:prstGeom>
                    <a:noFill/>
                    <a:ln>
                      <a:noFill/>
                    </a:ln>
                  </pic:spPr>
                </pic:pic>
              </a:graphicData>
            </a:graphic>
          </wp:inline>
        </w:drawing>
      </w:r>
    </w:p>
    <w:p w14:paraId="3DAA8F95" w14:textId="77777777" w:rsidR="00471104" w:rsidRPr="0039681D" w:rsidRDefault="00471104" w:rsidP="00471104">
      <w:pPr>
        <w:pStyle w:val="NormalWeb"/>
        <w:widowControl/>
        <w:spacing w:before="148" w:beforeAutospacing="0" w:afterAutospacing="0" w:line="368" w:lineRule="atLeast"/>
        <w:jc w:val="both"/>
        <w:rPr>
          <w:rFonts w:cstheme="minorBidi"/>
          <w:color w:val="000000"/>
          <w:kern w:val="2"/>
          <w:sz w:val="21"/>
        </w:rPr>
      </w:pPr>
      <w:r w:rsidRPr="0039681D">
        <w:rPr>
          <w:rFonts w:cstheme="minorBidi" w:hint="eastAsia"/>
          <w:color w:val="000000"/>
          <w:kern w:val="2"/>
          <w:sz w:val="21"/>
        </w:rPr>
        <w:t>Figure S1 Flowchart of patients for inclusion in the cohorts.</w:t>
      </w:r>
    </w:p>
    <w:p w14:paraId="21516FC4" w14:textId="77777777" w:rsidR="005B61EA" w:rsidRPr="0039681D" w:rsidRDefault="0039681D">
      <w:pPr>
        <w:jc w:val="center"/>
        <w:rPr>
          <w:color w:val="000000"/>
        </w:rPr>
      </w:pPr>
      <w:r w:rsidRPr="0039681D">
        <w:rPr>
          <w:color w:val="000000"/>
        </w:rPr>
        <w:drawing>
          <wp:inline distT="0" distB="0" distL="114300" distR="114300" wp14:anchorId="7BBBD1BB" wp14:editId="6F69FA54">
            <wp:extent cx="4057650" cy="4281805"/>
            <wp:effectExtent l="0" t="0" r="635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057650" cy="4281805"/>
                    </a:xfrm>
                    <a:prstGeom prst="rect">
                      <a:avLst/>
                    </a:prstGeom>
                    <a:noFill/>
                    <a:ln>
                      <a:noFill/>
                    </a:ln>
                  </pic:spPr>
                </pic:pic>
              </a:graphicData>
            </a:graphic>
          </wp:inline>
        </w:drawing>
      </w:r>
    </w:p>
    <w:p w14:paraId="69E6DC59" w14:textId="77777777" w:rsidR="00471104" w:rsidRPr="0039681D" w:rsidRDefault="00471104" w:rsidP="00471104">
      <w:pPr>
        <w:pStyle w:val="NormalWeb"/>
        <w:widowControl/>
        <w:spacing w:before="148" w:beforeAutospacing="0" w:afterAutospacing="0" w:line="368" w:lineRule="atLeast"/>
        <w:jc w:val="both"/>
        <w:rPr>
          <w:rFonts w:cstheme="minorBidi"/>
          <w:color w:val="000000"/>
          <w:kern w:val="2"/>
          <w:sz w:val="21"/>
        </w:rPr>
      </w:pPr>
      <w:r w:rsidRPr="0039681D">
        <w:rPr>
          <w:rFonts w:cstheme="minorBidi" w:hint="eastAsia"/>
          <w:color w:val="000000"/>
          <w:kern w:val="2"/>
          <w:sz w:val="21"/>
        </w:rPr>
        <w:t>Figure S2 Radiomic features  selection (A). Heat maps for all the features. (B) LASSOCOX regression analysis. (C) LASSO coefficient profiles of radiomics features. (D).  Heat maps of five radiomic features.</w:t>
      </w:r>
    </w:p>
    <w:p w14:paraId="4C396DEC" w14:textId="77777777" w:rsidR="005B61EA" w:rsidRPr="0039681D" w:rsidRDefault="005B61EA">
      <w:pPr>
        <w:jc w:val="center"/>
        <w:rPr>
          <w:color w:val="000000"/>
        </w:rPr>
      </w:pPr>
    </w:p>
    <w:p w14:paraId="702C93BB" w14:textId="77777777" w:rsidR="005B61EA" w:rsidRPr="0039681D" w:rsidRDefault="005B61EA">
      <w:pPr>
        <w:jc w:val="center"/>
        <w:rPr>
          <w:color w:val="000000"/>
        </w:rPr>
      </w:pPr>
    </w:p>
    <w:p w14:paraId="34E2D1D0" w14:textId="77777777" w:rsidR="005B61EA" w:rsidRPr="0039681D" w:rsidRDefault="005B61EA">
      <w:pPr>
        <w:autoSpaceDE w:val="0"/>
        <w:autoSpaceDN w:val="0"/>
        <w:adjustRightInd w:val="0"/>
        <w:spacing w:line="370" w:lineRule="exact"/>
        <w:jc w:val="center"/>
        <w:rPr>
          <w:color w:val="000000"/>
          <w:lang w:eastAsia="zh-Hans"/>
        </w:rPr>
      </w:pPr>
    </w:p>
    <w:p w14:paraId="7C97E669" w14:textId="16FD1541" w:rsidR="005B61EA" w:rsidRPr="0039681D" w:rsidRDefault="0039681D">
      <w:pPr>
        <w:jc w:val="center"/>
        <w:rPr>
          <w:color w:val="000000"/>
        </w:rPr>
      </w:pPr>
      <w:r w:rsidRPr="0039681D">
        <w:rPr>
          <w:color w:val="000000"/>
        </w:rPr>
        <w:drawing>
          <wp:inline distT="0" distB="0" distL="114300" distR="114300" wp14:anchorId="4FB54B0C" wp14:editId="790CDFCD">
            <wp:extent cx="4027805" cy="4098290"/>
            <wp:effectExtent l="0" t="0" r="10795"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027805" cy="4098290"/>
                    </a:xfrm>
                    <a:prstGeom prst="rect">
                      <a:avLst/>
                    </a:prstGeom>
                    <a:noFill/>
                    <a:ln>
                      <a:noFill/>
                    </a:ln>
                  </pic:spPr>
                </pic:pic>
              </a:graphicData>
            </a:graphic>
          </wp:inline>
        </w:drawing>
      </w:r>
    </w:p>
    <w:p w14:paraId="5A082D70" w14:textId="77777777" w:rsidR="00471104" w:rsidRPr="0039681D" w:rsidRDefault="00471104" w:rsidP="00471104">
      <w:pPr>
        <w:autoSpaceDE w:val="0"/>
        <w:autoSpaceDN w:val="0"/>
        <w:adjustRightInd w:val="0"/>
        <w:spacing w:line="370" w:lineRule="exact"/>
        <w:jc w:val="center"/>
        <w:rPr>
          <w:color w:val="000000"/>
          <w:lang w:eastAsia="zh-Hans"/>
        </w:rPr>
      </w:pPr>
      <w:r w:rsidRPr="0039681D">
        <w:rPr>
          <w:rFonts w:hint="eastAsia"/>
          <w:color w:val="000000"/>
          <w:lang w:eastAsia="zh-Hans"/>
        </w:rPr>
        <w:t>Figure S3</w:t>
      </w:r>
      <w:r w:rsidRPr="0039681D">
        <w:rPr>
          <w:color w:val="000000"/>
          <w:lang w:eastAsia="zh-Hans"/>
        </w:rPr>
        <w:t xml:space="preserve"> Kaplan–Meier analysis of OS of BCLC substage</w:t>
      </w:r>
      <w:r w:rsidRPr="0039681D">
        <w:rPr>
          <w:color w:val="000000"/>
          <w:lang w:eastAsia="zh-Hans"/>
        </w:rPr>
        <w:t>（</w:t>
      </w:r>
      <w:r w:rsidRPr="0039681D">
        <w:rPr>
          <w:color w:val="000000"/>
          <w:lang w:eastAsia="zh-Hans"/>
        </w:rPr>
        <w:t>B1</w:t>
      </w:r>
      <w:r w:rsidRPr="0039681D">
        <w:rPr>
          <w:color w:val="000000"/>
          <w:lang w:eastAsia="zh-Hans"/>
        </w:rPr>
        <w:t>，</w:t>
      </w:r>
      <w:r w:rsidRPr="0039681D">
        <w:rPr>
          <w:color w:val="000000"/>
          <w:lang w:eastAsia="zh-Hans"/>
        </w:rPr>
        <w:t>B2</w:t>
      </w:r>
      <w:r w:rsidRPr="0039681D">
        <w:rPr>
          <w:color w:val="000000"/>
          <w:lang w:eastAsia="zh-Hans"/>
        </w:rPr>
        <w:t>，</w:t>
      </w:r>
      <w:r w:rsidRPr="0039681D">
        <w:rPr>
          <w:color w:val="000000"/>
          <w:lang w:eastAsia="zh-Hans"/>
        </w:rPr>
        <w:t>B3</w:t>
      </w:r>
      <w:r w:rsidRPr="0039681D">
        <w:rPr>
          <w:color w:val="000000"/>
          <w:lang w:eastAsia="zh-Hans"/>
        </w:rPr>
        <w:t>，</w:t>
      </w:r>
      <w:r w:rsidRPr="0039681D">
        <w:rPr>
          <w:color w:val="000000"/>
          <w:lang w:eastAsia="zh-Hans"/>
        </w:rPr>
        <w:t>B4</w:t>
      </w:r>
      <w:r w:rsidRPr="0039681D">
        <w:rPr>
          <w:color w:val="000000"/>
          <w:lang w:eastAsia="zh-Hans"/>
        </w:rPr>
        <w:t>）</w:t>
      </w:r>
    </w:p>
    <w:p w14:paraId="062524FA" w14:textId="77777777" w:rsidR="00471104" w:rsidRPr="0039681D" w:rsidRDefault="00471104">
      <w:pPr>
        <w:jc w:val="center"/>
        <w:rPr>
          <w:color w:val="000000"/>
        </w:rPr>
      </w:pPr>
    </w:p>
    <w:sectPr w:rsidR="00471104" w:rsidRPr="0039681D">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9EA3" w14:textId="77777777" w:rsidR="00717DF3" w:rsidRDefault="00717DF3"/>
  </w:endnote>
  <w:endnote w:type="continuationSeparator" w:id="0">
    <w:p w14:paraId="54B789B5" w14:textId="77777777" w:rsidR="00717DF3" w:rsidRDefault="0071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7ED3" w14:textId="18C00057" w:rsidR="009303CC" w:rsidRDefault="009303CC">
    <w:pPr>
      <w:pStyle w:val="Footer"/>
    </w:pPr>
    <w:r>
      <w:rPr>
        <w:noProof/>
      </w:rPr>
      <mc:AlternateContent>
        <mc:Choice Requires="wps">
          <w:drawing>
            <wp:anchor distT="0" distB="0" distL="0" distR="0" simplePos="0" relativeHeight="251659264" behindDoc="0" locked="0" layoutInCell="1" allowOverlap="1" wp14:anchorId="18D9C1A8" wp14:editId="7146167C">
              <wp:simplePos x="635" y="635"/>
              <wp:positionH relativeFrom="page">
                <wp:align>left</wp:align>
              </wp:positionH>
              <wp:positionV relativeFrom="page">
                <wp:align>bottom</wp:align>
              </wp:positionV>
              <wp:extent cx="443865" cy="443865"/>
              <wp:effectExtent l="0" t="0" r="18415" b="0"/>
              <wp:wrapNone/>
              <wp:docPr id="1911924930" name="文本框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47188" w14:textId="3EA43118"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D9C1A8" id="_x0000_t202" coordsize="21600,21600" o:spt="202" path="m,l,21600r21600,l21600,xe">
              <v:stroke joinstyle="miter"/>
              <v:path gradientshapeok="t" o:connecttype="rect"/>
            </v:shapetype>
            <v:shape id="文本框 4"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BA47188" w14:textId="3EA43118"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A5BC" w14:textId="3BF606F7" w:rsidR="007A3F2A" w:rsidRDefault="009303CC">
    <w:pPr>
      <w:pStyle w:val="Footer"/>
      <w:jc w:val="center"/>
    </w:pPr>
    <w:r>
      <w:rPr>
        <w:noProof/>
      </w:rPr>
      <mc:AlternateContent>
        <mc:Choice Requires="wps">
          <w:drawing>
            <wp:anchor distT="0" distB="0" distL="0" distR="0" simplePos="0" relativeHeight="251660288" behindDoc="0" locked="0" layoutInCell="1" allowOverlap="1" wp14:anchorId="6875F337" wp14:editId="359E60E1">
              <wp:simplePos x="1143000" y="9782175"/>
              <wp:positionH relativeFrom="page">
                <wp:align>left</wp:align>
              </wp:positionH>
              <wp:positionV relativeFrom="page">
                <wp:align>bottom</wp:align>
              </wp:positionV>
              <wp:extent cx="443865" cy="443865"/>
              <wp:effectExtent l="0" t="0" r="18415" b="0"/>
              <wp:wrapNone/>
              <wp:docPr id="581784801" name="文本框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9B38D" w14:textId="686A140B"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75F337" id="_x0000_t202" coordsize="21600,21600" o:spt="202" path="m,l,21600r21600,l21600,xe">
              <v:stroke joinstyle="miter"/>
              <v:path gradientshapeok="t" o:connecttype="rect"/>
            </v:shapetype>
            <v:shape id="文本框 5"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AF9B38D" w14:textId="686A140B"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944881596"/>
        <w:docPartObj>
          <w:docPartGallery w:val="Page Numbers (Bottom of Page)"/>
          <w:docPartUnique/>
        </w:docPartObj>
      </w:sdtPr>
      <w:sdtEndPr/>
      <w:sdtContent>
        <w:r w:rsidR="007A3F2A">
          <w:fldChar w:fldCharType="begin"/>
        </w:r>
        <w:r w:rsidR="007A3F2A">
          <w:instrText>PAGE   \* MERGEFORMAT</w:instrText>
        </w:r>
        <w:r w:rsidR="007A3F2A">
          <w:fldChar w:fldCharType="separate"/>
        </w:r>
        <w:r w:rsidR="007A3F2A">
          <w:rPr>
            <w:lang w:val="zh-CN"/>
          </w:rPr>
          <w:t>2</w:t>
        </w:r>
        <w:r w:rsidR="007A3F2A">
          <w:fldChar w:fldCharType="end"/>
        </w:r>
      </w:sdtContent>
    </w:sdt>
  </w:p>
  <w:p w14:paraId="59DED0E2" w14:textId="77777777" w:rsidR="007A3F2A" w:rsidRDefault="007A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A285" w14:textId="1D6EC59E" w:rsidR="009303CC" w:rsidRDefault="009303CC">
    <w:pPr>
      <w:pStyle w:val="Footer"/>
    </w:pPr>
    <w:r>
      <w:rPr>
        <w:noProof/>
      </w:rPr>
      <mc:AlternateContent>
        <mc:Choice Requires="wps">
          <w:drawing>
            <wp:anchor distT="0" distB="0" distL="0" distR="0" simplePos="0" relativeHeight="251658240" behindDoc="0" locked="0" layoutInCell="1" allowOverlap="1" wp14:anchorId="3D9FFBEA" wp14:editId="37B5B689">
              <wp:simplePos x="635" y="635"/>
              <wp:positionH relativeFrom="page">
                <wp:align>left</wp:align>
              </wp:positionH>
              <wp:positionV relativeFrom="page">
                <wp:align>bottom</wp:align>
              </wp:positionV>
              <wp:extent cx="443865" cy="443865"/>
              <wp:effectExtent l="0" t="0" r="18415" b="0"/>
              <wp:wrapNone/>
              <wp:docPr id="405097703" name="文本框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5F026" w14:textId="6E6AA204"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FFBEA" id="_x0000_t202" coordsize="21600,21600" o:spt="202" path="m,l,21600r21600,l21600,xe">
              <v:stroke joinstyle="miter"/>
              <v:path gradientshapeok="t" o:connecttype="rect"/>
            </v:shapetype>
            <v:shape id="文本框 6"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4D5F026" w14:textId="6E6AA204" w:rsidR="009303CC" w:rsidRPr="009303CC" w:rsidRDefault="009303CC" w:rsidP="009303CC">
                    <w:pPr>
                      <w:rPr>
                        <w:rFonts w:ascii="Rockwell" w:eastAsia="Rockwell" w:hAnsi="Rockwell" w:cs="Rockwell"/>
                        <w:noProof/>
                        <w:color w:val="0078D7"/>
                        <w:sz w:val="18"/>
                        <w:szCs w:val="18"/>
                      </w:rPr>
                    </w:pPr>
                    <w:r w:rsidRPr="009303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888F" w14:textId="77777777" w:rsidR="00717DF3" w:rsidRDefault="00717DF3"/>
  </w:footnote>
  <w:footnote w:type="continuationSeparator" w:id="0">
    <w:p w14:paraId="467B6483" w14:textId="77777777" w:rsidR="00717DF3" w:rsidRDefault="00717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51180C"/>
    <w:multiLevelType w:val="singleLevel"/>
    <w:tmpl w:val="8651180C"/>
    <w:lvl w:ilvl="0">
      <w:start w:val="1"/>
      <w:numFmt w:val="decimal"/>
      <w:suff w:val="space"/>
      <w:lvlText w:val="(%1)"/>
      <w:lvlJc w:val="left"/>
    </w:lvl>
  </w:abstractNum>
  <w:num w:numId="1" w16cid:durableId="206027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Q3ZTdhNTFhY2YyNzUxYjFlNDNlMGMwZTc1NGEzZjUifQ=="/>
  </w:docVars>
  <w:rsids>
    <w:rsidRoot w:val="00172A27"/>
    <w:rsid w:val="BFDE104A"/>
    <w:rsid w:val="FFECF7B6"/>
    <w:rsid w:val="000357BE"/>
    <w:rsid w:val="000C0CEF"/>
    <w:rsid w:val="000F0735"/>
    <w:rsid w:val="0014140F"/>
    <w:rsid w:val="00161A43"/>
    <w:rsid w:val="00172A27"/>
    <w:rsid w:val="001A4B19"/>
    <w:rsid w:val="002420ED"/>
    <w:rsid w:val="00331575"/>
    <w:rsid w:val="00393CA8"/>
    <w:rsid w:val="0039681D"/>
    <w:rsid w:val="00471104"/>
    <w:rsid w:val="00551DAB"/>
    <w:rsid w:val="005B61EA"/>
    <w:rsid w:val="00717DF3"/>
    <w:rsid w:val="00733C48"/>
    <w:rsid w:val="007A3F2A"/>
    <w:rsid w:val="008737E7"/>
    <w:rsid w:val="00921B83"/>
    <w:rsid w:val="009303CC"/>
    <w:rsid w:val="00A958AA"/>
    <w:rsid w:val="00C8350C"/>
    <w:rsid w:val="00D556A4"/>
    <w:rsid w:val="00D930D2"/>
    <w:rsid w:val="00EF4AEA"/>
    <w:rsid w:val="00F27561"/>
    <w:rsid w:val="00FA16DB"/>
    <w:rsid w:val="018D7D0D"/>
    <w:rsid w:val="05235ABF"/>
    <w:rsid w:val="06B74C1D"/>
    <w:rsid w:val="07034C62"/>
    <w:rsid w:val="08C60EDB"/>
    <w:rsid w:val="0C8A419E"/>
    <w:rsid w:val="0E68523B"/>
    <w:rsid w:val="10070AEF"/>
    <w:rsid w:val="13673D37"/>
    <w:rsid w:val="17BD9B61"/>
    <w:rsid w:val="1AE460B7"/>
    <w:rsid w:val="1BAD7C34"/>
    <w:rsid w:val="23585791"/>
    <w:rsid w:val="23E66539"/>
    <w:rsid w:val="265144F5"/>
    <w:rsid w:val="275174F1"/>
    <w:rsid w:val="2E893594"/>
    <w:rsid w:val="2F156E05"/>
    <w:rsid w:val="363A1F00"/>
    <w:rsid w:val="380D00E1"/>
    <w:rsid w:val="3DE00034"/>
    <w:rsid w:val="424C5D66"/>
    <w:rsid w:val="536613CE"/>
    <w:rsid w:val="548337AD"/>
    <w:rsid w:val="549A3CBA"/>
    <w:rsid w:val="59FD7A1D"/>
    <w:rsid w:val="5D3427A4"/>
    <w:rsid w:val="6261569F"/>
    <w:rsid w:val="65C865BD"/>
    <w:rsid w:val="67736E2A"/>
    <w:rsid w:val="6CC671B8"/>
    <w:rsid w:val="71431D4C"/>
    <w:rsid w:val="79757288"/>
    <w:rsid w:val="7D8D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3A4ED"/>
  <w15:docId w15:val="{6C6339C2-A6FE-48FC-A8CA-9FD0D6D4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CommentReference">
    <w:name w:val="annotation reference"/>
    <w:basedOn w:val="DefaultParagraphFont"/>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font21">
    <w:name w:val="font21"/>
    <w:basedOn w:val="DefaultParagraphFont"/>
    <w:qFormat/>
    <w:rPr>
      <w:rFonts w:ascii="Calibri" w:hAnsi="Calibri" w:cs="Calibri" w:hint="default"/>
      <w:b/>
      <w:bCs/>
      <w:i/>
      <w:iCs/>
      <w:color w:val="538135"/>
      <w:sz w:val="24"/>
      <w:szCs w:val="24"/>
      <w:u w:val="none"/>
    </w:rPr>
  </w:style>
  <w:style w:type="character" w:customStyle="1" w:styleId="font41">
    <w:name w:val="font41"/>
    <w:basedOn w:val="DefaultParagraphFont"/>
    <w:qFormat/>
    <w:rPr>
      <w:rFonts w:ascii="Calibri" w:hAnsi="Calibri" w:cs="Calibri" w:hint="default"/>
      <w:b/>
      <w:bCs/>
      <w:i/>
      <w:iCs/>
      <w:color w:val="538135"/>
      <w:sz w:val="24"/>
      <w:szCs w:val="24"/>
      <w:u w:val="none"/>
      <w:vertAlign w:val="subscript"/>
    </w:rPr>
  </w:style>
  <w:style w:type="paragraph" w:styleId="ListParagraph">
    <w:name w:val="List Paragraph"/>
    <w:uiPriority w:val="34"/>
    <w:qFormat/>
    <w:pPr>
      <w:widowControl w:val="0"/>
      <w:ind w:firstLineChars="200" w:firstLine="420"/>
      <w:jc w:val="both"/>
    </w:pPr>
    <w:rPr>
      <w:rFonts w:asciiTheme="minorHAnsi" w:eastAsiaTheme="minorEastAsia" w:hAnsiTheme="minorHAnsi" w:cstheme="minorBidi"/>
      <w:kern w:val="2"/>
      <w:sz w:val="21"/>
      <w:szCs w:val="24"/>
    </w:rPr>
  </w:style>
  <w:style w:type="character" w:customStyle="1" w:styleId="font11">
    <w:name w:val="font11"/>
    <w:basedOn w:val="DefaultParagraphFont"/>
    <w:qFormat/>
    <w:rPr>
      <w:rFonts w:ascii="SimSun" w:eastAsia="SimSun" w:hAnsi="SimSun" w:cs="SimSun" w:hint="eastAsia"/>
      <w:color w:val="000000"/>
      <w:sz w:val="18"/>
      <w:szCs w:val="18"/>
      <w:u w:val="none"/>
    </w:rPr>
  </w:style>
  <w:style w:type="table" w:customStyle="1" w:styleId="21">
    <w:name w:val="无格式表格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5">
    <w:name w:val="15"/>
    <w:basedOn w:val="DefaultParagraphFont"/>
    <w:rPr>
      <w:rFonts w:ascii="Calibri" w:hAnsi="Calibri" w:cs="Calibri" w:hint="default"/>
      <w:color w:val="000000"/>
      <w:sz w:val="18"/>
      <w:szCs w:val="18"/>
    </w:rPr>
  </w:style>
  <w:style w:type="paragraph" w:styleId="Header">
    <w:name w:val="header"/>
    <w:basedOn w:val="Normal"/>
    <w:link w:val="HeaderChar"/>
    <w:rsid w:val="008737E7"/>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8737E7"/>
    <w:rPr>
      <w:rFonts w:asciiTheme="minorHAnsi" w:eastAsiaTheme="minorEastAsia" w:hAnsiTheme="minorHAnsi" w:cstheme="minorBidi"/>
      <w:kern w:val="2"/>
      <w:sz w:val="18"/>
      <w:szCs w:val="18"/>
    </w:rPr>
  </w:style>
  <w:style w:type="paragraph" w:styleId="Footer">
    <w:name w:val="footer"/>
    <w:basedOn w:val="Normal"/>
    <w:link w:val="FooterChar"/>
    <w:uiPriority w:val="99"/>
    <w:rsid w:val="008737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737E7"/>
    <w:rPr>
      <w:rFonts w:asciiTheme="minorHAnsi" w:eastAsiaTheme="minorEastAsia" w:hAnsiTheme="minorHAnsi" w:cstheme="minorBidi"/>
      <w:kern w:val="2"/>
      <w:sz w:val="18"/>
      <w:szCs w:val="18"/>
    </w:rPr>
  </w:style>
  <w:style w:type="paragraph" w:styleId="CommentSubject">
    <w:name w:val="annotation subject"/>
    <w:basedOn w:val="CommentText"/>
    <w:next w:val="CommentText"/>
    <w:link w:val="CommentSubjectChar"/>
    <w:rsid w:val="00F27561"/>
    <w:pPr>
      <w:jc w:val="both"/>
    </w:pPr>
    <w:rPr>
      <w:b/>
      <w:bCs/>
      <w:sz w:val="20"/>
      <w:szCs w:val="20"/>
    </w:rPr>
  </w:style>
  <w:style w:type="character" w:customStyle="1" w:styleId="CommentTextChar">
    <w:name w:val="Comment Text Char"/>
    <w:basedOn w:val="DefaultParagraphFont"/>
    <w:link w:val="CommentText"/>
    <w:rsid w:val="00F27561"/>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rsid w:val="00F27561"/>
    <w:rPr>
      <w:rFonts w:asciiTheme="minorHAnsi" w:eastAsiaTheme="minorEastAsia" w:hAnsiTheme="minorHAnsi" w:cstheme="minorBidi"/>
      <w:b/>
      <w:bCs/>
      <w:kern w:val="2"/>
      <w:sz w:val="21"/>
      <w:szCs w:val="24"/>
    </w:rPr>
  </w:style>
  <w:style w:type="paragraph" w:styleId="Revision">
    <w:name w:val="Revision"/>
    <w:hidden/>
    <w:uiPriority w:val="99"/>
    <w:semiHidden/>
    <w:rsid w:val="00EF4AE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琪琪</dc:creator>
  <cp:lastModifiedBy>Spence, Oliver</cp:lastModifiedBy>
  <cp:revision>2</cp:revision>
  <dcterms:created xsi:type="dcterms:W3CDTF">2024-01-25T22:45:00Z</dcterms:created>
  <dcterms:modified xsi:type="dcterms:W3CDTF">2024-01-25T22:45:00Z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FB538E2099AB1199E0AF9B653C572458_43</vt:lpwstr>
  </property>
  <property fmtid="{D5CDD505-2E9C-101B-9397-08002B2CF9AE}" pid="4" name="ClassificationContentMarkingFooterShapeIds">
    <vt:lpwstr>18254ce7,71f5a8c2,22ad54e1</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2024-01-24T20:14:50Z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a2de1329-eb56-46bf-83a4-37dd7846fbc2</vt:lpwstr>
  </property>
  <property fmtid="{D5CDD505-2E9C-101B-9397-08002B2CF9AE}" pid="13" name="MSIP_Label_2bbab825-a111-45e4-86a1-18cee0005896_ContentBits">
    <vt:lpwstr>2</vt:lpwstr>
  </property>
</Properties>
</file>