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Supplemental Material</w:t>
      </w:r>
    </w:p>
    <w:p>
      <w:pPr>
        <w:pStyle w:val="3"/>
        <w:spacing w:line="480" w:lineRule="auto"/>
        <w:rPr>
          <w:rFonts w:ascii="Times New Roman" w:hAnsi="Times New Roman" w:eastAsia="仿宋"/>
          <w:kern w:val="32"/>
          <w:sz w:val="24"/>
        </w:rPr>
      </w:pPr>
      <w:r>
        <w:rPr>
          <w:rFonts w:ascii="Times New Roman" w:hAnsi="Times New Roman" w:eastAsia="仿宋"/>
          <w:kern w:val="32"/>
          <w:sz w:val="24"/>
        </w:rPr>
        <w:t>Factor Invariances of the</w:t>
      </w:r>
      <w:r>
        <w:rPr>
          <w:rFonts w:hint="eastAsia" w:ascii="Times New Roman" w:hAnsi="Times New Roman" w:eastAsia="仿宋"/>
          <w:kern w:val="32"/>
          <w:sz w:val="24"/>
        </w:rPr>
        <w:t xml:space="preserve"> Life Satisfaction</w:t>
      </w:r>
      <w:bookmarkStart w:id="1" w:name="_GoBack"/>
      <w:bookmarkEnd w:id="1"/>
    </w:p>
    <w:p>
      <w:pPr>
        <w:snapToGrid w:val="0"/>
        <w:spacing w:line="480" w:lineRule="auto"/>
        <w:ind w:firstLine="480" w:firstLineChars="200"/>
        <w:jc w:val="left"/>
        <w:rPr>
          <w:rFonts w:eastAsia="等线"/>
          <w:sz w:val="24"/>
        </w:rPr>
      </w:pPr>
      <w:r>
        <w:rPr>
          <w:rFonts w:eastAsia="等线"/>
          <w:sz w:val="24"/>
        </w:rPr>
        <w:t xml:space="preserve">Multi-group Confirmatory Factor Analysis (MGCFA) was used to assess metric invariance and scalar invariance for </w:t>
      </w:r>
      <w:r>
        <w:rPr>
          <w:rFonts w:hint="eastAsia" w:eastAsia="等线"/>
          <w:sz w:val="24"/>
        </w:rPr>
        <w:t xml:space="preserve">life satisfaction </w:t>
      </w:r>
      <w:r>
        <w:rPr>
          <w:rFonts w:eastAsia="等线"/>
          <w:sz w:val="24"/>
        </w:rPr>
        <w:t>across 31 provinces. We expected to find support only for the metric invariance, as scalar invariance is hardly found in large cross-regional comparisons.</w:t>
      </w:r>
      <w:r>
        <w:rPr>
          <w:rFonts w:hint="eastAsia"/>
          <w:vertAlign w:val="superscript"/>
          <w:lang w:eastAsia="zh-CN"/>
        </w:rPr>
        <w:t>1-</w:t>
      </w:r>
      <w:r>
        <w:rPr>
          <w:rFonts w:hint="eastAsia"/>
          <w:vertAlign w:val="superscript"/>
          <w:lang w:val="en-US" w:eastAsia="zh-CN"/>
        </w:rPr>
        <w:t xml:space="preserve">4 </w:t>
      </w:r>
      <w:r>
        <w:rPr>
          <w:rFonts w:eastAsia="等线"/>
          <w:sz w:val="24"/>
        </w:rPr>
        <w:t>We used the ΔCFI and ΔRMSEA values of .010 and .015, respectively, as evidence of pronounced difference between nested models</w:t>
      </w:r>
      <w:r>
        <w:rPr>
          <w:rFonts w:hint="eastAsia" w:eastAsia="等线"/>
          <w:sz w:val="24"/>
          <w:lang w:val="en-US" w:eastAsia="zh-CN"/>
        </w:rPr>
        <w:t>.</w:t>
      </w:r>
      <w:r>
        <w:rPr>
          <w:rFonts w:hint="eastAsia"/>
          <w:vertAlign w:val="superscript"/>
          <w:lang w:eastAsia="zh-CN"/>
        </w:rPr>
        <w:t>5</w:t>
      </w:r>
      <w:r>
        <w:rPr>
          <w:rFonts w:hint="eastAsia"/>
          <w:vertAlign w:val="superscript"/>
          <w:lang w:val="en-US" w:eastAsia="zh-CN"/>
        </w:rPr>
        <w:t>,6</w:t>
      </w:r>
    </w:p>
    <w:p>
      <w:pPr>
        <w:snapToGrid w:val="0"/>
        <w:spacing w:line="480" w:lineRule="auto"/>
        <w:ind w:firstLine="480" w:firstLineChars="200"/>
        <w:jc w:val="left"/>
        <w:rPr>
          <w:rFonts w:eastAsia="等线"/>
          <w:sz w:val="24"/>
        </w:rPr>
      </w:pPr>
      <w:r>
        <w:rPr>
          <w:rFonts w:eastAsia="等线"/>
          <w:sz w:val="24"/>
        </w:rPr>
        <w:t>Table S</w:t>
      </w:r>
      <w:r>
        <w:rPr>
          <w:rFonts w:hint="eastAsia" w:eastAsia="等线"/>
          <w:sz w:val="24"/>
        </w:rPr>
        <w:t>1</w:t>
      </w:r>
      <w:r>
        <w:rPr>
          <w:rFonts w:eastAsia="等线"/>
          <w:sz w:val="24"/>
        </w:rPr>
        <w:t xml:space="preserve"> presents the results of MGCFA. The metric invariance of </w:t>
      </w:r>
      <w:r>
        <w:rPr>
          <w:rFonts w:hint="eastAsia" w:eastAsia="等线"/>
          <w:sz w:val="24"/>
        </w:rPr>
        <w:t>life satisfaction</w:t>
      </w:r>
      <w:r>
        <w:rPr>
          <w:rFonts w:eastAsia="等线"/>
          <w:sz w:val="24"/>
        </w:rPr>
        <w:t xml:space="preserve"> across 31 provinces were supported, as the difference in practical fit indice between the configural and metric models w</w:t>
      </w:r>
      <w:r>
        <w:rPr>
          <w:rFonts w:hint="eastAsia" w:eastAsia="等线"/>
          <w:sz w:val="24"/>
        </w:rPr>
        <w:t>as</w:t>
      </w:r>
      <w:r>
        <w:rPr>
          <w:rFonts w:eastAsia="等线"/>
          <w:sz w:val="24"/>
        </w:rPr>
        <w:t xml:space="preserve"> very small for CFI (ΔCFA less than .0</w:t>
      </w:r>
      <w:r>
        <w:rPr>
          <w:rFonts w:hint="eastAsia" w:eastAsia="等线"/>
          <w:sz w:val="24"/>
        </w:rPr>
        <w:t>10</w:t>
      </w:r>
      <w:r>
        <w:rPr>
          <w:rFonts w:eastAsia="等线"/>
          <w:sz w:val="24"/>
        </w:rPr>
        <w:t>) and RMSEA (ΔRMSEA less than .0</w:t>
      </w:r>
      <w:r>
        <w:rPr>
          <w:rFonts w:hint="eastAsia" w:eastAsia="等线"/>
          <w:sz w:val="24"/>
        </w:rPr>
        <w:t>1</w:t>
      </w:r>
      <w:r>
        <w:rPr>
          <w:rFonts w:eastAsia="等线"/>
          <w:sz w:val="24"/>
        </w:rPr>
        <w:t xml:space="preserve">5). </w:t>
      </w:r>
    </w:p>
    <w:p>
      <w:pPr>
        <w:snapToGrid w:val="0"/>
        <w:spacing w:line="480" w:lineRule="auto"/>
        <w:ind w:firstLine="480" w:firstLineChars="200"/>
        <w:jc w:val="left"/>
        <w:rPr>
          <w:rFonts w:eastAsia="等线"/>
          <w:sz w:val="24"/>
        </w:rPr>
      </w:pPr>
      <w:r>
        <w:rPr>
          <w:rFonts w:eastAsia="等线"/>
          <w:sz w:val="24"/>
        </w:rPr>
        <w:t xml:space="preserve">The scalar invariance of </w:t>
      </w:r>
      <w:r>
        <w:rPr>
          <w:rFonts w:hint="eastAsia" w:eastAsia="等线"/>
          <w:sz w:val="24"/>
        </w:rPr>
        <w:t>life satisfaction</w:t>
      </w:r>
      <w:r>
        <w:rPr>
          <w:rFonts w:eastAsia="等线"/>
          <w:sz w:val="24"/>
        </w:rPr>
        <w:t xml:space="preserve"> was </w:t>
      </w:r>
      <w:r>
        <w:rPr>
          <w:rFonts w:hint="eastAsia" w:eastAsia="等线"/>
          <w:sz w:val="24"/>
        </w:rPr>
        <w:t xml:space="preserve">not </w:t>
      </w:r>
      <w:r>
        <w:rPr>
          <w:rFonts w:eastAsia="等线"/>
          <w:sz w:val="24"/>
        </w:rPr>
        <w:t>supported. The difference in practical fit indice between the metric and scalar models for the other five dimensions of SWB were very small for RMSEA (ΔRMSEA = .00</w:t>
      </w:r>
      <w:r>
        <w:rPr>
          <w:rFonts w:hint="eastAsia" w:eastAsia="等线"/>
          <w:sz w:val="24"/>
        </w:rPr>
        <w:t>0</w:t>
      </w:r>
      <w:r>
        <w:rPr>
          <w:rFonts w:eastAsia="等线"/>
          <w:sz w:val="24"/>
        </w:rPr>
        <w:t>), but above the recommended .010 threshold for the CFI</w:t>
      </w:r>
      <w:r>
        <w:rPr>
          <w:rFonts w:hint="eastAsia" w:eastAsia="等线"/>
          <w:sz w:val="24"/>
        </w:rPr>
        <w:t xml:space="preserve"> </w:t>
      </w:r>
      <w:r>
        <w:rPr>
          <w:rFonts w:eastAsia="等线"/>
          <w:sz w:val="24"/>
        </w:rPr>
        <w:t>(ΔCFA = .0</w:t>
      </w:r>
      <w:r>
        <w:rPr>
          <w:rFonts w:hint="eastAsia" w:eastAsia="等线"/>
          <w:sz w:val="24"/>
        </w:rPr>
        <w:t>19</w:t>
      </w:r>
      <w:r>
        <w:rPr>
          <w:rFonts w:eastAsia="等线"/>
          <w:sz w:val="24"/>
        </w:rPr>
        <w:t xml:space="preserve">). </w:t>
      </w:r>
      <w:r>
        <w:rPr>
          <w:rFonts w:hint="eastAsia" w:eastAsia="等线"/>
          <w:sz w:val="24"/>
        </w:rPr>
        <w:t>T</w:t>
      </w:r>
      <w:r>
        <w:rPr>
          <w:rFonts w:eastAsia="等线"/>
          <w:sz w:val="24"/>
        </w:rPr>
        <w:t xml:space="preserve">hese results were consistent with previous studies which found that the scalar invariance of </w:t>
      </w:r>
      <w:r>
        <w:rPr>
          <w:rFonts w:hint="eastAsia" w:eastAsia="等线"/>
          <w:sz w:val="24"/>
        </w:rPr>
        <w:t>life satisfaction</w:t>
      </w:r>
      <w:r>
        <w:rPr>
          <w:rFonts w:eastAsia="等线"/>
          <w:sz w:val="24"/>
        </w:rPr>
        <w:t xml:space="preserve"> scales </w:t>
      </w:r>
      <w:r>
        <w:rPr>
          <w:rFonts w:hint="eastAsia" w:eastAsia="等线"/>
          <w:sz w:val="24"/>
        </w:rPr>
        <w:t>was</w:t>
      </w:r>
      <w:r>
        <w:rPr>
          <w:rFonts w:eastAsia="等线"/>
          <w:sz w:val="24"/>
        </w:rPr>
        <w:t xml:space="preserve"> not supported.</w:t>
      </w:r>
      <w:r>
        <w:rPr>
          <w:rFonts w:hint="eastAsia"/>
          <w:vertAlign w:val="superscript"/>
          <w:lang w:eastAsia="zh-CN"/>
        </w:rPr>
        <w:t>1</w:t>
      </w:r>
      <w:r>
        <w:rPr>
          <w:rFonts w:hint="eastAsia"/>
          <w:vertAlign w:val="superscript"/>
          <w:lang w:val="en-US" w:eastAsia="zh-CN"/>
        </w:rPr>
        <w:t>,7</w:t>
      </w:r>
    </w:p>
    <w:p>
      <w:pPr>
        <w:pStyle w:val="4"/>
        <w:spacing w:before="0" w:after="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Table S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1</w:t>
      </w:r>
    </w:p>
    <w:p>
      <w:pPr>
        <w:snapToGrid w:val="0"/>
        <w:spacing w:line="480" w:lineRule="auto"/>
        <w:jc w:val="left"/>
        <w:rPr>
          <w:rFonts w:eastAsia="等线"/>
          <w:i/>
          <w:iCs/>
          <w:sz w:val="24"/>
        </w:rPr>
      </w:pPr>
      <w:r>
        <w:rPr>
          <w:rFonts w:eastAsia="等线"/>
          <w:i/>
          <w:iCs/>
          <w:sz w:val="24"/>
        </w:rPr>
        <w:t xml:space="preserve">Measurement Invariance of the </w:t>
      </w:r>
      <w:r>
        <w:rPr>
          <w:rFonts w:hint="eastAsia" w:eastAsia="等线"/>
          <w:i/>
          <w:iCs/>
          <w:sz w:val="24"/>
        </w:rPr>
        <w:t>Life Satisfaction</w:t>
      </w:r>
      <w:r>
        <w:rPr>
          <w:rFonts w:eastAsia="等线"/>
          <w:i/>
          <w:iCs/>
          <w:sz w:val="24"/>
        </w:rPr>
        <w:t xml:space="preserve"> across 31 Provinces</w:t>
      </w:r>
    </w:p>
    <w:tbl>
      <w:tblPr>
        <w:tblStyle w:val="9"/>
        <w:tblW w:w="96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81"/>
        <w:gridCol w:w="891"/>
        <w:gridCol w:w="594"/>
        <w:gridCol w:w="486"/>
        <w:gridCol w:w="621"/>
        <w:gridCol w:w="747"/>
        <w:gridCol w:w="631"/>
        <w:gridCol w:w="711"/>
        <w:gridCol w:w="837"/>
        <w:gridCol w:w="952"/>
        <w:gridCol w:w="1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76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bookmarkStart w:id="0" w:name="OLE_LINK1"/>
            <w:r>
              <w:rPr>
                <w:kern w:val="0"/>
                <w:sz w:val="18"/>
                <w:szCs w:val="18"/>
              </w:rPr>
              <w:t>Model</w:t>
            </w:r>
          </w:p>
        </w:tc>
        <w:tc>
          <w:tcPr>
            <w:tcW w:w="926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χ</w:t>
            </w:r>
            <w:r>
              <w:rPr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41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Δχ</w:t>
            </w:r>
            <w:r>
              <w:rPr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94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df</w:t>
            </w:r>
          </w:p>
        </w:tc>
        <w:tc>
          <w:tcPr>
            <w:tcW w:w="458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Δ</w:t>
            </w:r>
            <w:r>
              <w:rPr>
                <w:i/>
                <w:iCs/>
                <w:kern w:val="0"/>
                <w:sz w:val="18"/>
                <w:szCs w:val="18"/>
              </w:rPr>
              <w:t>df</w:t>
            </w:r>
          </w:p>
        </w:tc>
        <w:tc>
          <w:tcPr>
            <w:tcW w:w="586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p</w:t>
            </w:r>
          </w:p>
        </w:tc>
        <w:tc>
          <w:tcPr>
            <w:tcW w:w="747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χ</w:t>
            </w:r>
            <w:r>
              <w:rPr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i/>
                <w:iCs/>
                <w:kern w:val="0"/>
                <w:sz w:val="18"/>
                <w:szCs w:val="18"/>
              </w:rPr>
              <w:t>/df</w:t>
            </w:r>
          </w:p>
        </w:tc>
        <w:tc>
          <w:tcPr>
            <w:tcW w:w="631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CFI</w:t>
            </w:r>
          </w:p>
        </w:tc>
        <w:tc>
          <w:tcPr>
            <w:tcW w:w="671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ΔCFI</w:t>
            </w:r>
          </w:p>
        </w:tc>
        <w:tc>
          <w:tcPr>
            <w:tcW w:w="790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RMSEA</w:t>
            </w:r>
          </w:p>
        </w:tc>
        <w:tc>
          <w:tcPr>
            <w:tcW w:w="898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ΔRMSEA</w:t>
            </w:r>
          </w:p>
        </w:tc>
        <w:tc>
          <w:tcPr>
            <w:tcW w:w="1297" w:type="dxa"/>
            <w:tcBorders>
              <w:top w:val="single" w:color="000000" w:sz="6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90% CI RMSEA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176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Configural</w:t>
            </w:r>
          </w:p>
        </w:tc>
        <w:tc>
          <w:tcPr>
            <w:tcW w:w="926" w:type="dxa"/>
            <w:tcBorders>
              <w:top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32839.975</w:t>
            </w:r>
          </w:p>
        </w:tc>
        <w:tc>
          <w:tcPr>
            <w:tcW w:w="841" w:type="dxa"/>
            <w:tcBorders>
              <w:top w:val="single" w:color="000000" w:sz="4" w:space="0"/>
              <w:bottom w:val="nil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color="000000" w:sz="4" w:space="0"/>
              <w:bottom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5859</w:t>
            </w:r>
          </w:p>
        </w:tc>
        <w:tc>
          <w:tcPr>
            <w:tcW w:w="458" w:type="dxa"/>
            <w:tcBorders>
              <w:top w:val="single" w:color="000000" w:sz="4" w:space="0"/>
              <w:bottom w:val="nil"/>
            </w:tcBorders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color="000000" w:sz="4" w:space="0"/>
              <w:bottom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747" w:type="dxa"/>
            <w:tcBorders>
              <w:top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5.605</w:t>
            </w:r>
          </w:p>
        </w:tc>
        <w:tc>
          <w:tcPr>
            <w:tcW w:w="631" w:type="dxa"/>
            <w:tcBorders>
              <w:top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0.804</w:t>
            </w:r>
          </w:p>
        </w:tc>
        <w:tc>
          <w:tcPr>
            <w:tcW w:w="671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color="000000" w:sz="4" w:space="0"/>
              <w:bottom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0.017</w:t>
            </w:r>
          </w:p>
        </w:tc>
        <w:tc>
          <w:tcPr>
            <w:tcW w:w="898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000000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rStyle w:val="26"/>
                <w:color w:val="auto"/>
                <w:lang w:bidi="ar"/>
              </w:rPr>
              <w:t>0.016–0.017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Metric</w:t>
            </w:r>
          </w:p>
        </w:tc>
        <w:tc>
          <w:tcPr>
            <w:tcW w:w="9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33809.528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969.553</w:t>
            </w:r>
          </w:p>
        </w:tc>
        <w:tc>
          <w:tcPr>
            <w:tcW w:w="594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6459</w:t>
            </w:r>
          </w:p>
        </w:tc>
        <w:tc>
          <w:tcPr>
            <w:tcW w:w="458" w:type="dxa"/>
            <w:tcBorders>
              <w:top w:val="nil"/>
              <w:bottom w:val="nil"/>
            </w:tcBorders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5.234</w:t>
            </w:r>
          </w:p>
        </w:tc>
        <w:tc>
          <w:tcPr>
            <w:tcW w:w="6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0.801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Style w:val="26"/>
                <w:color w:val="auto"/>
                <w:lang w:bidi="ar"/>
              </w:rPr>
              <w:t>–</w:t>
            </w:r>
            <w:r>
              <w:rPr>
                <w:kern w:val="0"/>
                <w:sz w:val="18"/>
                <w:szCs w:val="18"/>
                <w:lang w:bidi="ar"/>
              </w:rPr>
              <w:t>0.003</w:t>
            </w: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0.016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Style w:val="26"/>
                <w:color w:val="auto"/>
                <w:lang w:bidi="ar"/>
              </w:rPr>
              <w:t>–0.001</w:t>
            </w:r>
          </w:p>
        </w:tc>
        <w:tc>
          <w:tcPr>
            <w:tcW w:w="1297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rStyle w:val="26"/>
                <w:color w:val="auto"/>
                <w:lang w:bidi="ar"/>
              </w:rPr>
              <w:t>0.016–0.016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76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Scalar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37075.103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3265.575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7089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630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5.230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0.782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Style w:val="26"/>
                <w:color w:val="auto"/>
                <w:lang w:bidi="ar"/>
              </w:rPr>
              <w:t>–</w:t>
            </w:r>
            <w:r>
              <w:rPr>
                <w:kern w:val="0"/>
                <w:sz w:val="18"/>
                <w:szCs w:val="18"/>
                <w:lang w:bidi="ar"/>
              </w:rPr>
              <w:t>0.019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0.016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0.000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kern w:val="0"/>
                <w:sz w:val="18"/>
                <w:szCs w:val="18"/>
              </w:rPr>
            </w:pPr>
            <w:r>
              <w:rPr>
                <w:rStyle w:val="26"/>
                <w:color w:val="auto"/>
                <w:lang w:bidi="ar"/>
              </w:rPr>
              <w:t>0.016–0.016</w:t>
            </w:r>
          </w:p>
        </w:tc>
      </w:tr>
      <w:bookmarkEnd w:id="0"/>
    </w:tbl>
    <w:p>
      <w:p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bCs/>
          <w:i/>
          <w:szCs w:val="21"/>
        </w:rPr>
        <w:t>Note.</w:t>
      </w:r>
      <w:r>
        <w:rPr>
          <w:bCs/>
          <w:szCs w:val="21"/>
        </w:rPr>
        <w:t xml:space="preserve"> </w:t>
      </w:r>
      <w:r>
        <w:t xml:space="preserve">Configural </w:t>
      </w:r>
      <w:r>
        <w:rPr>
          <w:rFonts w:hint="eastAsia"/>
        </w:rPr>
        <w:t>=</w:t>
      </w:r>
      <w:r>
        <w:t xml:space="preserve"> Configural invariance, Metric = Metric invariance, Scalar = Scalar invariance.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R</w:t>
      </w:r>
      <w:r>
        <w:rPr>
          <w:b/>
          <w:bCs/>
          <w:sz w:val="24"/>
        </w:rPr>
        <w:t>eference:</w:t>
      </w:r>
    </w:p>
    <w:p>
      <w:pPr>
        <w:pStyle w:val="28"/>
      </w:pPr>
      <w:r>
        <w:rPr>
          <w:sz w:val="22"/>
          <w:szCs w:val="22"/>
        </w:rPr>
        <w:t>Jang S, Kim ES, Cao C</w:t>
      </w:r>
      <w:r>
        <w:rPr>
          <w:rFonts w:hint="eastAsia" w:eastAsia="宋体"/>
          <w:sz w:val="22"/>
          <w:szCs w:val="22"/>
          <w:lang w:val="en-US" w:eastAsia="zh-CN"/>
        </w:rPr>
        <w:t>H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et al.</w:t>
      </w:r>
      <w:r>
        <w:rPr>
          <w:rFonts w:hint="eastAsia" w:eastAsia="宋体"/>
          <w:sz w:val="22"/>
          <w:szCs w:val="22"/>
          <w:lang w:val="en-US" w:eastAsia="zh-CN"/>
        </w:rPr>
        <w:t xml:space="preserve"> </w:t>
      </w:r>
      <w:r>
        <w:rPr>
          <w:sz w:val="22"/>
          <w:szCs w:val="22"/>
        </w:rPr>
        <w:t xml:space="preserve">Measurement invariance of the satisfaction with life scale across 26 countries. </w:t>
      </w:r>
      <w:r>
        <w:rPr>
          <w:rFonts w:hint="eastAsia"/>
          <w:i/>
          <w:sz w:val="22"/>
          <w:szCs w:val="22"/>
        </w:rPr>
        <w:t>J Cross-Cult Psychol</w:t>
      </w:r>
      <w:r>
        <w:rPr>
          <w:rFonts w:hint="eastAsia" w:eastAsia="宋体"/>
          <w:i/>
          <w:sz w:val="22"/>
          <w:szCs w:val="22"/>
          <w:lang w:val="en-US" w:eastAsia="zh-CN"/>
        </w:rPr>
        <w:t xml:space="preserve">. </w:t>
      </w:r>
      <w:r>
        <w:rPr>
          <w:sz w:val="22"/>
          <w:szCs w:val="22"/>
        </w:rPr>
        <w:t>2017</w:t>
      </w:r>
      <w:r>
        <w:rPr>
          <w:rFonts w:hint="eastAsia" w:eastAsia="宋体"/>
          <w:sz w:val="22"/>
          <w:szCs w:val="22"/>
          <w:lang w:val="en-US" w:eastAsia="zh-CN"/>
        </w:rPr>
        <w:t>;</w:t>
      </w:r>
      <w:r>
        <w:rPr>
          <w:sz w:val="22"/>
          <w:szCs w:val="22"/>
        </w:rPr>
        <w:t xml:space="preserve"> </w:t>
      </w:r>
      <w:r>
        <w:rPr>
          <w:i w:val="0"/>
          <w:iCs/>
          <w:sz w:val="22"/>
          <w:szCs w:val="22"/>
        </w:rPr>
        <w:t>48(4</w:t>
      </w:r>
      <w:r>
        <w:rPr>
          <w:sz w:val="22"/>
          <w:szCs w:val="22"/>
        </w:rPr>
        <w:t>)</w:t>
      </w:r>
      <w:r>
        <w:rPr>
          <w:rFonts w:hint="eastAsia" w:eastAsia="宋体"/>
          <w:sz w:val="22"/>
          <w:szCs w:val="22"/>
          <w:lang w:val="en-US" w:eastAsia="zh-CN"/>
        </w:rPr>
        <w:t>:</w:t>
      </w:r>
      <w:r>
        <w:rPr>
          <w:sz w:val="22"/>
          <w:szCs w:val="22"/>
        </w:rPr>
        <w:t xml:space="preserve"> 560</w:t>
      </w:r>
      <w:r>
        <w:t>–</w:t>
      </w:r>
      <w:r>
        <w:rPr>
          <w:sz w:val="22"/>
          <w:szCs w:val="22"/>
        </w:rPr>
        <w:t xml:space="preserve">576. </w:t>
      </w:r>
      <w:r>
        <w:rPr>
          <w:lang w:eastAsia="zh-CN"/>
        </w:rPr>
        <w:t>doi:</w:t>
      </w:r>
      <w:r>
        <w:rPr>
          <w:sz w:val="22"/>
          <w:szCs w:val="22"/>
        </w:rPr>
        <w:t>10.1177/0022022117697844</w:t>
      </w:r>
    </w:p>
    <w:p>
      <w:pPr>
        <w:pStyle w:val="28"/>
        <w:rPr>
          <w:sz w:val="22"/>
          <w:szCs w:val="22"/>
        </w:rPr>
      </w:pPr>
      <w:r>
        <w:rPr>
          <w:rFonts w:hint="eastAsia"/>
        </w:rPr>
        <w:t>Jovanović V, Joshanloo M, Martín-Carbonell M</w:t>
      </w:r>
      <w:r>
        <w:rPr>
          <w:rFonts w:hint="eastAsia" w:eastAsia="宋体"/>
          <w:lang w:val="en-US" w:eastAsia="zh-CN"/>
        </w:rPr>
        <w:t>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et al.</w:t>
      </w:r>
      <w:r>
        <w:rPr>
          <w:rFonts w:hint="eastAsia"/>
        </w:rPr>
        <w:t xml:space="preserve"> Measurement invariance of the scale of positive and negative experience across 13 countries. </w:t>
      </w:r>
      <w:r>
        <w:rPr>
          <w:rFonts w:hint="eastAsia"/>
          <w:i/>
          <w:iCs/>
        </w:rPr>
        <w:t>Assessment</w:t>
      </w:r>
      <w:r>
        <w:rPr>
          <w:rFonts w:hint="eastAsia"/>
        </w:rPr>
        <w:t xml:space="preserve">. </w:t>
      </w:r>
      <w:r>
        <w:rPr>
          <w:rFonts w:hint="eastAsia" w:eastAsia="宋体"/>
          <w:lang w:val="en-US" w:eastAsia="zh-CN"/>
        </w:rPr>
        <w:t>2022; 29(7):</w:t>
      </w:r>
      <w:r>
        <w:rPr>
          <w:rFonts w:hint="eastAsia" w:eastAsia="宋体"/>
          <w:sz w:val="22"/>
          <w:szCs w:val="22"/>
          <w:lang w:val="en-US" w:eastAsia="zh-CN"/>
        </w:rPr>
        <w:t>1507</w:t>
      </w:r>
      <w:r>
        <w:t>–</w:t>
      </w:r>
      <w:r>
        <w:rPr>
          <w:rFonts w:hint="eastAsia" w:eastAsia="宋体"/>
          <w:lang w:val="en-US" w:eastAsia="zh-CN"/>
        </w:rPr>
        <w:t>1521</w:t>
      </w:r>
      <w:r>
        <w:rPr>
          <w:rFonts w:hint="eastAsia"/>
        </w:rPr>
        <w:t xml:space="preserve">. </w:t>
      </w:r>
      <w:r>
        <w:rPr>
          <w:rFonts w:hint="eastAsia" w:eastAsia="宋体"/>
          <w:lang w:val="en-US" w:eastAsia="zh-CN"/>
        </w:rPr>
        <w:t>doi:</w:t>
      </w:r>
      <w:r>
        <w:rPr>
          <w:rFonts w:hint="eastAsia"/>
        </w:rPr>
        <w:t>10.1177/10731911211021494</w:t>
      </w:r>
    </w:p>
    <w:p>
      <w:pPr>
        <w:pStyle w:val="28"/>
        <w:rPr>
          <w:sz w:val="22"/>
          <w:szCs w:val="22"/>
        </w:rPr>
      </w:pPr>
      <w:r>
        <w:rPr>
          <w:sz w:val="22"/>
          <w:szCs w:val="22"/>
        </w:rPr>
        <w:t xml:space="preserve">Kocjan </w:t>
      </w:r>
      <w:r>
        <w:rPr>
          <w:rFonts w:hint="eastAsia" w:eastAsia="宋体"/>
          <w:sz w:val="22"/>
          <w:szCs w:val="22"/>
          <w:lang w:val="en-US" w:eastAsia="zh-CN"/>
        </w:rPr>
        <w:t>Z</w:t>
      </w:r>
      <w:r>
        <w:rPr>
          <w:sz w:val="22"/>
          <w:szCs w:val="22"/>
        </w:rPr>
        <w:t xml:space="preserve">G, Jose P E, Sočan G, Avsec A. Measurement invariance of the subjective happiness scale across countries, gender, age, and time. </w:t>
      </w:r>
      <w:r>
        <w:rPr>
          <w:i/>
          <w:sz w:val="22"/>
          <w:szCs w:val="22"/>
        </w:rPr>
        <w:t>Assessment</w:t>
      </w:r>
      <w:r>
        <w:rPr>
          <w:sz w:val="22"/>
          <w:szCs w:val="22"/>
        </w:rPr>
        <w:t xml:space="preserve">. </w:t>
      </w:r>
      <w:r>
        <w:rPr>
          <w:rFonts w:hint="eastAsia" w:eastAsia="宋体"/>
          <w:sz w:val="22"/>
          <w:szCs w:val="22"/>
          <w:lang w:val="en-US" w:eastAsia="zh-CN"/>
        </w:rPr>
        <w:t>2022; 29(4) :826</w:t>
      </w:r>
      <w:r>
        <w:t>–</w:t>
      </w:r>
      <w:r>
        <w:rPr>
          <w:rFonts w:hint="eastAsia" w:eastAsia="宋体"/>
          <w:lang w:val="en-US" w:eastAsia="zh-CN"/>
        </w:rPr>
        <w:t>841</w:t>
      </w:r>
      <w:r>
        <w:rPr>
          <w:sz w:val="22"/>
          <w:szCs w:val="22"/>
        </w:rPr>
        <w:t>.</w:t>
      </w:r>
      <w:r>
        <w:rPr>
          <w:rFonts w:hint="eastAsia" w:eastAsia="宋体"/>
          <w:sz w:val="22"/>
          <w:szCs w:val="22"/>
          <w:lang w:val="en-US" w:eastAsia="zh-CN"/>
        </w:rPr>
        <w:t>doi:</w:t>
      </w:r>
      <w:r>
        <w:rPr>
          <w:sz w:val="22"/>
          <w:szCs w:val="22"/>
        </w:rPr>
        <w:t>10.1177/1073191121993558</w:t>
      </w:r>
    </w:p>
    <w:p>
      <w:pPr>
        <w:pStyle w:val="28"/>
      </w:pPr>
      <w:r>
        <w:rPr>
          <w:rFonts w:hint="eastAsia"/>
        </w:rPr>
        <w:t>Żemojtel-Piotrowska M, Piotrowski J P, Cieciuch J</w:t>
      </w:r>
      <w:r>
        <w:rPr>
          <w:rFonts w:hint="eastAsia" w:eastAsia="宋体"/>
          <w:lang w:val="en-US" w:eastAsia="zh-CN"/>
        </w:rPr>
        <w:t>, et al.</w:t>
      </w:r>
      <w:r>
        <w:rPr>
          <w:rFonts w:hint="eastAsia"/>
        </w:rPr>
        <w:t xml:space="preserve"> Measurement invariance of personal well-being index (PWI-8) across 26 countries. </w:t>
      </w:r>
      <w:r>
        <w:rPr>
          <w:rFonts w:hint="eastAsia"/>
          <w:i/>
          <w:iCs/>
        </w:rPr>
        <w:t>J Happiness Stud</w:t>
      </w:r>
      <w:r>
        <w:rPr>
          <w:rFonts w:hint="eastAsia" w:eastAsia="宋体"/>
          <w:lang w:val="en-US" w:eastAsia="zh-CN"/>
        </w:rPr>
        <w:t>. 2017;</w:t>
      </w:r>
      <w:r>
        <w:rPr>
          <w:rFonts w:hint="eastAsia"/>
        </w:rPr>
        <w:t xml:space="preserve"> 18(6)</w:t>
      </w:r>
      <w:r>
        <w:rPr>
          <w:rFonts w:hint="eastAsia" w:eastAsia="宋体"/>
          <w:lang w:val="en-US" w:eastAsia="zh-CN"/>
        </w:rPr>
        <w:t>:</w:t>
      </w:r>
      <w:r>
        <w:rPr>
          <w:rFonts w:hint="eastAsia"/>
        </w:rPr>
        <w:t xml:space="preserve"> 1697</w:t>
      </w:r>
      <w:r>
        <w:t>–</w:t>
      </w:r>
      <w:r>
        <w:rPr>
          <w:rFonts w:hint="eastAsia"/>
        </w:rPr>
        <w:t xml:space="preserve">1711. </w:t>
      </w:r>
      <w:r>
        <w:rPr>
          <w:rFonts w:hint="eastAsia" w:eastAsia="宋体"/>
          <w:lang w:val="en-US" w:eastAsia="zh-CN"/>
        </w:rPr>
        <w:t>doi:</w:t>
      </w:r>
      <w:r>
        <w:rPr>
          <w:rFonts w:hint="eastAsia"/>
        </w:rPr>
        <w:t>10.1007/s10902-016-9795-0</w:t>
      </w:r>
    </w:p>
    <w:p>
      <w:pPr>
        <w:pStyle w:val="28"/>
      </w:pPr>
      <w:r>
        <w:rPr>
          <w:rFonts w:hint="eastAsia"/>
        </w:rPr>
        <w:t xml:space="preserve">Chen FF. Sensitivity of goodness of fit indexes to lack of measurement invariance. </w:t>
      </w:r>
      <w:r>
        <w:rPr>
          <w:rFonts w:hint="eastAsia"/>
          <w:i/>
          <w:iCs/>
        </w:rPr>
        <w:t>Struct Equ Model</w:t>
      </w:r>
      <w:r>
        <w:rPr>
          <w:rFonts w:hint="eastAsia"/>
          <w:lang w:val="en-US" w:eastAsia="zh-CN"/>
        </w:rPr>
        <w:t>.2007</w:t>
      </w:r>
      <w:r>
        <w:rPr>
          <w:rFonts w:hint="eastAsia"/>
        </w:rPr>
        <w:t>, 14(3)</w:t>
      </w:r>
      <w:r>
        <w:rPr>
          <w:rFonts w:hint="eastAsia" w:eastAsia="宋体"/>
          <w:lang w:val="en-US" w:eastAsia="zh-CN"/>
        </w:rPr>
        <w:t>:</w:t>
      </w:r>
      <w:r>
        <w:rPr>
          <w:rFonts w:hint="eastAsia"/>
        </w:rPr>
        <w:t xml:space="preserve">464-504. </w:t>
      </w:r>
      <w:r>
        <w:rPr>
          <w:rFonts w:hint="eastAsia" w:eastAsia="宋体"/>
          <w:lang w:val="en-US" w:eastAsia="zh-CN"/>
        </w:rPr>
        <w:t>doi:</w:t>
      </w:r>
      <w:r>
        <w:rPr>
          <w:rFonts w:hint="eastAsia"/>
        </w:rPr>
        <w:t>10.1080/10705510701301834</w:t>
      </w:r>
    </w:p>
    <w:p>
      <w:pPr>
        <w:pStyle w:val="28"/>
        <w:rPr>
          <w:sz w:val="22"/>
          <w:szCs w:val="22"/>
        </w:rPr>
      </w:pPr>
      <w:r>
        <w:t xml:space="preserve">Cheung GW, Rensvold RB. Evaluating goodness-of-fit indexes for testing measurement invariance. </w:t>
      </w:r>
      <w:r>
        <w:rPr>
          <w:rFonts w:hint="eastAsia"/>
          <w:i/>
          <w:iCs/>
        </w:rPr>
        <w:t>Struct Equ Model</w:t>
      </w:r>
      <w:r>
        <w:rPr>
          <w:rFonts w:hint="eastAsia"/>
          <w:lang w:val="en-US" w:eastAsia="zh-CN"/>
        </w:rPr>
        <w:t>.</w:t>
      </w:r>
      <w:r>
        <w:t xml:space="preserve"> 2002</w:t>
      </w:r>
      <w:r>
        <w:rPr>
          <w:rFonts w:hint="eastAsia"/>
          <w:lang w:eastAsia="zh-CN"/>
        </w:rPr>
        <w:t>；</w:t>
      </w:r>
      <w:r>
        <w:t xml:space="preserve"> 9(2)</w:t>
      </w:r>
      <w:r>
        <w:rPr>
          <w:rFonts w:hint="eastAsia"/>
          <w:lang w:eastAsia="zh-CN"/>
        </w:rPr>
        <w:t>：</w:t>
      </w:r>
      <w:r>
        <w:t>233</w:t>
      </w:r>
      <w:r>
        <w:t xml:space="preserve">–255. </w:t>
      </w:r>
      <w:r>
        <w:rPr>
          <w:lang w:eastAsia="zh-CN"/>
        </w:rPr>
        <w:t>doi:</w:t>
      </w:r>
      <w:r>
        <w:t>10.1207/S15328007SEM0902_5</w:t>
      </w:r>
    </w:p>
    <w:p>
      <w:pPr>
        <w:pStyle w:val="28"/>
        <w:rPr>
          <w:rFonts w:eastAsia="AdvOT1ef757c0"/>
          <w:lang w:bidi="ar"/>
        </w:rPr>
      </w:pPr>
      <w:r>
        <w:t xml:space="preserve">Wu XJ, Gai XS, Xu LL, Liu FQ, Wang H, Kou HY. Family socioeconomic status </w:t>
      </w:r>
      <w:r>
        <w:rPr>
          <w:sz w:val="22"/>
          <w:szCs w:val="22"/>
        </w:rPr>
        <w:t xml:space="preserve">(2002). </w:t>
      </w:r>
      <w:r>
        <w:t xml:space="preserve">provincial-level economic, educational, and health-related factors as predictors of present- and future-oriented subjective well-being in junior high school students in China. </w:t>
      </w:r>
      <w:r>
        <w:rPr>
          <w:i/>
          <w:iCs/>
        </w:rPr>
        <w:t>J Adolesc</w:t>
      </w:r>
      <w:r>
        <w:rPr>
          <w:lang w:eastAsia="zh-CN"/>
        </w:rPr>
        <w:t>. 2022;</w:t>
      </w:r>
      <w:r>
        <w:t>94(3)</w:t>
      </w:r>
      <w:r>
        <w:rPr>
          <w:lang w:eastAsia="zh-CN"/>
        </w:rPr>
        <w:t>:</w:t>
      </w:r>
      <w:r>
        <w:t>354–365</w:t>
      </w:r>
      <w:r>
        <w:rPr>
          <w:lang w:eastAsia="zh-CN"/>
        </w:rPr>
        <w:t>. doi:</w:t>
      </w:r>
      <w:r>
        <w:t>10.1002/jad.12027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vOT1ef757c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9842602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LdEw1kACAACI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sdt>
      <w:sdtPr>
        <w:id w:val="1091436619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46474618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MBOLVEACAACH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72635635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BQ6bRAAAAAwEAAA8AAAAAAAAAAQAgAAAAIgAAAGRycy9kb3du&#10;cmV2LnhtbFBLAQIUABQAAAAIAIdO4kBVXej8PwIAAIgEAAAOAAAAAAAAAAEAIAAAACABAABkcnMv&#10;ZTJvRG9jLnhtbFBLBQYAAAAABgAGAFkBAADR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65B93"/>
    <w:multiLevelType w:val="multilevel"/>
    <w:tmpl w:val="02565B93"/>
    <w:lvl w:ilvl="0" w:tentative="0">
      <w:start w:val="1"/>
      <w:numFmt w:val="decimal"/>
      <w:pStyle w:val="28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NWEyYjg3ZGM5MjVhZTVjNTcxMDEyMjBjZmQ0MjM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911F5"/>
    <w:rsid w:val="00033899"/>
    <w:rsid w:val="000502BA"/>
    <w:rsid w:val="00062FE8"/>
    <w:rsid w:val="00082DAF"/>
    <w:rsid w:val="001B1E0E"/>
    <w:rsid w:val="00251AF1"/>
    <w:rsid w:val="002B49BF"/>
    <w:rsid w:val="002C7EA5"/>
    <w:rsid w:val="0036157C"/>
    <w:rsid w:val="00371E62"/>
    <w:rsid w:val="00422EAA"/>
    <w:rsid w:val="004463D0"/>
    <w:rsid w:val="00500557"/>
    <w:rsid w:val="00515882"/>
    <w:rsid w:val="00520512"/>
    <w:rsid w:val="00565126"/>
    <w:rsid w:val="005E7123"/>
    <w:rsid w:val="005F0337"/>
    <w:rsid w:val="0062361F"/>
    <w:rsid w:val="00665C35"/>
    <w:rsid w:val="006A4C8B"/>
    <w:rsid w:val="006A5F99"/>
    <w:rsid w:val="006C1D70"/>
    <w:rsid w:val="007751D4"/>
    <w:rsid w:val="007F5A32"/>
    <w:rsid w:val="00886981"/>
    <w:rsid w:val="009B11A7"/>
    <w:rsid w:val="009B25F3"/>
    <w:rsid w:val="009D0865"/>
    <w:rsid w:val="00A04F38"/>
    <w:rsid w:val="00A15591"/>
    <w:rsid w:val="00AB4DB5"/>
    <w:rsid w:val="00AE035D"/>
    <w:rsid w:val="00B20B81"/>
    <w:rsid w:val="00B476A1"/>
    <w:rsid w:val="00B6774E"/>
    <w:rsid w:val="00BE4319"/>
    <w:rsid w:val="00C146BF"/>
    <w:rsid w:val="00C449B2"/>
    <w:rsid w:val="00C9283C"/>
    <w:rsid w:val="00CD7566"/>
    <w:rsid w:val="00CE0810"/>
    <w:rsid w:val="00CE70B1"/>
    <w:rsid w:val="00CE7D35"/>
    <w:rsid w:val="00D01E74"/>
    <w:rsid w:val="00D146CE"/>
    <w:rsid w:val="00D468D6"/>
    <w:rsid w:val="00E331A3"/>
    <w:rsid w:val="00F155FE"/>
    <w:rsid w:val="00F911F5"/>
    <w:rsid w:val="00FB6304"/>
    <w:rsid w:val="00FD4B4F"/>
    <w:rsid w:val="01173F1A"/>
    <w:rsid w:val="02BF7EAE"/>
    <w:rsid w:val="0607067D"/>
    <w:rsid w:val="066F0F20"/>
    <w:rsid w:val="0676641E"/>
    <w:rsid w:val="08DD078F"/>
    <w:rsid w:val="09265ED9"/>
    <w:rsid w:val="09CF031F"/>
    <w:rsid w:val="0B1B7594"/>
    <w:rsid w:val="0DAA30BA"/>
    <w:rsid w:val="0F607C6B"/>
    <w:rsid w:val="11F72242"/>
    <w:rsid w:val="125E3C83"/>
    <w:rsid w:val="12F6234E"/>
    <w:rsid w:val="13CC2BDC"/>
    <w:rsid w:val="1C025E08"/>
    <w:rsid w:val="1D57445C"/>
    <w:rsid w:val="1F911969"/>
    <w:rsid w:val="20E97AC1"/>
    <w:rsid w:val="21617008"/>
    <w:rsid w:val="23743AB1"/>
    <w:rsid w:val="250A44A9"/>
    <w:rsid w:val="27E2170E"/>
    <w:rsid w:val="280D1088"/>
    <w:rsid w:val="28BE6984"/>
    <w:rsid w:val="2A021293"/>
    <w:rsid w:val="2C332DE9"/>
    <w:rsid w:val="2CDC2CDC"/>
    <w:rsid w:val="2CED26E7"/>
    <w:rsid w:val="31D64DFD"/>
    <w:rsid w:val="35F2640A"/>
    <w:rsid w:val="3A6712EA"/>
    <w:rsid w:val="3BAA4B7D"/>
    <w:rsid w:val="3CDE029E"/>
    <w:rsid w:val="3DB82B5C"/>
    <w:rsid w:val="3EC60FE9"/>
    <w:rsid w:val="3F651E40"/>
    <w:rsid w:val="402371B4"/>
    <w:rsid w:val="407C5A29"/>
    <w:rsid w:val="43047462"/>
    <w:rsid w:val="45D71D2E"/>
    <w:rsid w:val="46F22772"/>
    <w:rsid w:val="478B47D2"/>
    <w:rsid w:val="481E1E96"/>
    <w:rsid w:val="4B485A07"/>
    <w:rsid w:val="4E4837C9"/>
    <w:rsid w:val="4ED077E0"/>
    <w:rsid w:val="5345477B"/>
    <w:rsid w:val="543D6BFA"/>
    <w:rsid w:val="5C2A219D"/>
    <w:rsid w:val="5E512226"/>
    <w:rsid w:val="5E541D16"/>
    <w:rsid w:val="5EF00491"/>
    <w:rsid w:val="6026581F"/>
    <w:rsid w:val="627E55B4"/>
    <w:rsid w:val="636429FB"/>
    <w:rsid w:val="64E369B6"/>
    <w:rsid w:val="667E1696"/>
    <w:rsid w:val="66E14363"/>
    <w:rsid w:val="6A25269B"/>
    <w:rsid w:val="6BE90D2D"/>
    <w:rsid w:val="6D905BAA"/>
    <w:rsid w:val="6DC956E0"/>
    <w:rsid w:val="6E386193"/>
    <w:rsid w:val="6F265150"/>
    <w:rsid w:val="6FDC0F91"/>
    <w:rsid w:val="71581493"/>
    <w:rsid w:val="7434192E"/>
    <w:rsid w:val="74432492"/>
    <w:rsid w:val="74C0380A"/>
    <w:rsid w:val="75AC7FC6"/>
    <w:rsid w:val="763D453A"/>
    <w:rsid w:val="76EF6B90"/>
    <w:rsid w:val="77A47066"/>
    <w:rsid w:val="7A852679"/>
    <w:rsid w:val="7BEB1AB4"/>
    <w:rsid w:val="7CC56CA7"/>
    <w:rsid w:val="7D4F3893"/>
    <w:rsid w:val="7EE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宋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qFormat/>
    <w:uiPriority w:val="99"/>
    <w:pPr>
      <w:jc w:val="left"/>
    </w:pPr>
    <w:rPr>
      <w:rFonts w:eastAsiaTheme="minorEastAsia" w:cstheme="minorBidi"/>
      <w:sz w:val="22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5"/>
    <w:next w:val="5"/>
    <w:link w:val="17"/>
    <w:autoRedefine/>
    <w:semiHidden/>
    <w:unhideWhenUsed/>
    <w:qFormat/>
    <w:uiPriority w:val="99"/>
    <w:rPr>
      <w:rFonts w:eastAsia="宋体" w:cs="Times New Roman"/>
      <w:b/>
      <w:bCs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Heading 1 Char"/>
    <w:basedOn w:val="10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Heading 2 Char"/>
    <w:basedOn w:val="10"/>
    <w:link w:val="3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5">
    <w:name w:val="Heading 3 Char"/>
    <w:basedOn w:val="10"/>
    <w:link w:val="4"/>
    <w:autoRedefine/>
    <w:qFormat/>
    <w:uiPriority w:val="9"/>
    <w:rPr>
      <w:rFonts w:ascii="等线" w:hAnsi="等线" w:eastAsia="等线" w:cs="宋体"/>
      <w:b/>
      <w:bCs/>
      <w:sz w:val="32"/>
      <w:szCs w:val="32"/>
    </w:rPr>
  </w:style>
  <w:style w:type="character" w:customStyle="1" w:styleId="16">
    <w:name w:val="Comment Text Char"/>
    <w:basedOn w:val="10"/>
    <w:link w:val="5"/>
    <w:autoRedefine/>
    <w:qFormat/>
    <w:uiPriority w:val="99"/>
    <w:rPr>
      <w:rFonts w:ascii="Times New Roman" w:hAnsi="Times New Roman"/>
      <w:sz w:val="22"/>
      <w:szCs w:val="24"/>
    </w:rPr>
  </w:style>
  <w:style w:type="character" w:customStyle="1" w:styleId="17">
    <w:name w:val="Comment Subject Char"/>
    <w:basedOn w:val="16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 w:val="22"/>
      <w:szCs w:val="24"/>
    </w:rPr>
  </w:style>
  <w:style w:type="character" w:customStyle="1" w:styleId="18">
    <w:name w:val="Header Char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oter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EndNote Bibliography Title"/>
    <w:basedOn w:val="1"/>
    <w:link w:val="21"/>
    <w:autoRedefine/>
    <w:qFormat/>
    <w:uiPriority w:val="0"/>
    <w:pPr>
      <w:jc w:val="center"/>
    </w:pPr>
    <w:rPr>
      <w:sz w:val="20"/>
    </w:rPr>
  </w:style>
  <w:style w:type="character" w:customStyle="1" w:styleId="21">
    <w:name w:val="EndNote Bibliography Title 字符"/>
    <w:basedOn w:val="10"/>
    <w:link w:val="20"/>
    <w:autoRedefine/>
    <w:qFormat/>
    <w:uiPriority w:val="0"/>
    <w:rPr>
      <w:rFonts w:ascii="Times New Roman" w:hAnsi="Times New Roman" w:eastAsia="宋体" w:cs="Times New Roman"/>
      <w:sz w:val="20"/>
      <w:szCs w:val="24"/>
    </w:rPr>
  </w:style>
  <w:style w:type="paragraph" w:customStyle="1" w:styleId="22">
    <w:name w:val="EndNote Bibliography"/>
    <w:basedOn w:val="1"/>
    <w:link w:val="23"/>
    <w:autoRedefine/>
    <w:qFormat/>
    <w:uiPriority w:val="0"/>
    <w:rPr>
      <w:sz w:val="20"/>
    </w:rPr>
  </w:style>
  <w:style w:type="character" w:customStyle="1" w:styleId="23">
    <w:name w:val="EndNote Bibliography 字符"/>
    <w:basedOn w:val="10"/>
    <w:link w:val="22"/>
    <w:autoRedefine/>
    <w:qFormat/>
    <w:uiPriority w:val="0"/>
    <w:rPr>
      <w:rFonts w:ascii="Times New Roman" w:hAnsi="Times New Roman" w:eastAsia="宋体" w:cs="Times New Roman"/>
      <w:sz w:val="20"/>
      <w:szCs w:val="24"/>
    </w:rPr>
  </w:style>
  <w:style w:type="character" w:customStyle="1" w:styleId="24">
    <w:name w:val="Unresolved Mention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autoRedefine/>
    <w:qFormat/>
    <w:uiPriority w:val="34"/>
    <w:pPr>
      <w:numPr>
        <w:ilvl w:val="0"/>
        <w:numId w:val="1"/>
      </w:numPr>
      <w:spacing w:before="240" w:after="240"/>
      <w:ind w:left="567" w:hanging="567"/>
      <w:contextualSpacing/>
      <w:jc w:val="both"/>
    </w:pPr>
    <w:rPr>
      <w:rFonts w:ascii="Calibri" w:hAnsi="Calibri" w:eastAsiaTheme="minorHAnsi" w:cstheme="minorBidi"/>
      <w:sz w:val="22"/>
      <w:szCs w:val="2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40BBE-FF59-4706-A89E-81855D33E4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3455</Characters>
  <Lines>28</Lines>
  <Paragraphs>8</Paragraphs>
  <TotalTime>1</TotalTime>
  <ScaleCrop>false</ScaleCrop>
  <LinksUpToDate>false</LinksUpToDate>
  <CharactersWithSpaces>4052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2024-05-02T02:26:00Z</dcterms:created>
  <dc:creator>吴 晓靓</dc:creator>
  <cp:lastModifiedBy>xiaojing</cp:lastModifiedBy>
  <dcterms:modified xsi:type="dcterms:W3CDTF">2024-05-02T03:45:17Z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BD0FC740C36B44FBB41081A8E3367164_13</vt:lpwstr>
  </property>
  <property fmtid="{D5CDD505-2E9C-101B-9397-08002B2CF9AE}" pid="4" name="ClassificationContentMarkingFooterShapeIds">
    <vt:lpwstr>3fef1ef3,1a9ca97a,7127aea6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2024-05-02T02:26:37Z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6291fc96-833f-49d6-b2a0-2f775924ce27</vt:lpwstr>
  </property>
  <property fmtid="{D5CDD505-2E9C-101B-9397-08002B2CF9AE}" pid="13" name="MSIP_Label_2bbab825-a111-45e4-86a1-18cee0005896_ContentBits">
    <vt:lpwstr>2</vt:lpwstr>
  </property>
</Properties>
</file>