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2" w:rsidRPr="003642C2" w:rsidRDefault="00715E52" w:rsidP="00715E5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Supplementary </w:t>
      </w:r>
      <w:r w:rsidRPr="003642C2">
        <w:rPr>
          <w:rFonts w:ascii="Times New Roman" w:hAnsi="Times New Roman"/>
          <w:b/>
          <w:sz w:val="24"/>
          <w:szCs w:val="24"/>
        </w:rPr>
        <w:t>Table 1:</w:t>
      </w:r>
      <w:r w:rsidRPr="003642C2">
        <w:rPr>
          <w:rFonts w:ascii="Times New Roman" w:hAnsi="Times New Roman"/>
          <w:sz w:val="24"/>
          <w:szCs w:val="24"/>
        </w:rPr>
        <w:t xml:space="preserve"> The primers used for analysi</w:t>
      </w:r>
      <w:r w:rsidR="00676EC6">
        <w:rPr>
          <w:rFonts w:ascii="Times New Roman" w:hAnsi="Times New Roman"/>
          <w:sz w:val="24"/>
          <w:szCs w:val="24"/>
        </w:rPr>
        <w:t>s of gene expression using qPCR.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2C2">
              <w:rPr>
                <w:rFonts w:ascii="Times New Roman" w:hAnsi="Times New Roman"/>
                <w:b/>
                <w:sz w:val="24"/>
                <w:szCs w:val="24"/>
              </w:rPr>
              <w:t>Gene of interest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2C2">
              <w:rPr>
                <w:rFonts w:ascii="Times New Roman" w:hAnsi="Times New Roman"/>
                <w:b/>
                <w:sz w:val="24"/>
                <w:szCs w:val="24"/>
              </w:rPr>
              <w:t>Primers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ULK1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FP: 5’ GGCAAGTTCGAGTTCTCCCG 3’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CGACCTCCAAATCGTGCTTCT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ATG3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FP: 5’ GGCGGATGGGTAGATACATAT 3’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GCTTCTCCTTCATCTTCATCTTC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ATG5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 xml:space="preserve">FP: 5’ GATACCAGAGGGCGGAAGTG 3’ 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5’GTAGCAGGACTCCAGGAAGC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LC3II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FP: 5’ CCGCCACCTTTTTGGGTAGA 3’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CCGTTTACCCTGCGTTTGTG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NF-κB1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FP: 5’ AACAGAGAGGATTTCGTTTCCG 3’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TTTGACCTGAGGGTAAGACTTCT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NF-κB2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FP: 5’ ATGAAGATTGAGCGGCCTGT 3’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GCACCTCTTCCTTGTCTTCCA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p53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 xml:space="preserve">FP: 5’ GCTGCTCAGATAGCGATGGTC 3’ 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CTCCCAGGACAGGCACAAACA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E-cadherin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 xml:space="preserve">FP: 5’ CCAGTGAACAACGATGGCATT 3’ 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TGCTGCTTGGCCTCAAAAT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SNAIL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 xml:space="preserve">FP: 5’ CCCCAATCGGAAGCCTAACT 3’ 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GCTGGAAGGTAAACTCTGGATTAGA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2C2">
              <w:rPr>
                <w:rFonts w:ascii="Times New Roman" w:hAnsi="Times New Roman"/>
                <w:sz w:val="24"/>
                <w:szCs w:val="24"/>
              </w:rPr>
              <w:t>Vimentin</w:t>
            </w:r>
            <w:proofErr w:type="spellEnd"/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FP: 5’ TCCAAACTTTTCCTCCCTGAAC 3’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GGGTATCAACCAGAGGGAGTGA 3’</w:t>
            </w:r>
          </w:p>
        </w:tc>
      </w:tr>
      <w:tr w:rsidR="00715E52" w:rsidRPr="003642C2" w:rsidTr="005D4B89">
        <w:tc>
          <w:tcPr>
            <w:tcW w:w="195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  <w:lang w:bidi="ta-IN"/>
              </w:rPr>
              <w:t>β-actin</w:t>
            </w:r>
          </w:p>
        </w:tc>
        <w:tc>
          <w:tcPr>
            <w:tcW w:w="7291" w:type="dxa"/>
            <w:shd w:val="clear" w:color="auto" w:fill="auto"/>
          </w:tcPr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 xml:space="preserve">FP: 5’ GGTCATCACCATTGGCAATGAG 3’ </w:t>
            </w:r>
          </w:p>
          <w:p w:rsidR="00715E52" w:rsidRPr="003642C2" w:rsidRDefault="00715E52" w:rsidP="005D4B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42C2">
              <w:rPr>
                <w:rFonts w:ascii="Times New Roman" w:hAnsi="Times New Roman"/>
                <w:sz w:val="24"/>
                <w:szCs w:val="24"/>
              </w:rPr>
              <w:t>RP: 5’ TACAGGTCTTTGCGGATGTCC 3’</w:t>
            </w:r>
          </w:p>
        </w:tc>
      </w:tr>
    </w:tbl>
    <w:p w:rsidR="00595DD1" w:rsidRDefault="00595DD1"/>
    <w:p w:rsidR="00F44DDA" w:rsidRDefault="00F44DDA" w:rsidP="00F44DDA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lang w:val="en-US"/>
        </w:rPr>
      </w:pPr>
    </w:p>
    <w:p w:rsidR="00F44DDA" w:rsidRDefault="00F44DDA" w:rsidP="00F44DDA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lang w:val="en-US"/>
        </w:rPr>
      </w:pPr>
    </w:p>
    <w:p w:rsidR="00F44DDA" w:rsidRDefault="00F44DDA" w:rsidP="00F44DDA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lang w:val="en-US"/>
        </w:rPr>
      </w:pPr>
    </w:p>
    <w:p w:rsidR="00F44DDA" w:rsidRDefault="00F44DDA" w:rsidP="00F44DDA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lang w:val="en-US"/>
        </w:rPr>
      </w:pPr>
    </w:p>
    <w:p w:rsidR="002D0450" w:rsidRPr="00C83067" w:rsidRDefault="002D0450" w:rsidP="002D0450">
      <w:pPr>
        <w:rPr>
          <w:rFonts w:ascii="Times New Roman" w:hAnsi="Times New Roman"/>
          <w:sz w:val="24"/>
          <w:szCs w:val="24"/>
        </w:rPr>
      </w:pPr>
      <w:r w:rsidRPr="00C83067">
        <w:rPr>
          <w:rFonts w:ascii="Times New Roman" w:hAnsi="Times New Roman"/>
          <w:b/>
          <w:sz w:val="24"/>
          <w:szCs w:val="24"/>
        </w:rPr>
        <w:lastRenderedPageBreak/>
        <w:t>Supplementary Table 2A:</w:t>
      </w:r>
      <w:r w:rsidRPr="00C83067">
        <w:rPr>
          <w:rFonts w:ascii="Times New Roman" w:hAnsi="Times New Roman"/>
          <w:sz w:val="24"/>
          <w:szCs w:val="24"/>
        </w:rPr>
        <w:t xml:space="preserve"> The drug release at varying time intervals at pH 5.5 are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1665"/>
      </w:tblGrid>
      <w:tr w:rsidR="002D0450" w:rsidRPr="00C83067" w:rsidTr="002D0450">
        <w:trPr>
          <w:trHeight w:val="264"/>
          <w:jc w:val="center"/>
        </w:trPr>
        <w:tc>
          <w:tcPr>
            <w:tcW w:w="1665" w:type="dxa"/>
          </w:tcPr>
          <w:p w:rsidR="002D0450" w:rsidRPr="002D0450" w:rsidRDefault="002D0450" w:rsidP="007559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450">
              <w:rPr>
                <w:rFonts w:ascii="Times New Roman" w:hAnsi="Times New Roman"/>
                <w:b/>
                <w:sz w:val="24"/>
                <w:szCs w:val="24"/>
              </w:rPr>
              <w:t>Time (Hours)</w:t>
            </w:r>
          </w:p>
        </w:tc>
        <w:tc>
          <w:tcPr>
            <w:tcW w:w="1665" w:type="dxa"/>
          </w:tcPr>
          <w:p w:rsidR="002D0450" w:rsidRPr="002D0450" w:rsidRDefault="002D0450" w:rsidP="007559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450">
              <w:rPr>
                <w:rFonts w:ascii="Times New Roman" w:hAnsi="Times New Roman"/>
                <w:b/>
                <w:sz w:val="24"/>
                <w:szCs w:val="24"/>
              </w:rPr>
              <w:t>Release (%)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3.003003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18.5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7.132132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15.39039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19.5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23.27327</w:t>
            </w:r>
          </w:p>
        </w:tc>
      </w:tr>
      <w:tr w:rsidR="002D0450" w:rsidRPr="00C83067" w:rsidTr="002D0450">
        <w:trPr>
          <w:trHeight w:val="264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31.15616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20.5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46.54655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53.67868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21.5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62.68769</w:t>
            </w:r>
          </w:p>
        </w:tc>
      </w:tr>
      <w:tr w:rsidR="002D0450" w:rsidRPr="00C83067" w:rsidTr="002D0450">
        <w:trPr>
          <w:trHeight w:val="264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69.44444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22.5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75.45045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82.95796</w:t>
            </w:r>
          </w:p>
        </w:tc>
      </w:tr>
      <w:tr w:rsidR="002D0450" w:rsidRPr="00C83067" w:rsidTr="002D0450">
        <w:trPr>
          <w:trHeight w:val="252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23.5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87.08709</w:t>
            </w:r>
          </w:p>
        </w:tc>
      </w:tr>
      <w:tr w:rsidR="002D0450" w:rsidRPr="00C83067" w:rsidTr="002D0450">
        <w:trPr>
          <w:trHeight w:val="264"/>
          <w:jc w:val="center"/>
        </w:trPr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665" w:type="dxa"/>
            <w:vAlign w:val="bottom"/>
          </w:tcPr>
          <w:p w:rsidR="002D0450" w:rsidRPr="00966191" w:rsidRDefault="002D0450" w:rsidP="0075591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96619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88.58859</w:t>
            </w:r>
          </w:p>
        </w:tc>
      </w:tr>
    </w:tbl>
    <w:p w:rsidR="002D0450" w:rsidRPr="00C83067" w:rsidRDefault="002D0450" w:rsidP="002D0450">
      <w:pPr>
        <w:rPr>
          <w:rFonts w:ascii="Times New Roman" w:hAnsi="Times New Roman"/>
          <w:sz w:val="24"/>
          <w:szCs w:val="24"/>
        </w:rPr>
      </w:pPr>
    </w:p>
    <w:p w:rsidR="002D0450" w:rsidRPr="00C83067" w:rsidRDefault="002D0450" w:rsidP="002D0450">
      <w:pPr>
        <w:rPr>
          <w:rFonts w:ascii="Times New Roman" w:hAnsi="Times New Roman"/>
          <w:sz w:val="24"/>
          <w:szCs w:val="24"/>
        </w:rPr>
      </w:pPr>
      <w:r w:rsidRPr="00C83067">
        <w:rPr>
          <w:rFonts w:ascii="Times New Roman" w:hAnsi="Times New Roman"/>
          <w:b/>
          <w:sz w:val="24"/>
          <w:szCs w:val="24"/>
        </w:rPr>
        <w:t>Supplementary Table 2B:</w:t>
      </w:r>
      <w:r w:rsidRPr="00C83067">
        <w:rPr>
          <w:rFonts w:ascii="Times New Roman" w:hAnsi="Times New Roman"/>
          <w:sz w:val="24"/>
          <w:szCs w:val="24"/>
        </w:rPr>
        <w:t xml:space="preserve"> The drug release at varying time intervals at pH 7.4 are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3"/>
        <w:gridCol w:w="1653"/>
      </w:tblGrid>
      <w:tr w:rsidR="002D0450" w:rsidRPr="00C83067" w:rsidTr="002D0450">
        <w:trPr>
          <w:trHeight w:val="256"/>
          <w:jc w:val="center"/>
        </w:trPr>
        <w:tc>
          <w:tcPr>
            <w:tcW w:w="1653" w:type="dxa"/>
          </w:tcPr>
          <w:p w:rsidR="002D0450" w:rsidRPr="002D0450" w:rsidRDefault="002D0450" w:rsidP="007559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450">
              <w:rPr>
                <w:rFonts w:ascii="Times New Roman" w:hAnsi="Times New Roman"/>
                <w:b/>
                <w:sz w:val="24"/>
                <w:szCs w:val="24"/>
              </w:rPr>
              <w:t>Time (Hours)</w:t>
            </w:r>
          </w:p>
        </w:tc>
        <w:tc>
          <w:tcPr>
            <w:tcW w:w="1653" w:type="dxa"/>
          </w:tcPr>
          <w:p w:rsidR="002D0450" w:rsidRPr="002D0450" w:rsidRDefault="002D0450" w:rsidP="007559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0450">
              <w:rPr>
                <w:rFonts w:ascii="Times New Roman" w:hAnsi="Times New Roman"/>
                <w:b/>
                <w:sz w:val="24"/>
                <w:szCs w:val="24"/>
              </w:rPr>
              <w:t>Release (%)</w:t>
            </w:r>
          </w:p>
        </w:tc>
      </w:tr>
      <w:tr w:rsidR="002D0450" w:rsidRPr="00C83067" w:rsidTr="002D0450">
        <w:trPr>
          <w:trHeight w:val="244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1.97366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9.21058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15.46067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25.65809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35.19744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43.75009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57.5659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67.76329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75.65784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79.93427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84.53981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88.81575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90.78941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91.11852</w:t>
            </w:r>
          </w:p>
        </w:tc>
      </w:tr>
      <w:tr w:rsidR="002D0450" w:rsidRPr="00C83067" w:rsidTr="002D0450">
        <w:trPr>
          <w:trHeight w:val="256"/>
          <w:jc w:val="center"/>
        </w:trPr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653" w:type="dxa"/>
            <w:vAlign w:val="bottom"/>
          </w:tcPr>
          <w:p w:rsidR="002D0450" w:rsidRPr="00C83067" w:rsidRDefault="002D0450" w:rsidP="0075591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067">
              <w:rPr>
                <w:rFonts w:ascii="Times New Roman" w:hAnsi="Times New Roman"/>
                <w:sz w:val="24"/>
                <w:szCs w:val="24"/>
              </w:rPr>
              <w:t>91.44762</w:t>
            </w:r>
          </w:p>
        </w:tc>
      </w:tr>
    </w:tbl>
    <w:p w:rsidR="002D0450" w:rsidRDefault="002D0450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D0450" w:rsidRDefault="002D0450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D0450" w:rsidRDefault="002D0450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D0450" w:rsidRDefault="002D0450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15D88" w:rsidRDefault="00215D8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</w:t>
      </w:r>
      <w:r w:rsidRPr="003642C2">
        <w:rPr>
          <w:rFonts w:ascii="Times New Roman" w:hAnsi="Times New Roman"/>
          <w:b/>
          <w:sz w:val="24"/>
          <w:szCs w:val="24"/>
          <w:lang w:val="en-US"/>
        </w:rPr>
        <w:t xml:space="preserve"> Figure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 w:rsidR="00CB15D8"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0F5535">
        <w:rPr>
          <w:rFonts w:ascii="Times New Roman" w:hAnsi="Times New Roman"/>
          <w:sz w:val="24"/>
          <w:szCs w:val="24"/>
          <w:lang w:val="en-US"/>
        </w:rPr>
        <w:t>U</w:t>
      </w:r>
      <w:r w:rsidR="000F5535" w:rsidRPr="0083581E">
        <w:rPr>
          <w:rFonts w:ascii="Times New Roman" w:hAnsi="Times New Roman"/>
          <w:sz w:val="24"/>
          <w:szCs w:val="24"/>
          <w:lang w:val="en-US"/>
        </w:rPr>
        <w:t xml:space="preserve">PLC based </w:t>
      </w:r>
      <w:r w:rsidR="00CB15D8">
        <w:rPr>
          <w:rFonts w:ascii="Times New Roman" w:hAnsi="Times New Roman"/>
          <w:sz w:val="24"/>
          <w:szCs w:val="24"/>
          <w:lang w:val="en-US"/>
        </w:rPr>
        <w:t>determination</w:t>
      </w:r>
      <w:r w:rsidR="000F5535" w:rsidRPr="0083581E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CB15D8">
        <w:rPr>
          <w:rFonts w:ascii="Times New Roman" w:hAnsi="Times New Roman"/>
          <w:sz w:val="24"/>
          <w:szCs w:val="24"/>
          <w:lang w:val="en-US"/>
        </w:rPr>
        <w:t xml:space="preserve">standard </w:t>
      </w:r>
      <w:proofErr w:type="spellStart"/>
      <w:r w:rsidR="000F5535" w:rsidRPr="0083581E">
        <w:rPr>
          <w:rFonts w:ascii="Times New Roman" w:hAnsi="Times New Roman"/>
          <w:sz w:val="24"/>
          <w:szCs w:val="24"/>
          <w:lang w:val="en-US"/>
        </w:rPr>
        <w:t>rutin</w:t>
      </w:r>
      <w:proofErr w:type="spellEnd"/>
      <w:r w:rsidR="000F5535" w:rsidRPr="0083581E">
        <w:rPr>
          <w:rFonts w:ascii="Times New Roman" w:hAnsi="Times New Roman"/>
          <w:sz w:val="24"/>
          <w:szCs w:val="24"/>
          <w:lang w:val="en-US"/>
        </w:rPr>
        <w:t>.</w:t>
      </w:r>
    </w:p>
    <w:p w:rsidR="00215D88" w:rsidRDefault="00CB15D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N"/>
        </w:rPr>
        <w:drawing>
          <wp:inline distT="0" distB="0" distL="0" distR="0">
            <wp:extent cx="5731510" cy="6474484"/>
            <wp:effectExtent l="0" t="0" r="2540" b="2540"/>
            <wp:docPr id="1" name="Picture 1" descr="E:\Research\Papers 2024\Liver cancer, Zhu Qiang\IJNM\Revision\Pre-docs for submission\Supplementary\Supp fig Rutin 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earch\Papers 2024\Liver cancer, Zhu Qiang\IJNM\Revision\Pre-docs for submission\Supplementary\Supp fig Rutin st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7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88" w:rsidRDefault="00215D8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15D88" w:rsidRDefault="00215D8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15D88" w:rsidRDefault="00215D8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CB15D8" w:rsidRDefault="00CB15D8" w:rsidP="00CB15D8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</w:t>
      </w:r>
      <w:r w:rsidRPr="003642C2">
        <w:rPr>
          <w:rFonts w:ascii="Times New Roman" w:hAnsi="Times New Roman"/>
          <w:b/>
          <w:sz w:val="24"/>
          <w:szCs w:val="24"/>
          <w:lang w:val="en-US"/>
        </w:rPr>
        <w:t xml:space="preserve"> Figure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1B: 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83581E">
        <w:rPr>
          <w:rFonts w:ascii="Times New Roman" w:hAnsi="Times New Roman"/>
          <w:sz w:val="24"/>
          <w:szCs w:val="24"/>
          <w:lang w:val="en-US"/>
        </w:rPr>
        <w:t xml:space="preserve">PLC based quantification of </w:t>
      </w:r>
      <w:proofErr w:type="spellStart"/>
      <w:r w:rsidRPr="0083581E">
        <w:rPr>
          <w:rFonts w:ascii="Times New Roman" w:hAnsi="Times New Roman"/>
          <w:sz w:val="24"/>
          <w:szCs w:val="24"/>
          <w:lang w:val="en-US"/>
        </w:rPr>
        <w:t>rutin</w:t>
      </w:r>
      <w:proofErr w:type="spellEnd"/>
      <w:r w:rsidRPr="0083581E">
        <w:rPr>
          <w:rFonts w:ascii="Times New Roman" w:hAnsi="Times New Roman"/>
          <w:sz w:val="24"/>
          <w:szCs w:val="24"/>
          <w:lang w:val="en-US"/>
        </w:rPr>
        <w:t xml:space="preserve"> load on CNPs.</w:t>
      </w:r>
    </w:p>
    <w:p w:rsidR="00215D88" w:rsidRDefault="00CB15D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IN"/>
        </w:rPr>
        <w:drawing>
          <wp:inline distT="0" distB="0" distL="0" distR="0">
            <wp:extent cx="5676900" cy="6583680"/>
            <wp:effectExtent l="0" t="0" r="0" b="7620"/>
            <wp:docPr id="2" name="Picture 2" descr="E:\Research\Papers 2024\Liver cancer, Zhu Qiang\IJNM\Revision\Pre-docs for submission\Supplementary\Supp Fig rCN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esearch\Papers 2024\Liver cancer, Zhu Qiang\IJNM\Revision\Pre-docs for submission\Supplementary\Supp Fig rCNP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88" w:rsidRDefault="00215D8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15D88" w:rsidRDefault="00215D8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15D88" w:rsidRDefault="00215D88" w:rsidP="00F44DD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F44DDA" w:rsidRPr="003642C2" w:rsidRDefault="00F44DDA" w:rsidP="00F44DD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</w:t>
      </w:r>
      <w:r w:rsidRPr="003642C2">
        <w:rPr>
          <w:rFonts w:ascii="Times New Roman" w:hAnsi="Times New Roman"/>
          <w:b/>
          <w:sz w:val="24"/>
          <w:szCs w:val="24"/>
          <w:lang w:val="en-US"/>
        </w:rPr>
        <w:t xml:space="preserve"> Figure </w:t>
      </w:r>
      <w:r w:rsidR="00215D88">
        <w:rPr>
          <w:rFonts w:ascii="Times New Roman" w:hAnsi="Times New Roman"/>
          <w:b/>
          <w:sz w:val="24"/>
          <w:szCs w:val="24"/>
          <w:lang w:val="en-US"/>
        </w:rPr>
        <w:t>2</w:t>
      </w:r>
      <w:r w:rsidR="00B7246F">
        <w:rPr>
          <w:rFonts w:ascii="Times New Roman" w:hAnsi="Times New Roman"/>
          <w:b/>
          <w:sz w:val="24"/>
          <w:szCs w:val="24"/>
          <w:lang w:val="en-US"/>
        </w:rPr>
        <w:t>A</w:t>
      </w:r>
      <w:r w:rsidRPr="003642C2">
        <w:rPr>
          <w:rFonts w:ascii="Times New Roman" w:hAnsi="Times New Roman"/>
          <w:b/>
          <w:sz w:val="24"/>
          <w:szCs w:val="24"/>
          <w:lang w:val="en-US"/>
        </w:rPr>
        <w:t>:</w:t>
      </w:r>
      <w:r w:rsidRPr="003642C2">
        <w:rPr>
          <w:rFonts w:ascii="Times New Roman" w:hAnsi="Times New Roman"/>
          <w:sz w:val="24"/>
          <w:szCs w:val="24"/>
          <w:lang w:val="en-US"/>
        </w:rPr>
        <w:t xml:space="preserve"> Microscopic observations of the cytotoxic effects of rCNPs filtered using a 0.22 micron filter on Hep3B cells.</w:t>
      </w:r>
    </w:p>
    <w:p w:rsidR="00F44DDA" w:rsidRPr="003642C2" w:rsidRDefault="00CB15D8" w:rsidP="00F44DDA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IN"/>
        </w:rPr>
        <w:drawing>
          <wp:inline distT="0" distB="0" distL="0" distR="0">
            <wp:extent cx="5731510" cy="3362551"/>
            <wp:effectExtent l="0" t="0" r="2540" b="9525"/>
            <wp:docPr id="3" name="Picture 3" descr="E:\Research\Papers 2024\Liver cancer, Zhu Qiang\IJNM\Revision\Pre-docs for submission\Supplementary\Supp fig rCNPs on Hep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Research\Papers 2024\Liver cancer, Zhu Qiang\IJNM\Revision\Pre-docs for submission\Supplementary\Supp fig rCNPs on Hep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6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DA" w:rsidRPr="003642C2" w:rsidRDefault="00F44DDA" w:rsidP="00F44DD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Supplementary</w:t>
      </w:r>
      <w:r w:rsidRPr="003642C2">
        <w:rPr>
          <w:rFonts w:ascii="Times New Roman" w:hAnsi="Times New Roman"/>
          <w:b/>
          <w:sz w:val="24"/>
          <w:szCs w:val="24"/>
          <w:lang w:val="en-US"/>
        </w:rPr>
        <w:t xml:space="preserve"> Figure </w:t>
      </w:r>
      <w:r w:rsidR="00215D88">
        <w:rPr>
          <w:rFonts w:ascii="Times New Roman" w:hAnsi="Times New Roman"/>
          <w:b/>
          <w:sz w:val="24"/>
          <w:szCs w:val="24"/>
          <w:lang w:val="en-US"/>
        </w:rPr>
        <w:t>2</w:t>
      </w:r>
      <w:r w:rsidR="00B7246F">
        <w:rPr>
          <w:rFonts w:ascii="Times New Roman" w:hAnsi="Times New Roman"/>
          <w:b/>
          <w:sz w:val="24"/>
          <w:szCs w:val="24"/>
          <w:lang w:val="en-US"/>
        </w:rPr>
        <w:t>B</w:t>
      </w:r>
      <w:r w:rsidRPr="003642C2">
        <w:rPr>
          <w:rFonts w:ascii="Times New Roman" w:hAnsi="Times New Roman"/>
          <w:b/>
          <w:sz w:val="24"/>
          <w:szCs w:val="24"/>
          <w:lang w:val="en-US"/>
        </w:rPr>
        <w:t>:</w:t>
      </w:r>
      <w:r w:rsidRPr="003642C2">
        <w:rPr>
          <w:rFonts w:ascii="Times New Roman" w:hAnsi="Times New Roman"/>
          <w:sz w:val="24"/>
          <w:szCs w:val="24"/>
          <w:lang w:val="en-US"/>
        </w:rPr>
        <w:t xml:space="preserve"> Microscopic observations of the cytotoxic effects of the pCNPs on Hep3B cells.</w:t>
      </w:r>
    </w:p>
    <w:p w:rsidR="00F44DDA" w:rsidRPr="003642C2" w:rsidRDefault="00F44DDA" w:rsidP="00F44DDA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IN"/>
        </w:rPr>
        <w:drawing>
          <wp:inline distT="0" distB="0" distL="0" distR="0" wp14:anchorId="3DA199EA" wp14:editId="7B9A8C48">
            <wp:extent cx="5456500" cy="3444240"/>
            <wp:effectExtent l="0" t="0" r="0" b="3810"/>
            <wp:docPr id="13" name="Picture 9" descr="Figure 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ure 7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0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88" w:rsidRPr="003642C2" w:rsidRDefault="00215D88" w:rsidP="00215D8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</w:t>
      </w:r>
      <w:r w:rsidRPr="003642C2">
        <w:rPr>
          <w:rFonts w:ascii="Times New Roman" w:hAnsi="Times New Roman"/>
          <w:b/>
          <w:sz w:val="24"/>
          <w:szCs w:val="24"/>
          <w:lang w:val="en-US"/>
        </w:rPr>
        <w:t xml:space="preserve"> Figure 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3642C2">
        <w:rPr>
          <w:rFonts w:ascii="Times New Roman" w:hAnsi="Times New Roman"/>
          <w:b/>
          <w:sz w:val="24"/>
          <w:szCs w:val="24"/>
        </w:rPr>
        <w:t>:</w:t>
      </w:r>
      <w:r w:rsidRPr="003642C2">
        <w:rPr>
          <w:rFonts w:ascii="Times New Roman" w:hAnsi="Times New Roman"/>
          <w:sz w:val="24"/>
          <w:szCs w:val="24"/>
        </w:rPr>
        <w:t xml:space="preserve"> Microscopic observations of interactions between rCNPs and L929 fibroblasts.</w:t>
      </w:r>
    </w:p>
    <w:p w:rsidR="00F44DDA" w:rsidRPr="00215D88" w:rsidRDefault="00215D88">
      <w:r>
        <w:rPr>
          <w:rFonts w:ascii="Times New Roman" w:hAnsi="Times New Roman"/>
          <w:noProof/>
          <w:sz w:val="24"/>
          <w:szCs w:val="24"/>
          <w:lang w:eastAsia="en-IN"/>
        </w:rPr>
        <w:drawing>
          <wp:inline distT="0" distB="0" distL="0" distR="0" wp14:anchorId="5C238018" wp14:editId="58F5FACC">
            <wp:extent cx="5731510" cy="3443467"/>
            <wp:effectExtent l="0" t="0" r="2540" b="5080"/>
            <wp:docPr id="21" name="Picture 1" descr="Figure 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11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4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DDA" w:rsidRPr="0021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52"/>
    <w:rsid w:val="000F5535"/>
    <w:rsid w:val="00215D88"/>
    <w:rsid w:val="002D0450"/>
    <w:rsid w:val="00595DD1"/>
    <w:rsid w:val="00676EC6"/>
    <w:rsid w:val="00715E52"/>
    <w:rsid w:val="00B7246F"/>
    <w:rsid w:val="00CB15D8"/>
    <w:rsid w:val="00F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D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D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2024-03-16T14:59:00Z</dcterms:created>
  <dcterms:modified xsi:type="dcterms:W3CDTF">2024-04-29T03:09:00Z</dcterms:modified>
</cp:coreProperties>
</file>