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95EF" w14:textId="77777777" w:rsidR="00407224" w:rsidRPr="00EC7FB0" w:rsidRDefault="00407224" w:rsidP="00407224">
      <w:pPr>
        <w:spacing w:line="480" w:lineRule="auto"/>
        <w:rPr>
          <w:rFonts w:ascii="Garamond" w:eastAsia="Garamond" w:hAnsi="Garamond" w:cs="Garamond"/>
          <w:sz w:val="24"/>
          <w:szCs w:val="24"/>
          <w:lang w:val="en-US"/>
        </w:rPr>
      </w:pPr>
      <w:r w:rsidRPr="7C708813">
        <w:rPr>
          <w:rFonts w:ascii="Garamond" w:eastAsia="Garamond" w:hAnsi="Garamond" w:cs="Garamond"/>
          <w:b/>
          <w:bCs/>
          <w:sz w:val="26"/>
          <w:szCs w:val="26"/>
          <w:lang w:val="en-US"/>
        </w:rPr>
        <w:t>Appendix Input Data and Sources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605"/>
        <w:gridCol w:w="1605"/>
        <w:gridCol w:w="1605"/>
        <w:gridCol w:w="2040"/>
        <w:gridCol w:w="1680"/>
        <w:gridCol w:w="1095"/>
      </w:tblGrid>
      <w:tr w:rsidR="00407224" w:rsidRPr="004F47FF" w14:paraId="1B434052" w14:textId="77777777" w:rsidTr="00931BC4">
        <w:trPr>
          <w:trHeight w:val="540"/>
        </w:trPr>
        <w:tc>
          <w:tcPr>
            <w:tcW w:w="8535" w:type="dxa"/>
            <w:gridSpan w:val="5"/>
            <w:tcBorders>
              <w:top w:val="nil"/>
              <w:left w:val="nil"/>
            </w:tcBorders>
            <w:shd w:val="clear" w:color="auto" w:fill="auto"/>
            <w:vAlign w:val="bottom"/>
          </w:tcPr>
          <w:p w14:paraId="5099E13E" w14:textId="5E4C0BEA" w:rsidR="00407224" w:rsidRPr="00225822" w:rsidRDefault="00407224" w:rsidP="00931BC4">
            <w:pPr>
              <w:spacing w:after="0"/>
              <w:rPr>
                <w:rFonts w:ascii="Garamond" w:eastAsia="Garamond" w:hAnsi="Garamond" w:cs="Garamond"/>
                <w:color w:val="000000" w:themeColor="text1"/>
                <w:sz w:val="20"/>
                <w:szCs w:val="20"/>
                <w:lang w:val="en-US"/>
              </w:rPr>
            </w:pPr>
            <w:r w:rsidRPr="0022582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Table S1. Complement Inhibitors - Drug Prices</w:t>
            </w:r>
          </w:p>
          <w:p w14:paraId="3A62E52F" w14:textId="77777777" w:rsidR="00407224" w:rsidRPr="00225822" w:rsidRDefault="00407224" w:rsidP="00931BC4">
            <w:pPr>
              <w:spacing w:after="0" w:line="48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FF17DC" w14:textId="77777777" w:rsidR="00407224" w:rsidRPr="00225822" w:rsidRDefault="00407224" w:rsidP="00931BC4">
            <w:pPr>
              <w:spacing w:line="480" w:lineRule="auto"/>
              <w:rPr>
                <w:sz w:val="20"/>
                <w:szCs w:val="20"/>
                <w:lang w:val="en-US"/>
              </w:rPr>
            </w:pPr>
          </w:p>
        </w:tc>
      </w:tr>
      <w:tr w:rsidR="00407224" w14:paraId="05521205" w14:textId="77777777" w:rsidTr="00931BC4">
        <w:trPr>
          <w:trHeight w:val="300"/>
        </w:trPr>
        <w:tc>
          <w:tcPr>
            <w:tcW w:w="1605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</w:tcPr>
          <w:p w14:paraId="7E0744C1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Generic Name</w:t>
            </w:r>
          </w:p>
        </w:tc>
        <w:tc>
          <w:tcPr>
            <w:tcW w:w="1605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</w:tcPr>
          <w:p w14:paraId="77E59E70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Brand Name</w:t>
            </w:r>
          </w:p>
        </w:tc>
        <w:tc>
          <w:tcPr>
            <w:tcW w:w="1605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</w:tcPr>
          <w:p w14:paraId="3EFC387B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Dose Form</w:t>
            </w:r>
          </w:p>
        </w:tc>
        <w:tc>
          <w:tcPr>
            <w:tcW w:w="2040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</w:tcPr>
          <w:p w14:paraId="6D0FA205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Strength/Unit (mg)</w:t>
            </w:r>
          </w:p>
        </w:tc>
        <w:tc>
          <w:tcPr>
            <w:tcW w:w="1680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</w:tcPr>
          <w:p w14:paraId="0BC783C5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Pack Price (€)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16CA0D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50DCFF72" w14:textId="77777777" w:rsidTr="00931BC4">
        <w:trPr>
          <w:trHeight w:val="315"/>
        </w:trPr>
        <w:tc>
          <w:tcPr>
            <w:tcW w:w="1605" w:type="dxa"/>
            <w:tcBorders>
              <w:top w:val="double" w:sz="5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89ED42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Pegcetacoplan</w:t>
            </w:r>
          </w:p>
        </w:tc>
        <w:tc>
          <w:tcPr>
            <w:tcW w:w="1605" w:type="dxa"/>
            <w:tcBorders>
              <w:top w:val="double" w:sz="5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5FE140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Aspaveli</w:t>
            </w:r>
          </w:p>
        </w:tc>
        <w:tc>
          <w:tcPr>
            <w:tcW w:w="1605" w:type="dxa"/>
            <w:tcBorders>
              <w:top w:val="double" w:sz="5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12792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SC</w:t>
            </w:r>
          </w:p>
        </w:tc>
        <w:tc>
          <w:tcPr>
            <w:tcW w:w="2040" w:type="dxa"/>
            <w:tcBorders>
              <w:top w:val="double" w:sz="5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67E547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1080</w:t>
            </w:r>
          </w:p>
        </w:tc>
        <w:tc>
          <w:tcPr>
            <w:tcW w:w="1680" w:type="dxa"/>
            <w:tcBorders>
              <w:top w:val="double" w:sz="5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3BB71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2.802,96 €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AD869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19CB55C2" w14:textId="77777777" w:rsidTr="00931BC4">
        <w:trPr>
          <w:trHeight w:val="300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40A74F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Eculizumab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5F54F2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Soliris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A9A2F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9E7D8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04387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4.151,50 €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FB67D5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287624AE" w14:textId="77777777" w:rsidTr="00931BC4">
        <w:trPr>
          <w:trHeight w:val="315"/>
        </w:trPr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8A5C53A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Ravulizumab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A8BFC10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Ultomiris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751E247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B62B05C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41488D9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4.528,91 €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D2B4FD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</w:tbl>
    <w:p w14:paraId="5769E7B9" w14:textId="0C61FBB3" w:rsidR="00407224" w:rsidRPr="00724531" w:rsidRDefault="00724531" w:rsidP="00407224">
      <w:pPr>
        <w:spacing w:line="480" w:lineRule="auto"/>
        <w:jc w:val="both"/>
        <w:rPr>
          <w:rFonts w:ascii="Calibri" w:eastAsia="Garamond" w:hAnsi="Calibri" w:cs="Calibri"/>
          <w:sz w:val="20"/>
          <w:szCs w:val="20"/>
          <w:lang w:val="en-US"/>
        </w:rPr>
      </w:pPr>
      <w:r w:rsidRPr="00724531">
        <w:rPr>
          <w:rFonts w:ascii="Calibri" w:eastAsia="Garamond" w:hAnsi="Calibri" w:cs="Calibri"/>
          <w:b/>
          <w:bCs/>
          <w:sz w:val="20"/>
          <w:szCs w:val="20"/>
          <w:lang w:val="en-US"/>
        </w:rPr>
        <w:t>Note</w:t>
      </w:r>
      <w:r w:rsidRPr="00724531">
        <w:rPr>
          <w:rFonts w:ascii="Calibri" w:eastAsia="Garamond" w:hAnsi="Calibri" w:cs="Calibri"/>
          <w:sz w:val="20"/>
          <w:szCs w:val="20"/>
          <w:lang w:val="en-US"/>
        </w:rPr>
        <w:t>: Data from Colden et al.</w:t>
      </w:r>
      <w:r w:rsidRPr="00724531">
        <w:rPr>
          <w:rFonts w:ascii="Calibri" w:eastAsia="Garamond" w:hAnsi="Calibri" w:cs="Calibri"/>
          <w:sz w:val="20"/>
          <w:szCs w:val="20"/>
          <w:vertAlign w:val="superscript"/>
          <w:lang w:val="en-US"/>
        </w:rPr>
        <w:t>1</w:t>
      </w:r>
    </w:p>
    <w:tbl>
      <w:tblPr>
        <w:tblW w:w="9795" w:type="dxa"/>
        <w:tblLayout w:type="fixed"/>
        <w:tblLook w:val="06A0" w:firstRow="1" w:lastRow="0" w:firstColumn="1" w:lastColumn="0" w:noHBand="1" w:noVBand="1"/>
      </w:tblPr>
      <w:tblGrid>
        <w:gridCol w:w="1605"/>
        <w:gridCol w:w="1448"/>
        <w:gridCol w:w="157"/>
        <w:gridCol w:w="1035"/>
        <w:gridCol w:w="123"/>
        <w:gridCol w:w="1275"/>
        <w:gridCol w:w="777"/>
        <w:gridCol w:w="778"/>
        <w:gridCol w:w="827"/>
        <w:gridCol w:w="353"/>
        <w:gridCol w:w="1327"/>
        <w:gridCol w:w="90"/>
      </w:tblGrid>
      <w:tr w:rsidR="00407224" w:rsidRPr="004F47FF" w14:paraId="2B912A0A" w14:textId="77777777" w:rsidTr="004F47FF">
        <w:trPr>
          <w:gridAfter w:val="1"/>
          <w:wAfter w:w="90" w:type="dxa"/>
          <w:trHeight w:val="630"/>
        </w:trPr>
        <w:tc>
          <w:tcPr>
            <w:tcW w:w="9705" w:type="dxa"/>
            <w:gridSpan w:val="11"/>
            <w:tcBorders>
              <w:top w:val="nil"/>
              <w:left w:val="nil"/>
            </w:tcBorders>
            <w:shd w:val="clear" w:color="auto" w:fill="auto"/>
            <w:vAlign w:val="bottom"/>
          </w:tcPr>
          <w:p w14:paraId="14EB8D1C" w14:textId="0EC670F0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Table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2. Complement Inhibitors - Dosing Regimens</w:t>
            </w:r>
          </w:p>
        </w:tc>
      </w:tr>
      <w:tr w:rsidR="00407224" w:rsidRPr="004F47FF" w14:paraId="363C6EB4" w14:textId="77777777" w:rsidTr="004F47FF">
        <w:trPr>
          <w:gridAfter w:val="1"/>
          <w:wAfter w:w="90" w:type="dxa"/>
          <w:trHeight w:val="315"/>
        </w:trPr>
        <w:tc>
          <w:tcPr>
            <w:tcW w:w="1605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  <w:vAlign w:val="bottom"/>
          </w:tcPr>
          <w:p w14:paraId="7B068451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  <w:vAlign w:val="bottom"/>
          </w:tcPr>
          <w:p w14:paraId="440F0A97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  <w:vAlign w:val="bottom"/>
          </w:tcPr>
          <w:p w14:paraId="101623BE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  <w:vAlign w:val="bottom"/>
          </w:tcPr>
          <w:p w14:paraId="3C65DE2E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  <w:vAlign w:val="bottom"/>
          </w:tcPr>
          <w:p w14:paraId="2B09605B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  <w:vAlign w:val="bottom"/>
          </w:tcPr>
          <w:p w14:paraId="21C24E24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407224" w:rsidRPr="004F47FF" w14:paraId="2E27615E" w14:textId="77777777" w:rsidTr="004F47FF">
        <w:trPr>
          <w:gridAfter w:val="1"/>
          <w:wAfter w:w="90" w:type="dxa"/>
          <w:trHeight w:val="795"/>
        </w:trPr>
        <w:tc>
          <w:tcPr>
            <w:tcW w:w="1605" w:type="dxa"/>
            <w:vMerge w:val="restart"/>
            <w:tcBorders>
              <w:top w:val="double" w:sz="5" w:space="0" w:color="auto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</w:tcPr>
          <w:p w14:paraId="476FCF00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Pegcetacoplan</w:t>
            </w:r>
          </w:p>
        </w:tc>
        <w:tc>
          <w:tcPr>
            <w:tcW w:w="2640" w:type="dxa"/>
            <w:gridSpan w:val="3"/>
            <w:vMerge w:val="restart"/>
            <w:tcBorders>
              <w:top w:val="double" w:sz="5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27650426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Treatment-switch patients</w:t>
            </w:r>
          </w:p>
        </w:tc>
        <w:tc>
          <w:tcPr>
            <w:tcW w:w="5460" w:type="dxa"/>
            <w:gridSpan w:val="7"/>
            <w:tcBorders>
              <w:top w:val="double" w:sz="5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5CF4C7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4-week run-in period: 1,080 mg pegcetacoplan twice weekly + current dose of C5 inhibitor</w:t>
            </w:r>
          </w:p>
        </w:tc>
      </w:tr>
      <w:tr w:rsidR="00407224" w:rsidRPr="004F47FF" w14:paraId="596BE753" w14:textId="77777777" w:rsidTr="004F47FF">
        <w:trPr>
          <w:gridAfter w:val="1"/>
          <w:wAfter w:w="90" w:type="dxa"/>
          <w:trHeight w:val="750"/>
        </w:trPr>
        <w:tc>
          <w:tcPr>
            <w:tcW w:w="160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7CF1C47" w14:textId="77777777" w:rsidR="00407224" w:rsidRPr="00EC7FB0" w:rsidRDefault="00407224" w:rsidP="00931BC4">
            <w:pPr>
              <w:rPr>
                <w:lang w:val="en-US"/>
              </w:rPr>
            </w:pPr>
          </w:p>
        </w:tc>
        <w:tc>
          <w:tcPr>
            <w:tcW w:w="264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14:paraId="1F7CB46D" w14:textId="77777777" w:rsidR="00407224" w:rsidRPr="00EC7FB0" w:rsidRDefault="00407224" w:rsidP="00931BC4">
            <w:pPr>
              <w:rPr>
                <w:lang w:val="en-US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14:paraId="0E226AE7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Maintenance period: 1,080 mg APL-2 SC administration twice weekly</w:t>
            </w:r>
          </w:p>
        </w:tc>
      </w:tr>
      <w:tr w:rsidR="00407224" w:rsidRPr="004F47FF" w14:paraId="7DA94F74" w14:textId="77777777" w:rsidTr="004F47FF">
        <w:trPr>
          <w:gridAfter w:val="1"/>
          <w:wAfter w:w="90" w:type="dxa"/>
          <w:trHeight w:val="510"/>
        </w:trPr>
        <w:tc>
          <w:tcPr>
            <w:tcW w:w="1605" w:type="dxa"/>
            <w:vMerge/>
            <w:tcBorders>
              <w:left w:val="nil"/>
              <w:bottom w:val="single" w:sz="0" w:space="0" w:color="000000" w:themeColor="text1"/>
            </w:tcBorders>
            <w:shd w:val="clear" w:color="auto" w:fill="auto"/>
            <w:vAlign w:val="center"/>
          </w:tcPr>
          <w:p w14:paraId="1B9638F7" w14:textId="77777777" w:rsidR="00407224" w:rsidRPr="00EC7FB0" w:rsidRDefault="00407224" w:rsidP="00931BC4">
            <w:pPr>
              <w:rPr>
                <w:lang w:val="en-US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D141F17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Treatment-naïve patients</w:t>
            </w:r>
          </w:p>
        </w:tc>
        <w:tc>
          <w:tcPr>
            <w:tcW w:w="54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7F99A82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1,080 mg APL-2 SC administration twice weekly</w:t>
            </w:r>
          </w:p>
        </w:tc>
      </w:tr>
      <w:tr w:rsidR="00407224" w:rsidRPr="004F47FF" w14:paraId="18AA37B0" w14:textId="77777777" w:rsidTr="004F47FF">
        <w:trPr>
          <w:gridAfter w:val="1"/>
          <w:wAfter w:w="90" w:type="dxa"/>
          <w:trHeight w:val="645"/>
        </w:trPr>
        <w:tc>
          <w:tcPr>
            <w:tcW w:w="1605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</w:tcPr>
          <w:p w14:paraId="635A1A5C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Eculizumab</w:t>
            </w:r>
          </w:p>
        </w:tc>
        <w:tc>
          <w:tcPr>
            <w:tcW w:w="26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B23A21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Treatment-switch patients</w:t>
            </w:r>
          </w:p>
        </w:tc>
        <w:tc>
          <w:tcPr>
            <w:tcW w:w="5460" w:type="dxa"/>
            <w:gridSpan w:val="7"/>
            <w:tcBorders>
              <w:top w:val="single" w:sz="8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14:paraId="5A6CBD62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900 mg IV infusion every 14 ± 2 days</w:t>
            </w:r>
          </w:p>
        </w:tc>
      </w:tr>
      <w:tr w:rsidR="00407224" w:rsidRPr="004F47FF" w14:paraId="2C2DD7C8" w14:textId="77777777" w:rsidTr="004F47FF">
        <w:trPr>
          <w:gridAfter w:val="1"/>
          <w:wAfter w:w="90" w:type="dxa"/>
          <w:trHeight w:val="690"/>
        </w:trPr>
        <w:tc>
          <w:tcPr>
            <w:tcW w:w="160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52721AB" w14:textId="77777777" w:rsidR="00407224" w:rsidRPr="00EC7FB0" w:rsidRDefault="00407224" w:rsidP="00931BC4">
            <w:pPr>
              <w:rPr>
                <w:lang w:val="en-US"/>
              </w:rPr>
            </w:pPr>
          </w:p>
        </w:tc>
        <w:tc>
          <w:tcPr>
            <w:tcW w:w="2640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</w:tcPr>
          <w:p w14:paraId="594388F1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Treatment-naïve patients</w:t>
            </w:r>
          </w:p>
        </w:tc>
        <w:tc>
          <w:tcPr>
            <w:tcW w:w="54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E96E01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Loading: 600 mg IV infusion every week for the first 4 weeks</w:t>
            </w:r>
          </w:p>
        </w:tc>
      </w:tr>
      <w:tr w:rsidR="00407224" w:rsidRPr="004F47FF" w14:paraId="6D568B35" w14:textId="77777777" w:rsidTr="004F47FF">
        <w:trPr>
          <w:gridAfter w:val="1"/>
          <w:wAfter w:w="90" w:type="dxa"/>
          <w:trHeight w:val="645"/>
        </w:trPr>
        <w:tc>
          <w:tcPr>
            <w:tcW w:w="160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5BBEF11" w14:textId="77777777" w:rsidR="00407224" w:rsidRPr="00EC7FB0" w:rsidRDefault="00407224" w:rsidP="00931BC4">
            <w:pPr>
              <w:rPr>
                <w:lang w:val="en-US"/>
              </w:rPr>
            </w:pPr>
          </w:p>
        </w:tc>
        <w:tc>
          <w:tcPr>
            <w:tcW w:w="264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14:paraId="45CF5018" w14:textId="77777777" w:rsidR="00407224" w:rsidRPr="00EC7FB0" w:rsidRDefault="00407224" w:rsidP="00931BC4">
            <w:pPr>
              <w:rPr>
                <w:lang w:val="en-US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bottom"/>
          </w:tcPr>
          <w:p w14:paraId="3D40785E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Maintenance: 900 mg for the fifth week, followed by 900 mg IV infusion every 14 ± 2 days</w:t>
            </w:r>
          </w:p>
        </w:tc>
      </w:tr>
      <w:tr w:rsidR="00407224" w14:paraId="1D51FE1E" w14:textId="77777777" w:rsidTr="004F47FF">
        <w:trPr>
          <w:gridAfter w:val="1"/>
          <w:wAfter w:w="90" w:type="dxa"/>
          <w:trHeight w:val="660"/>
        </w:trPr>
        <w:tc>
          <w:tcPr>
            <w:tcW w:w="1605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</w:tcPr>
          <w:p w14:paraId="2C276106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Ravulizumab</w:t>
            </w:r>
          </w:p>
        </w:tc>
        <w:tc>
          <w:tcPr>
            <w:tcW w:w="2640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DC1E4E3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Weight-based dosing 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76E422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Body weight range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AB601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Loading dose (mg)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53367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Maint. dose (mg)</w:t>
            </w:r>
          </w:p>
        </w:tc>
      </w:tr>
      <w:tr w:rsidR="00407224" w14:paraId="58EA4088" w14:textId="77777777" w:rsidTr="004F47FF">
        <w:trPr>
          <w:gridAfter w:val="1"/>
          <w:wAfter w:w="90" w:type="dxa"/>
          <w:trHeight w:val="300"/>
        </w:trPr>
        <w:tc>
          <w:tcPr>
            <w:tcW w:w="160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D8E7693" w14:textId="77777777" w:rsidR="00407224" w:rsidRDefault="00407224" w:rsidP="00931BC4"/>
        </w:tc>
        <w:tc>
          <w:tcPr>
            <w:tcW w:w="264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14:paraId="0D67CFA7" w14:textId="77777777" w:rsidR="00407224" w:rsidRDefault="00407224" w:rsidP="00931BC4"/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960305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≥40 to &lt;60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ED05A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2.400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8BD7FF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3.000</w:t>
            </w:r>
          </w:p>
        </w:tc>
      </w:tr>
      <w:tr w:rsidR="00407224" w14:paraId="062D5291" w14:textId="77777777" w:rsidTr="004F47FF">
        <w:trPr>
          <w:gridAfter w:val="1"/>
          <w:wAfter w:w="90" w:type="dxa"/>
          <w:trHeight w:val="300"/>
        </w:trPr>
        <w:tc>
          <w:tcPr>
            <w:tcW w:w="160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DBA74A7" w14:textId="77777777" w:rsidR="00407224" w:rsidRDefault="00407224" w:rsidP="00931BC4"/>
        </w:tc>
        <w:tc>
          <w:tcPr>
            <w:tcW w:w="264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14:paraId="6519FCF0" w14:textId="77777777" w:rsidR="00407224" w:rsidRDefault="00407224" w:rsidP="00931BC4"/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096DF6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≥60 to &lt;100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C49FD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2.700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F3DA9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3.300</w:t>
            </w:r>
          </w:p>
        </w:tc>
      </w:tr>
      <w:tr w:rsidR="00407224" w14:paraId="2A846C8A" w14:textId="77777777" w:rsidTr="004F47FF">
        <w:trPr>
          <w:gridAfter w:val="1"/>
          <w:wAfter w:w="90" w:type="dxa"/>
          <w:trHeight w:val="300"/>
        </w:trPr>
        <w:tc>
          <w:tcPr>
            <w:tcW w:w="160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3C533CF" w14:textId="77777777" w:rsidR="00407224" w:rsidRDefault="00407224" w:rsidP="00931BC4"/>
        </w:tc>
        <w:tc>
          <w:tcPr>
            <w:tcW w:w="2640" w:type="dxa"/>
            <w:gridSpan w:val="3"/>
            <w:vMerge/>
            <w:tcBorders>
              <w:left w:val="nil"/>
              <w:bottom w:val="single" w:sz="0" w:space="0" w:color="000000" w:themeColor="text1"/>
            </w:tcBorders>
            <w:shd w:val="clear" w:color="auto" w:fill="auto"/>
            <w:vAlign w:val="center"/>
          </w:tcPr>
          <w:p w14:paraId="0F614958" w14:textId="77777777" w:rsidR="00407224" w:rsidRDefault="00407224" w:rsidP="00931BC4"/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4770D7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≥100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C0A09A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DE0C22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3.600</w:t>
            </w:r>
          </w:p>
        </w:tc>
      </w:tr>
      <w:tr w:rsidR="00407224" w14:paraId="04E29426" w14:textId="77777777" w:rsidTr="004F47FF">
        <w:trPr>
          <w:gridAfter w:val="1"/>
          <w:wAfter w:w="90" w:type="dxa"/>
          <w:trHeight w:val="450"/>
        </w:trPr>
        <w:tc>
          <w:tcPr>
            <w:tcW w:w="1605" w:type="dxa"/>
            <w:vMerge/>
            <w:tcBorders>
              <w:left w:val="nil"/>
              <w:bottom w:val="single" w:sz="0" w:space="0" w:color="000000" w:themeColor="text1"/>
            </w:tcBorders>
            <w:shd w:val="clear" w:color="auto" w:fill="auto"/>
            <w:vAlign w:val="center"/>
          </w:tcPr>
          <w:p w14:paraId="3544AB19" w14:textId="77777777" w:rsidR="00407224" w:rsidRDefault="00407224" w:rsidP="00931BC4"/>
        </w:tc>
        <w:tc>
          <w:tcPr>
            <w:tcW w:w="264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4A411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Loading dose</w:t>
            </w:r>
          </w:p>
        </w:tc>
        <w:tc>
          <w:tcPr>
            <w:tcW w:w="54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6ECAD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Weight-based IV infusion</w:t>
            </w:r>
          </w:p>
        </w:tc>
      </w:tr>
      <w:tr w:rsidR="00407224" w:rsidRPr="004F47FF" w14:paraId="7639D55C" w14:textId="77777777" w:rsidTr="004F47FF">
        <w:trPr>
          <w:gridAfter w:val="1"/>
          <w:wAfter w:w="90" w:type="dxa"/>
          <w:trHeight w:val="509"/>
        </w:trPr>
        <w:tc>
          <w:tcPr>
            <w:tcW w:w="160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35A2D7B" w14:textId="77777777" w:rsidR="00407224" w:rsidRDefault="00407224" w:rsidP="00931BC4"/>
        </w:tc>
        <w:tc>
          <w:tcPr>
            <w:tcW w:w="264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14:paraId="358F7996" w14:textId="77777777" w:rsidR="00407224" w:rsidRDefault="00407224" w:rsidP="00931BC4"/>
        </w:tc>
        <w:tc>
          <w:tcPr>
            <w:tcW w:w="5460" w:type="dxa"/>
            <w:gridSpan w:val="7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14:paraId="5C384848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*For treatment-switch patients, administer ravulizumab 2 weeks after last dose of eculizumab</w:t>
            </w:r>
          </w:p>
        </w:tc>
      </w:tr>
      <w:tr w:rsidR="00407224" w:rsidRPr="004F47FF" w14:paraId="063A0F98" w14:textId="77777777" w:rsidTr="004F47FF">
        <w:trPr>
          <w:gridAfter w:val="1"/>
          <w:wAfter w:w="90" w:type="dxa"/>
          <w:trHeight w:val="300"/>
        </w:trPr>
        <w:tc>
          <w:tcPr>
            <w:tcW w:w="160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3BB1725" w14:textId="77777777" w:rsidR="00407224" w:rsidRPr="00EC7FB0" w:rsidRDefault="00407224" w:rsidP="00931BC4">
            <w:pPr>
              <w:rPr>
                <w:lang w:val="en-US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73AF7F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2078CD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460" w:type="dxa"/>
            <w:gridSpan w:val="7"/>
            <w:vMerge/>
            <w:tcBorders>
              <w:left w:val="nil"/>
              <w:bottom w:val="single" w:sz="0" w:space="0" w:color="000000" w:themeColor="text1"/>
            </w:tcBorders>
            <w:shd w:val="clear" w:color="auto" w:fill="auto"/>
            <w:vAlign w:val="center"/>
          </w:tcPr>
          <w:p w14:paraId="78C705E5" w14:textId="77777777" w:rsidR="00407224" w:rsidRPr="00EC7FB0" w:rsidRDefault="00407224" w:rsidP="00931BC4">
            <w:pPr>
              <w:rPr>
                <w:lang w:val="en-US"/>
              </w:rPr>
            </w:pPr>
          </w:p>
        </w:tc>
      </w:tr>
      <w:tr w:rsidR="00407224" w:rsidRPr="004F47FF" w14:paraId="3100B9C6" w14:textId="77777777" w:rsidTr="004F47FF">
        <w:trPr>
          <w:gridAfter w:val="1"/>
          <w:wAfter w:w="90" w:type="dxa"/>
          <w:trHeight w:val="450"/>
        </w:trPr>
        <w:tc>
          <w:tcPr>
            <w:tcW w:w="160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C74DD35" w14:textId="77777777" w:rsidR="00407224" w:rsidRPr="00EC7FB0" w:rsidRDefault="00407224" w:rsidP="00931BC4">
            <w:pPr>
              <w:rPr>
                <w:lang w:val="en-US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5733CA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Maintenance dose </w:t>
            </w:r>
          </w:p>
        </w:tc>
        <w:tc>
          <w:tcPr>
            <w:tcW w:w="5460" w:type="dxa"/>
            <w:gridSpan w:val="7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bottom"/>
          </w:tcPr>
          <w:p w14:paraId="6E6A97D5" w14:textId="77777777" w:rsidR="00407224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0A4FC337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W</w:t>
            </w: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eight-based IV infusion every 8 weeks starting 2 weeks after the loading dose </w:t>
            </w:r>
          </w:p>
        </w:tc>
      </w:tr>
      <w:tr w:rsidR="00407224" w:rsidRPr="004F47FF" w14:paraId="54863BA8" w14:textId="77777777" w:rsidTr="004F47FF">
        <w:trPr>
          <w:gridAfter w:val="1"/>
          <w:wAfter w:w="90" w:type="dxa"/>
          <w:trHeight w:val="315"/>
        </w:trPr>
        <w:tc>
          <w:tcPr>
            <w:tcW w:w="1605" w:type="dxa"/>
            <w:vMerge/>
            <w:tcBorders>
              <w:left w:val="nil"/>
              <w:bottom w:val="single" w:sz="0" w:space="0" w:color="000000" w:themeColor="text1"/>
            </w:tcBorders>
            <w:shd w:val="clear" w:color="auto" w:fill="auto"/>
            <w:vAlign w:val="center"/>
          </w:tcPr>
          <w:p w14:paraId="03E39B87" w14:textId="77777777" w:rsidR="00407224" w:rsidRPr="00EC7FB0" w:rsidRDefault="00407224" w:rsidP="00931BC4">
            <w:pPr>
              <w:rPr>
                <w:lang w:val="en-US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DD23F2B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5CE2625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460" w:type="dxa"/>
            <w:gridSpan w:val="7"/>
            <w:vMerge/>
            <w:tcBorders>
              <w:left w:val="nil"/>
              <w:bottom w:val="single" w:sz="0" w:space="0" w:color="000000" w:themeColor="text1"/>
            </w:tcBorders>
            <w:shd w:val="clear" w:color="auto" w:fill="auto"/>
            <w:vAlign w:val="center"/>
          </w:tcPr>
          <w:p w14:paraId="209A24E5" w14:textId="77777777" w:rsidR="00407224" w:rsidRPr="00EC7FB0" w:rsidRDefault="00407224" w:rsidP="00931BC4">
            <w:pPr>
              <w:rPr>
                <w:lang w:val="en-US"/>
              </w:rPr>
            </w:pPr>
          </w:p>
        </w:tc>
      </w:tr>
      <w:tr w:rsidR="00407224" w:rsidRPr="004F47FF" w14:paraId="200420A0" w14:textId="77777777" w:rsidTr="004F47FF">
        <w:trPr>
          <w:trHeight w:val="300"/>
        </w:trPr>
        <w:tc>
          <w:tcPr>
            <w:tcW w:w="9795" w:type="dxa"/>
            <w:gridSpan w:val="12"/>
            <w:tcBorders>
              <w:top w:val="nil"/>
              <w:left w:val="nil"/>
            </w:tcBorders>
            <w:shd w:val="clear" w:color="auto" w:fill="auto"/>
            <w:vAlign w:val="bottom"/>
          </w:tcPr>
          <w:p w14:paraId="05DADF09" w14:textId="774A514E" w:rsidR="00724531" w:rsidRPr="00724531" w:rsidRDefault="00724531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Note: </w:t>
            </w:r>
            <w:r w:rsidRPr="0072453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Data from Merck &amp; Co. MSD manuals professional edition. S.d.</w:t>
            </w:r>
            <w:r w:rsidRPr="0072453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</w:p>
          <w:p w14:paraId="17FD67BD" w14:textId="77777777" w:rsidR="00724531" w:rsidRDefault="00724531" w:rsidP="00931BC4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E5BB85A" w14:textId="77777777" w:rsidR="00724531" w:rsidRDefault="00724531" w:rsidP="00931BC4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1D389DA2" w14:textId="3B6DD47D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Table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3. BSC Treatments - Drug Prices</w:t>
            </w:r>
          </w:p>
        </w:tc>
      </w:tr>
      <w:tr w:rsidR="00407224" w14:paraId="7D8E8C2C" w14:textId="77777777" w:rsidTr="004F47FF">
        <w:trPr>
          <w:trHeight w:val="315"/>
        </w:trPr>
        <w:tc>
          <w:tcPr>
            <w:tcW w:w="3053" w:type="dxa"/>
            <w:gridSpan w:val="2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</w:tcPr>
          <w:p w14:paraId="59646C9F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Treatment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</w:tcPr>
          <w:p w14:paraId="7CA7E913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Drug Name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</w:tcPr>
          <w:p w14:paraId="50A56B86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Price/mg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</w:tcPr>
          <w:p w14:paraId="751AC3A0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Dosing Regimen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</w:tcPr>
          <w:p w14:paraId="1ECFCA10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Costs Per Cycle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</w:tcPr>
          <w:p w14:paraId="248781E2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Treat. Usage (%)</w:t>
            </w:r>
          </w:p>
        </w:tc>
      </w:tr>
      <w:tr w:rsidR="00407224" w14:paraId="3254FF14" w14:textId="77777777" w:rsidTr="004F47FF">
        <w:trPr>
          <w:trHeight w:val="615"/>
        </w:trPr>
        <w:tc>
          <w:tcPr>
            <w:tcW w:w="3053" w:type="dxa"/>
            <w:gridSpan w:val="2"/>
            <w:vMerge w:val="restart"/>
            <w:tcBorders>
              <w:top w:val="double" w:sz="5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60A4625A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Anticoagulation</w:t>
            </w:r>
          </w:p>
        </w:tc>
        <w:tc>
          <w:tcPr>
            <w:tcW w:w="1315" w:type="dxa"/>
            <w:gridSpan w:val="3"/>
            <w:vMerge w:val="restart"/>
            <w:tcBorders>
              <w:top w:val="double" w:sz="5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D5E05F7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Warfarin</w:t>
            </w:r>
          </w:p>
        </w:tc>
        <w:tc>
          <w:tcPr>
            <w:tcW w:w="1275" w:type="dxa"/>
            <w:vMerge w:val="restart"/>
            <w:tcBorders>
              <w:top w:val="double" w:sz="5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B17A474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0,016 €</w:t>
            </w:r>
          </w:p>
        </w:tc>
        <w:tc>
          <w:tcPr>
            <w:tcW w:w="1555" w:type="dxa"/>
            <w:gridSpan w:val="2"/>
            <w:vMerge w:val="restart"/>
            <w:tcBorders>
              <w:top w:val="double" w:sz="5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14:paraId="150CDA2C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3-9 mg daily (assuming 6mg)</w:t>
            </w:r>
          </w:p>
        </w:tc>
        <w:tc>
          <w:tcPr>
            <w:tcW w:w="1180" w:type="dxa"/>
            <w:gridSpan w:val="2"/>
            <w:tcBorders>
              <w:top w:val="double" w:sz="5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A9045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2,710 €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B1D6913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58,00%</w:t>
            </w:r>
          </w:p>
        </w:tc>
      </w:tr>
      <w:tr w:rsidR="00407224" w14:paraId="5A2350DE" w14:textId="77777777" w:rsidTr="004F47FF">
        <w:trPr>
          <w:trHeight w:val="300"/>
        </w:trPr>
        <w:tc>
          <w:tcPr>
            <w:tcW w:w="3053" w:type="dxa"/>
            <w:gridSpan w:val="2"/>
            <w:vMerge/>
            <w:tcBorders>
              <w:left w:val="nil"/>
              <w:bottom w:val="single" w:sz="0" w:space="0" w:color="000000" w:themeColor="text1"/>
            </w:tcBorders>
            <w:shd w:val="clear" w:color="auto" w:fill="auto"/>
            <w:vAlign w:val="center"/>
          </w:tcPr>
          <w:p w14:paraId="01CA81CE" w14:textId="77777777" w:rsidR="00407224" w:rsidRDefault="00407224" w:rsidP="00931BC4"/>
        </w:tc>
        <w:tc>
          <w:tcPr>
            <w:tcW w:w="1315" w:type="dxa"/>
            <w:gridSpan w:val="3"/>
            <w:vMerge/>
            <w:tcBorders>
              <w:left w:val="nil"/>
              <w:bottom w:val="single" w:sz="0" w:space="0" w:color="000000" w:themeColor="text1"/>
            </w:tcBorders>
            <w:shd w:val="clear" w:color="auto" w:fill="auto"/>
            <w:vAlign w:val="center"/>
          </w:tcPr>
          <w:p w14:paraId="50E25FA7" w14:textId="77777777" w:rsidR="00407224" w:rsidRDefault="00407224" w:rsidP="00931BC4"/>
        </w:tc>
        <w:tc>
          <w:tcPr>
            <w:tcW w:w="1275" w:type="dxa"/>
            <w:vMerge/>
            <w:tcBorders>
              <w:left w:val="nil"/>
              <w:bottom w:val="single" w:sz="0" w:space="0" w:color="000000" w:themeColor="text1"/>
            </w:tcBorders>
            <w:shd w:val="clear" w:color="auto" w:fill="auto"/>
            <w:vAlign w:val="center"/>
          </w:tcPr>
          <w:p w14:paraId="177C5CC5" w14:textId="77777777" w:rsidR="00407224" w:rsidRDefault="00407224" w:rsidP="00931BC4"/>
        </w:tc>
        <w:tc>
          <w:tcPr>
            <w:tcW w:w="1555" w:type="dxa"/>
            <w:gridSpan w:val="2"/>
            <w:vMerge/>
            <w:tcBorders>
              <w:left w:val="nil"/>
              <w:bottom w:val="single" w:sz="0" w:space="0" w:color="000000" w:themeColor="text1"/>
            </w:tcBorders>
            <w:shd w:val="clear" w:color="auto" w:fill="auto"/>
            <w:vAlign w:val="center"/>
          </w:tcPr>
          <w:p w14:paraId="18FFA68B" w14:textId="77777777" w:rsidR="00407224" w:rsidRDefault="00407224" w:rsidP="00931BC4"/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4E615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0" w:space="0" w:color="000000" w:themeColor="text1"/>
            </w:tcBorders>
            <w:shd w:val="clear" w:color="auto" w:fill="auto"/>
            <w:vAlign w:val="center"/>
          </w:tcPr>
          <w:p w14:paraId="2B1B8753" w14:textId="77777777" w:rsidR="00407224" w:rsidRDefault="00407224" w:rsidP="00931BC4"/>
        </w:tc>
      </w:tr>
      <w:tr w:rsidR="00407224" w14:paraId="32B5416B" w14:textId="77777777" w:rsidTr="004F47FF">
        <w:trPr>
          <w:trHeight w:val="300"/>
        </w:trPr>
        <w:tc>
          <w:tcPr>
            <w:tcW w:w="3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E24D10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Ciclosporin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B30E51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Ciclosporin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391968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0,011 €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909EC5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6mg/kg daily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27CC4C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132,842 €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D56CA1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14,00%</w:t>
            </w:r>
          </w:p>
        </w:tc>
      </w:tr>
      <w:tr w:rsidR="00407224" w14:paraId="78425E6E" w14:textId="77777777" w:rsidTr="004F47FF">
        <w:trPr>
          <w:trHeight w:val="945"/>
        </w:trPr>
        <w:tc>
          <w:tcPr>
            <w:tcW w:w="3053" w:type="dxa"/>
            <w:gridSpan w:val="2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</w:tcPr>
          <w:p w14:paraId="6E9B730B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Androgens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</w:tcPr>
          <w:p w14:paraId="5C9970A5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Danazol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</w:tcPr>
          <w:p w14:paraId="05834954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0,002 €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bottom"/>
          </w:tcPr>
          <w:p w14:paraId="18A0D7C3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100 mg orally twice daily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</w:tcPr>
          <w:p w14:paraId="6D8208D0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11,499 €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</w:tcPr>
          <w:p w14:paraId="3098FD83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3,00%</w:t>
            </w:r>
          </w:p>
        </w:tc>
      </w:tr>
    </w:tbl>
    <w:p w14:paraId="642B8623" w14:textId="3DA28231" w:rsidR="00407224" w:rsidRPr="00724531" w:rsidRDefault="00724531" w:rsidP="00407224">
      <w:pPr>
        <w:spacing w:line="480" w:lineRule="auto"/>
        <w:jc w:val="both"/>
        <w:rPr>
          <w:rFonts w:ascii="Calibri" w:eastAsia="Garamond" w:hAnsi="Calibri" w:cs="Calibri"/>
          <w:lang w:val="en-US"/>
        </w:rPr>
      </w:pPr>
      <w:r w:rsidRPr="00724531">
        <w:rPr>
          <w:rFonts w:ascii="Calibri" w:eastAsia="Garamond" w:hAnsi="Calibri" w:cs="Calibri"/>
          <w:b/>
          <w:bCs/>
          <w:lang w:val="en-US"/>
        </w:rPr>
        <w:t>Note</w:t>
      </w:r>
      <w:r w:rsidRPr="00724531">
        <w:rPr>
          <w:rFonts w:ascii="Calibri" w:eastAsia="Garamond" w:hAnsi="Calibri" w:cs="Calibri"/>
          <w:lang w:val="en-US"/>
        </w:rPr>
        <w:t>: Data from Hill et al.</w:t>
      </w:r>
      <w:r w:rsidRPr="00724531">
        <w:rPr>
          <w:rFonts w:ascii="Calibri" w:eastAsia="Garamond" w:hAnsi="Calibri" w:cs="Calibri"/>
          <w:vertAlign w:val="superscript"/>
          <w:lang w:val="en-US"/>
        </w:rPr>
        <w:t>3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630"/>
        <w:gridCol w:w="1410"/>
        <w:gridCol w:w="1125"/>
        <w:gridCol w:w="1815"/>
        <w:gridCol w:w="1290"/>
        <w:gridCol w:w="360"/>
      </w:tblGrid>
      <w:tr w:rsidR="00407224" w14:paraId="47D6B93D" w14:textId="77777777" w:rsidTr="00931BC4">
        <w:trPr>
          <w:trHeight w:val="300"/>
        </w:trPr>
        <w:tc>
          <w:tcPr>
            <w:tcW w:w="9270" w:type="dxa"/>
            <w:gridSpan w:val="5"/>
            <w:tcBorders>
              <w:top w:val="nil"/>
              <w:left w:val="nil"/>
            </w:tcBorders>
            <w:shd w:val="clear" w:color="auto" w:fill="auto"/>
            <w:vAlign w:val="bottom"/>
          </w:tcPr>
          <w:p w14:paraId="74C5D144" w14:textId="17FD4110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Table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4. Supportive Treatments </w:t>
            </w:r>
          </w:p>
          <w:p w14:paraId="63FA14C3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FB6ECF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619622C1" w14:textId="77777777" w:rsidTr="00931BC4">
        <w:trPr>
          <w:trHeight w:val="315"/>
        </w:trPr>
        <w:tc>
          <w:tcPr>
            <w:tcW w:w="3630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  <w:vAlign w:val="center"/>
          </w:tcPr>
          <w:p w14:paraId="138D424A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Treatment</w:t>
            </w:r>
          </w:p>
        </w:tc>
        <w:tc>
          <w:tcPr>
            <w:tcW w:w="1410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  <w:vAlign w:val="center"/>
          </w:tcPr>
          <w:p w14:paraId="2D34BE4A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Drug Name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  <w:vAlign w:val="center"/>
          </w:tcPr>
          <w:p w14:paraId="5B74F991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Price/mg</w:t>
            </w:r>
          </w:p>
        </w:tc>
        <w:tc>
          <w:tcPr>
            <w:tcW w:w="1815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  <w:vAlign w:val="center"/>
          </w:tcPr>
          <w:p w14:paraId="319723F7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Dosing Regimen</w:t>
            </w:r>
          </w:p>
        </w:tc>
        <w:tc>
          <w:tcPr>
            <w:tcW w:w="1290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  <w:vAlign w:val="center"/>
          </w:tcPr>
          <w:p w14:paraId="0E4B90FA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Costs Per Cycle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57CEC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60401586" w14:textId="77777777" w:rsidTr="00931BC4">
        <w:trPr>
          <w:trHeight w:val="315"/>
        </w:trPr>
        <w:tc>
          <w:tcPr>
            <w:tcW w:w="3630" w:type="dxa"/>
            <w:tcBorders>
              <w:top w:val="double" w:sz="5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C028B8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Corticosteroids/immunosuppressants</w:t>
            </w:r>
          </w:p>
        </w:tc>
        <w:tc>
          <w:tcPr>
            <w:tcW w:w="1410" w:type="dxa"/>
            <w:tcBorders>
              <w:top w:val="double" w:sz="5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E6F62F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Prednisone</w:t>
            </w:r>
          </w:p>
        </w:tc>
        <w:tc>
          <w:tcPr>
            <w:tcW w:w="1125" w:type="dxa"/>
            <w:tcBorders>
              <w:top w:val="double" w:sz="5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7F2CAA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0,014 €</w:t>
            </w:r>
          </w:p>
        </w:tc>
        <w:tc>
          <w:tcPr>
            <w:tcW w:w="1815" w:type="dxa"/>
            <w:tcBorders>
              <w:top w:val="double" w:sz="5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E12317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5 mg once daily</w:t>
            </w:r>
          </w:p>
        </w:tc>
        <w:tc>
          <w:tcPr>
            <w:tcW w:w="1290" w:type="dxa"/>
            <w:tcBorders>
              <w:top w:val="double" w:sz="5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0C1613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1,90 €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B7C651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58690EA3" w14:textId="77777777" w:rsidTr="00931BC4">
        <w:trPr>
          <w:trHeight w:val="630"/>
        </w:trPr>
        <w:tc>
          <w:tcPr>
            <w:tcW w:w="363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869883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Prophylactic antibiotics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795A378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Ciproxin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AD102D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0,003 €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528987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500 mg daily 14 days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</w:tcPr>
          <w:p w14:paraId="1D72F190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sz w:val="20"/>
                <w:szCs w:val="20"/>
              </w:rPr>
              <w:t>21,373 €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9DBFB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37C08455" w14:textId="77777777" w:rsidTr="00931BC4">
        <w:trPr>
          <w:trHeight w:val="315"/>
        </w:trPr>
        <w:tc>
          <w:tcPr>
            <w:tcW w:w="3630" w:type="dxa"/>
            <w:vMerge/>
            <w:tcBorders>
              <w:top w:val="single" w:sz="0" w:space="0" w:color="auto"/>
              <w:left w:val="nil"/>
              <w:bottom w:val="single" w:sz="0" w:space="0" w:color="auto"/>
            </w:tcBorders>
            <w:shd w:val="clear" w:color="auto" w:fill="auto"/>
            <w:vAlign w:val="center"/>
          </w:tcPr>
          <w:p w14:paraId="516376FA" w14:textId="77777777" w:rsidR="00407224" w:rsidRDefault="00407224" w:rsidP="00931BC4"/>
        </w:tc>
        <w:tc>
          <w:tcPr>
            <w:tcW w:w="1410" w:type="dxa"/>
            <w:vMerge/>
            <w:tcBorders>
              <w:top w:val="single" w:sz="0" w:space="0" w:color="auto"/>
              <w:left w:val="nil"/>
              <w:bottom w:val="single" w:sz="0" w:space="0" w:color="auto"/>
            </w:tcBorders>
            <w:shd w:val="clear" w:color="auto" w:fill="auto"/>
            <w:vAlign w:val="center"/>
          </w:tcPr>
          <w:p w14:paraId="6FD84702" w14:textId="77777777" w:rsidR="00407224" w:rsidRDefault="00407224" w:rsidP="00931BC4"/>
        </w:tc>
        <w:tc>
          <w:tcPr>
            <w:tcW w:w="1125" w:type="dxa"/>
            <w:vMerge/>
            <w:tcBorders>
              <w:top w:val="single" w:sz="0" w:space="0" w:color="auto"/>
              <w:left w:val="nil"/>
              <w:bottom w:val="single" w:sz="0" w:space="0" w:color="auto"/>
            </w:tcBorders>
            <w:shd w:val="clear" w:color="auto" w:fill="auto"/>
            <w:vAlign w:val="center"/>
          </w:tcPr>
          <w:p w14:paraId="57291109" w14:textId="77777777" w:rsidR="00407224" w:rsidRDefault="00407224" w:rsidP="00931BC4"/>
        </w:tc>
        <w:tc>
          <w:tcPr>
            <w:tcW w:w="1815" w:type="dxa"/>
            <w:vMerge/>
            <w:tcBorders>
              <w:top w:val="single" w:sz="0" w:space="0" w:color="auto"/>
              <w:left w:val="nil"/>
              <w:bottom w:val="single" w:sz="0" w:space="0" w:color="auto"/>
            </w:tcBorders>
            <w:shd w:val="clear" w:color="auto" w:fill="auto"/>
            <w:vAlign w:val="center"/>
          </w:tcPr>
          <w:p w14:paraId="5D7F631B" w14:textId="77777777" w:rsidR="00407224" w:rsidRDefault="00407224" w:rsidP="00931BC4"/>
        </w:tc>
        <w:tc>
          <w:tcPr>
            <w:tcW w:w="1290" w:type="dxa"/>
            <w:vMerge/>
            <w:tcBorders>
              <w:top w:val="single" w:sz="0" w:space="0" w:color="auto"/>
              <w:left w:val="nil"/>
              <w:bottom w:val="single" w:sz="0" w:space="0" w:color="000000" w:themeColor="text1"/>
            </w:tcBorders>
            <w:shd w:val="clear" w:color="auto" w:fill="auto"/>
            <w:vAlign w:val="center"/>
          </w:tcPr>
          <w:p w14:paraId="7B09DEAB" w14:textId="77777777" w:rsidR="00407224" w:rsidRDefault="00407224" w:rsidP="00931BC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B03A7C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</w:tbl>
    <w:p w14:paraId="24255D14" w14:textId="0C97FBC6" w:rsidR="00407224" w:rsidRPr="00724531" w:rsidRDefault="00724531" w:rsidP="00407224">
      <w:pPr>
        <w:spacing w:line="480" w:lineRule="auto"/>
        <w:jc w:val="both"/>
        <w:rPr>
          <w:rFonts w:ascii="Calibri" w:eastAsia="Garamond" w:hAnsi="Calibri" w:cs="Calibri"/>
          <w:lang w:val="en-US"/>
        </w:rPr>
      </w:pPr>
      <w:r w:rsidRPr="00724531">
        <w:rPr>
          <w:rFonts w:ascii="Calibri" w:eastAsia="Garamond" w:hAnsi="Calibri" w:cs="Calibri"/>
          <w:b/>
          <w:bCs/>
          <w:lang w:val="en-US"/>
        </w:rPr>
        <w:t>Note</w:t>
      </w:r>
      <w:r w:rsidRPr="00724531">
        <w:rPr>
          <w:rFonts w:ascii="Calibri" w:eastAsia="Garamond" w:hAnsi="Calibri" w:cs="Calibri"/>
          <w:lang w:val="en-US"/>
        </w:rPr>
        <w:t>: Data from Colden et al.</w:t>
      </w:r>
      <w:r w:rsidRPr="00724531">
        <w:rPr>
          <w:rFonts w:ascii="Calibri" w:eastAsia="Garamond" w:hAnsi="Calibri" w:cs="Calibri"/>
          <w:vertAlign w:val="superscript"/>
          <w:lang w:val="en-US"/>
        </w:rPr>
        <w:t>1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053"/>
        <w:gridCol w:w="1315"/>
        <w:gridCol w:w="1315"/>
        <w:gridCol w:w="1315"/>
        <w:gridCol w:w="1315"/>
        <w:gridCol w:w="1315"/>
      </w:tblGrid>
      <w:tr w:rsidR="00407224" w:rsidRPr="004F47FF" w14:paraId="5F38950A" w14:textId="77777777" w:rsidTr="00931BC4">
        <w:trPr>
          <w:trHeight w:val="300"/>
        </w:trPr>
        <w:tc>
          <w:tcPr>
            <w:tcW w:w="4368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14:paraId="48708170" w14:textId="7E552190" w:rsidR="00407224" w:rsidRPr="00163428" w:rsidRDefault="00407224" w:rsidP="00931BC4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6342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Table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Pr="0016342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5. Other Resource Use Cost</w:t>
            </w:r>
          </w:p>
          <w:p w14:paraId="1F226FDE" w14:textId="77777777" w:rsidR="00407224" w:rsidRPr="00163428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342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A6ABF" w14:textId="77777777" w:rsidR="00407224" w:rsidRPr="00163428" w:rsidRDefault="00407224" w:rsidP="00931BC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DE5BA" w14:textId="77777777" w:rsidR="00407224" w:rsidRPr="00163428" w:rsidRDefault="00407224" w:rsidP="00931BC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72B6DC" w14:textId="77777777" w:rsidR="00407224" w:rsidRPr="00163428" w:rsidRDefault="00407224" w:rsidP="00931BC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DDE8CB" w14:textId="77777777" w:rsidR="00407224" w:rsidRPr="00163428" w:rsidRDefault="00407224" w:rsidP="00931BC4">
            <w:pPr>
              <w:rPr>
                <w:sz w:val="20"/>
                <w:szCs w:val="20"/>
                <w:lang w:val="en-US"/>
              </w:rPr>
            </w:pPr>
          </w:p>
        </w:tc>
      </w:tr>
      <w:tr w:rsidR="00407224" w14:paraId="18673623" w14:textId="77777777" w:rsidTr="00931BC4">
        <w:trPr>
          <w:trHeight w:val="315"/>
        </w:trPr>
        <w:tc>
          <w:tcPr>
            <w:tcW w:w="3053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  <w:vAlign w:val="center"/>
          </w:tcPr>
          <w:p w14:paraId="18BA8856" w14:textId="77777777" w:rsidR="00407224" w:rsidRPr="00163428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342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  <w:vAlign w:val="center"/>
          </w:tcPr>
          <w:p w14:paraId="470D0DB4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Unit Cost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D390A6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11D7B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B49DC0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148CB7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5074F788" w14:textId="77777777" w:rsidTr="00931BC4">
        <w:trPr>
          <w:trHeight w:val="315"/>
        </w:trPr>
        <w:tc>
          <w:tcPr>
            <w:tcW w:w="3053" w:type="dxa"/>
            <w:tcBorders>
              <w:top w:val="double" w:sz="5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949549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GP visit</w:t>
            </w:r>
          </w:p>
        </w:tc>
        <w:tc>
          <w:tcPr>
            <w:tcW w:w="1315" w:type="dxa"/>
            <w:tcBorders>
              <w:top w:val="double" w:sz="5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2FF0AE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15,58 €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110E9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2A258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FAF2CB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413402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19BF37E9" w14:textId="77777777" w:rsidTr="00931BC4">
        <w:trPr>
          <w:trHeight w:val="300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490F33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Hematologist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D8D57E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20,66 €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324EF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C965B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0D701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95392D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03C8A157" w14:textId="77777777" w:rsidTr="00931BC4">
        <w:trPr>
          <w:trHeight w:val="300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0A0D6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Oncologist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71E9C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20,66 €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E43F5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1B618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37105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37190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210B2709" w14:textId="77777777" w:rsidTr="00931BC4">
        <w:trPr>
          <w:trHeight w:val="315"/>
        </w:trPr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2E24313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Blood test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D33F9C7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91,29 €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024B3E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0D5E6B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C00FF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EEED1D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</w:tbl>
    <w:p w14:paraId="2ED4C223" w14:textId="57C71C5D" w:rsidR="00407224" w:rsidRPr="00724531" w:rsidRDefault="00724531" w:rsidP="00407224">
      <w:pPr>
        <w:spacing w:line="480" w:lineRule="auto"/>
        <w:jc w:val="both"/>
        <w:rPr>
          <w:rFonts w:ascii="Calibri" w:eastAsia="Garamond" w:hAnsi="Calibri" w:cs="Calibri"/>
          <w:lang w:val="en-US"/>
        </w:rPr>
      </w:pPr>
      <w:r w:rsidRPr="00724531">
        <w:rPr>
          <w:rFonts w:ascii="Calibri" w:eastAsia="Garamond" w:hAnsi="Calibri" w:cs="Calibri"/>
          <w:b/>
          <w:bCs/>
          <w:lang w:val="en-US"/>
        </w:rPr>
        <w:t>Note</w:t>
      </w:r>
      <w:r w:rsidRPr="00724531">
        <w:rPr>
          <w:rFonts w:ascii="Calibri" w:eastAsia="Garamond" w:hAnsi="Calibri" w:cs="Calibri"/>
          <w:lang w:val="en-US"/>
        </w:rPr>
        <w:t>: Data from Colden et al.</w:t>
      </w:r>
      <w:r w:rsidRPr="00724531">
        <w:rPr>
          <w:rFonts w:ascii="Calibri" w:eastAsia="Garamond" w:hAnsi="Calibri" w:cs="Calibri"/>
          <w:vertAlign w:val="superscript"/>
          <w:lang w:val="en-US"/>
        </w:rPr>
        <w:t>1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053"/>
        <w:gridCol w:w="1305"/>
        <w:gridCol w:w="1326"/>
        <w:gridCol w:w="1315"/>
        <w:gridCol w:w="1315"/>
        <w:gridCol w:w="1315"/>
      </w:tblGrid>
      <w:tr w:rsidR="00407224" w:rsidRPr="004F47FF" w14:paraId="20FA895A" w14:textId="77777777" w:rsidTr="00931BC4">
        <w:trPr>
          <w:trHeight w:val="300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28721C" w14:textId="539AF1D9" w:rsidR="00407224" w:rsidRPr="00225822" w:rsidRDefault="00407224" w:rsidP="00931BC4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582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Table S6. Adverse Events Costs </w:t>
            </w:r>
          </w:p>
          <w:p w14:paraId="31AE7B42" w14:textId="77777777" w:rsidR="00407224" w:rsidRPr="00225822" w:rsidRDefault="00407224" w:rsidP="00931BC4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BB59B6" w14:textId="77777777" w:rsidR="00407224" w:rsidRPr="00225822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2582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D6093" w14:textId="77777777" w:rsidR="00407224" w:rsidRPr="00225822" w:rsidRDefault="00407224" w:rsidP="00931BC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1ECFDA" w14:textId="77777777" w:rsidR="00407224" w:rsidRPr="00225822" w:rsidRDefault="00407224" w:rsidP="00931BC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8BFFA" w14:textId="77777777" w:rsidR="00407224" w:rsidRPr="00225822" w:rsidRDefault="00407224" w:rsidP="00931BC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89B53C" w14:textId="77777777" w:rsidR="00407224" w:rsidRPr="00225822" w:rsidRDefault="00407224" w:rsidP="00931BC4">
            <w:pPr>
              <w:rPr>
                <w:sz w:val="20"/>
                <w:szCs w:val="20"/>
                <w:lang w:val="en-US"/>
              </w:rPr>
            </w:pPr>
          </w:p>
        </w:tc>
      </w:tr>
      <w:tr w:rsidR="00407224" w14:paraId="7F9B3376" w14:textId="77777777" w:rsidTr="00931BC4">
        <w:trPr>
          <w:trHeight w:val="615"/>
        </w:trPr>
        <w:tc>
          <w:tcPr>
            <w:tcW w:w="3053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  <w:vAlign w:val="bottom"/>
          </w:tcPr>
          <w:p w14:paraId="46741145" w14:textId="77777777" w:rsidR="00407224" w:rsidRPr="00225822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2582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auto"/>
            <w:vAlign w:val="bottom"/>
          </w:tcPr>
          <w:p w14:paraId="6DC75A28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Unit Cost </w:t>
            </w:r>
            <w:r>
              <w:br/>
            </w:r>
            <w:r w:rsidRPr="00EC7F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Per Event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AA56C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8E17F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BFA6FE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7640A8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12D7236E" w14:textId="77777777" w:rsidTr="00931BC4">
        <w:trPr>
          <w:trHeight w:val="315"/>
        </w:trPr>
        <w:tc>
          <w:tcPr>
            <w:tcW w:w="3053" w:type="dxa"/>
            <w:tcBorders>
              <w:top w:val="double" w:sz="5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122C2F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Anemia</w:t>
            </w:r>
          </w:p>
        </w:tc>
        <w:tc>
          <w:tcPr>
            <w:tcW w:w="1305" w:type="dxa"/>
            <w:tcBorders>
              <w:top w:val="double" w:sz="5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35B35B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1.676,00 €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E9150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976B7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9C1D5B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1EDB7D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701C585F" w14:textId="77777777" w:rsidTr="00931BC4">
        <w:trPr>
          <w:trHeight w:val="300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76DE58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Hemolytic anemia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CB655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3.738,00 €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2B7EA0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565E3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42A449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550DF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1FFFD579" w14:textId="77777777" w:rsidTr="00931BC4">
        <w:trPr>
          <w:trHeight w:val="300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771ACB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Bacterial infection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4B8EFA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3.508,00 €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8CD42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A73EE9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2533B4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3D7009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2477231B" w14:textId="77777777" w:rsidTr="00931BC4">
        <w:trPr>
          <w:trHeight w:val="300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AD5262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Gastroenteritis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3E41C1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959,00 €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D863F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C3DF8E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3F4B2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F2DA6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0A280B11" w14:textId="77777777" w:rsidTr="00931BC4">
        <w:trPr>
          <w:trHeight w:val="300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8A8892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Atrial fibrillation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600A3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974,00 €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33E83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320480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E38555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ED7C2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5AA8EC5A" w14:textId="77777777" w:rsidTr="00931BC4">
        <w:trPr>
          <w:trHeight w:val="300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3D39A2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Hyperthermia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8C701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282,00 €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575252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FDEF6C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7080E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5CEACF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42A538EC" w14:textId="77777777" w:rsidTr="00931BC4">
        <w:trPr>
          <w:trHeight w:val="300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801AEE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Facial paralysis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95D4F5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1.210,00 €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179332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76B6FD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6C8E0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64FF5C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7DC76196" w14:textId="77777777" w:rsidTr="00931BC4">
        <w:trPr>
          <w:trHeight w:val="300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5A108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Dyspnoea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F8DF1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1.484,00 €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52ED2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1E0B8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6AFAF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6EB94C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1A069ED0" w14:textId="77777777" w:rsidTr="00931BC4">
        <w:trPr>
          <w:trHeight w:val="300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F7B48C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Abdominal pain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D63ED9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959,00 €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5B218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FE2373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A2DFCD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07A09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11B6EDA4" w14:textId="77777777" w:rsidTr="00931BC4">
        <w:trPr>
          <w:trHeight w:val="300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0748A3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Biliary colic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7A5C19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1.171,00 €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2BFE7A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CE6E87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731392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2C2C5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4016B4A0" w14:textId="77777777" w:rsidTr="00931BC4">
        <w:trPr>
          <w:trHeight w:val="300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7599C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Hepatocellular injury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C595E1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1.407,00 €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3BB46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041A6F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70266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3C703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7620CB7A" w14:textId="77777777" w:rsidTr="00931BC4">
        <w:trPr>
          <w:trHeight w:val="300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1C459A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Hyperbilirubinemia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A6F8DD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1.171,00 €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620E9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495054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9B7D82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AB9A6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  <w:tr w:rsidR="00407224" w14:paraId="52CE4323" w14:textId="77777777" w:rsidTr="00931BC4">
        <w:trPr>
          <w:trHeight w:val="315"/>
        </w:trPr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32AEDAC" w14:textId="77777777" w:rsidR="00407224" w:rsidRPr="00EC7FB0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Jaundice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0ECBE1F" w14:textId="77777777" w:rsidR="00407224" w:rsidRPr="00EC7FB0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C7FB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1.407,00 €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466E8D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0BCF0C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12CAB3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7142F" w14:textId="77777777" w:rsidR="00407224" w:rsidRDefault="00407224" w:rsidP="00931BC4">
            <w:pPr>
              <w:rPr>
                <w:sz w:val="20"/>
                <w:szCs w:val="20"/>
              </w:rPr>
            </w:pPr>
          </w:p>
        </w:tc>
      </w:tr>
    </w:tbl>
    <w:p w14:paraId="4DF27D6A" w14:textId="6C96299B" w:rsidR="00407224" w:rsidRPr="00724531" w:rsidRDefault="00724531" w:rsidP="00724531">
      <w:pPr>
        <w:spacing w:line="480" w:lineRule="auto"/>
        <w:jc w:val="both"/>
        <w:rPr>
          <w:rFonts w:ascii="Calibri" w:eastAsia="Garamond" w:hAnsi="Calibri" w:cs="Calibri"/>
          <w:lang w:val="en-US"/>
        </w:rPr>
      </w:pPr>
      <w:r w:rsidRPr="00724531">
        <w:rPr>
          <w:rFonts w:ascii="Calibri" w:eastAsia="Garamond" w:hAnsi="Calibri" w:cs="Calibri"/>
          <w:b/>
          <w:bCs/>
          <w:lang w:val="en-US"/>
        </w:rPr>
        <w:t>Note</w:t>
      </w:r>
      <w:r w:rsidRPr="00724531">
        <w:rPr>
          <w:rFonts w:ascii="Calibri" w:eastAsia="Garamond" w:hAnsi="Calibri" w:cs="Calibri"/>
          <w:lang w:val="en-US"/>
        </w:rPr>
        <w:t>: Data from Colden et al.</w:t>
      </w:r>
      <w:r w:rsidRPr="00724531">
        <w:rPr>
          <w:rFonts w:ascii="Calibri" w:eastAsia="Garamond" w:hAnsi="Calibri" w:cs="Calibri"/>
          <w:vertAlign w:val="superscript"/>
          <w:lang w:val="en-US"/>
        </w:rPr>
        <w:t>1</w:t>
      </w:r>
    </w:p>
    <w:tbl>
      <w:tblPr>
        <w:tblW w:w="8647" w:type="dxa"/>
        <w:tblLayout w:type="fixed"/>
        <w:tblLook w:val="06A0" w:firstRow="1" w:lastRow="0" w:firstColumn="1" w:lastColumn="0" w:noHBand="1" w:noVBand="1"/>
      </w:tblPr>
      <w:tblGrid>
        <w:gridCol w:w="2552"/>
        <w:gridCol w:w="1701"/>
        <w:gridCol w:w="1701"/>
        <w:gridCol w:w="142"/>
        <w:gridCol w:w="2551"/>
      </w:tblGrid>
      <w:tr w:rsidR="00407224" w:rsidRPr="004F47FF" w14:paraId="3F404EE3" w14:textId="77777777" w:rsidTr="00931BC4">
        <w:trPr>
          <w:trHeight w:val="300"/>
        </w:trPr>
        <w:tc>
          <w:tcPr>
            <w:tcW w:w="8647" w:type="dxa"/>
            <w:gridSpan w:val="5"/>
            <w:tcBorders>
              <w:top w:val="nil"/>
              <w:left w:val="nil"/>
            </w:tcBorders>
            <w:shd w:val="clear" w:color="auto" w:fill="auto"/>
            <w:vAlign w:val="bottom"/>
          </w:tcPr>
          <w:p w14:paraId="6AC23455" w14:textId="1109D60D" w:rsidR="00407224" w:rsidRPr="003F35B1" w:rsidRDefault="00407224" w:rsidP="00931BC4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F35B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Table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Pr="003F35B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7. Final results – summary post-introduction of biosimilar of eculizumab</w:t>
            </w:r>
          </w:p>
          <w:p w14:paraId="375E7F24" w14:textId="77777777" w:rsidR="00407224" w:rsidRPr="003F35B1" w:rsidRDefault="00407224" w:rsidP="00931BC4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07224" w:rsidRPr="00EF4E58" w14:paraId="1722CD55" w14:textId="77777777" w:rsidTr="00931BC4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1F26E5" w14:textId="77777777" w:rsidR="00407224" w:rsidRPr="003F35B1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3F35B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23DD28" w14:textId="77777777" w:rsidR="00407224" w:rsidRPr="003F35B1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3F35B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E829B0" w14:textId="77777777" w:rsidR="00407224" w:rsidRPr="003F35B1" w:rsidRDefault="00407224" w:rsidP="00931BC4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41CD4" w14:textId="77777777" w:rsidR="00407224" w:rsidRPr="00EF4E58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F4E5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Incremental Costs/QALYs</w:t>
            </w:r>
          </w:p>
        </w:tc>
      </w:tr>
      <w:tr w:rsidR="00407224" w:rsidRPr="00EF4E58" w14:paraId="269335AA" w14:textId="77777777" w:rsidTr="00931BC4">
        <w:trPr>
          <w:trHeight w:val="915"/>
        </w:trPr>
        <w:tc>
          <w:tcPr>
            <w:tcW w:w="2552" w:type="dxa"/>
            <w:tcBorders>
              <w:top w:val="single" w:sz="4" w:space="0" w:color="auto"/>
              <w:left w:val="nil"/>
              <w:bottom w:val="double" w:sz="5" w:space="0" w:color="auto"/>
              <w:right w:val="nil"/>
            </w:tcBorders>
            <w:shd w:val="clear" w:color="auto" w:fill="auto"/>
            <w:vAlign w:val="center"/>
          </w:tcPr>
          <w:p w14:paraId="2D2BE0F7" w14:textId="77777777" w:rsidR="00407224" w:rsidRPr="00EF4E58" w:rsidRDefault="00407224" w:rsidP="00931BC4">
            <w:pPr>
              <w:spacing w:after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F4E5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Results Summary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5" w:space="0" w:color="auto"/>
              <w:right w:val="nil"/>
            </w:tcBorders>
            <w:shd w:val="clear" w:color="auto" w:fill="auto"/>
            <w:vAlign w:val="center"/>
          </w:tcPr>
          <w:p w14:paraId="07622838" w14:textId="77777777" w:rsidR="00407224" w:rsidRPr="00EF4E58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F4E5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Pegcetacoplan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uble" w:sz="5" w:space="0" w:color="auto"/>
              <w:right w:val="nil"/>
            </w:tcBorders>
            <w:shd w:val="clear" w:color="auto" w:fill="auto"/>
            <w:vAlign w:val="center"/>
          </w:tcPr>
          <w:p w14:paraId="5BADA091" w14:textId="77777777" w:rsidR="00407224" w:rsidRPr="00EF4E58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F4E5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Eculizumab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5" w:space="0" w:color="auto"/>
              <w:right w:val="nil"/>
            </w:tcBorders>
            <w:shd w:val="clear" w:color="auto" w:fill="auto"/>
            <w:vAlign w:val="center"/>
          </w:tcPr>
          <w:p w14:paraId="2EF5CBAB" w14:textId="77777777" w:rsidR="00407224" w:rsidRPr="00EF4E58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F4E5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Pegcetacoplan vs.</w:t>
            </w:r>
            <w:r w:rsidRPr="00EF4E58">
              <w:br/>
            </w:r>
            <w:r w:rsidRPr="00EF4E5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Eculizumab</w:t>
            </w:r>
          </w:p>
        </w:tc>
      </w:tr>
      <w:tr w:rsidR="00407224" w:rsidRPr="00EF4E58" w14:paraId="5B6342C1" w14:textId="77777777" w:rsidTr="00931BC4">
        <w:trPr>
          <w:trHeight w:val="449"/>
        </w:trPr>
        <w:tc>
          <w:tcPr>
            <w:tcW w:w="2552" w:type="dxa"/>
            <w:tcBorders>
              <w:top w:val="double" w:sz="5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E8CBA" w14:textId="77777777" w:rsidR="00407224" w:rsidRPr="00EF4E58" w:rsidRDefault="00407224" w:rsidP="00931BC4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4E58">
              <w:rPr>
                <w:rFonts w:ascii="Calibri" w:eastAsia="Calibri" w:hAnsi="Calibri" w:cs="Calibri"/>
                <w:sz w:val="20"/>
                <w:szCs w:val="20"/>
              </w:rPr>
              <w:t>Total discounted costs (€)</w:t>
            </w:r>
          </w:p>
        </w:tc>
        <w:tc>
          <w:tcPr>
            <w:tcW w:w="1701" w:type="dxa"/>
            <w:tcBorders>
              <w:top w:val="double" w:sz="5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E9B0D6" w14:textId="77777777" w:rsidR="00407224" w:rsidRPr="00EF4E58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4E58">
              <w:t xml:space="preserve">1.468.470 </w:t>
            </w:r>
          </w:p>
        </w:tc>
        <w:tc>
          <w:tcPr>
            <w:tcW w:w="1843" w:type="dxa"/>
            <w:gridSpan w:val="2"/>
            <w:tcBorders>
              <w:top w:val="double" w:sz="5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31BF90" w14:textId="77777777" w:rsidR="00407224" w:rsidRPr="00EF4E58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4E58">
              <w:t xml:space="preserve">1.537.180 </w:t>
            </w:r>
          </w:p>
        </w:tc>
        <w:tc>
          <w:tcPr>
            <w:tcW w:w="2551" w:type="dxa"/>
            <w:tcBorders>
              <w:top w:val="double" w:sz="5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8EA52B" w14:textId="77777777" w:rsidR="00407224" w:rsidRPr="00EF4E58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4E58">
              <w:t xml:space="preserve">-68.709 </w:t>
            </w:r>
          </w:p>
        </w:tc>
      </w:tr>
      <w:tr w:rsidR="00407224" w:rsidRPr="00EF4E58" w14:paraId="28638A64" w14:textId="77777777" w:rsidTr="00931BC4">
        <w:trPr>
          <w:trHeight w:val="421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4C1AE" w14:textId="77777777" w:rsidR="00407224" w:rsidRPr="00EF4E58" w:rsidRDefault="00407224" w:rsidP="00931BC4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4E58">
              <w:rPr>
                <w:rFonts w:ascii="Calibri" w:eastAsia="Calibri" w:hAnsi="Calibri" w:cs="Calibri"/>
                <w:sz w:val="20"/>
                <w:szCs w:val="20"/>
              </w:rPr>
              <w:t>Total discounted QALYs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86E256" w14:textId="77777777" w:rsidR="00407224" w:rsidRPr="00EF4E58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4E58">
              <w:t xml:space="preserve">3,313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A5EAF1" w14:textId="77777777" w:rsidR="00407224" w:rsidRPr="00EF4E58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4E58">
              <w:t xml:space="preserve">2,803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32D008" w14:textId="77777777" w:rsidR="00407224" w:rsidRPr="00EF4E58" w:rsidRDefault="00407224" w:rsidP="00931BC4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4E58">
              <w:t xml:space="preserve">0,510 </w:t>
            </w:r>
          </w:p>
        </w:tc>
      </w:tr>
      <w:tr w:rsidR="00407224" w14:paraId="6FF8C1A6" w14:textId="77777777" w:rsidTr="00931BC4">
        <w:trPr>
          <w:trHeight w:val="465"/>
        </w:trPr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DC0DCBF" w14:textId="77777777" w:rsidR="00407224" w:rsidRPr="003F35B1" w:rsidRDefault="00407224" w:rsidP="00931BC4">
            <w:pPr>
              <w:spacing w:beforeAutospacing="1" w:after="0" w:afterAutospacing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EF4E5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Incremental cost per QALY gained (€/QALY gained)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3AE14AA0" w14:textId="77777777" w:rsidR="00407224" w:rsidRPr="003F35B1" w:rsidRDefault="00407224" w:rsidP="00931BC4">
            <w:pPr>
              <w:spacing w:beforeAutospacing="1" w:after="0" w:afterAutospacing="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F35B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Dominant</w:t>
            </w:r>
          </w:p>
        </w:tc>
      </w:tr>
    </w:tbl>
    <w:p w14:paraId="41657715" w14:textId="77777777" w:rsidR="00724531" w:rsidRPr="00724531" w:rsidRDefault="00724531" w:rsidP="00724531">
      <w:pPr>
        <w:spacing w:line="480" w:lineRule="auto"/>
        <w:jc w:val="both"/>
        <w:rPr>
          <w:rFonts w:ascii="Calibri" w:eastAsia="Garamond" w:hAnsi="Calibri" w:cs="Calibri"/>
          <w:lang w:val="en-US"/>
        </w:rPr>
      </w:pPr>
      <w:r w:rsidRPr="00724531">
        <w:rPr>
          <w:rFonts w:ascii="Calibri" w:eastAsia="Garamond" w:hAnsi="Calibri" w:cs="Calibri"/>
          <w:b/>
          <w:bCs/>
          <w:lang w:val="en-US"/>
        </w:rPr>
        <w:t>Note</w:t>
      </w:r>
      <w:r w:rsidRPr="00724531">
        <w:rPr>
          <w:rFonts w:ascii="Calibri" w:eastAsia="Garamond" w:hAnsi="Calibri" w:cs="Calibri"/>
          <w:lang w:val="en-US"/>
        </w:rPr>
        <w:t>: Data from Colden et al.</w:t>
      </w:r>
      <w:r w:rsidRPr="00724531">
        <w:rPr>
          <w:rFonts w:ascii="Calibri" w:eastAsia="Garamond" w:hAnsi="Calibri" w:cs="Calibri"/>
          <w:vertAlign w:val="superscript"/>
          <w:lang w:val="en-US"/>
        </w:rPr>
        <w:t>1</w:t>
      </w:r>
    </w:p>
    <w:p w14:paraId="4939D6EA" w14:textId="77777777" w:rsidR="005D6C5D" w:rsidRPr="00724531" w:rsidRDefault="005D6C5D">
      <w:pPr>
        <w:rPr>
          <w:lang w:val="en-US"/>
        </w:rPr>
      </w:pPr>
    </w:p>
    <w:sectPr w:rsidR="005D6C5D" w:rsidRPr="00724531" w:rsidSect="00407224">
      <w:footerReference w:type="even" r:id="rId7"/>
      <w:footerReference w:type="default" r:id="rId8"/>
      <w:footerReference w:type="first" r:id="rId9"/>
      <w:pgSz w:w="11906" w:h="16838"/>
      <w:pgMar w:top="1417" w:right="1134" w:bottom="1134" w:left="1134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489B4" w14:textId="77777777" w:rsidR="004F47FF" w:rsidRDefault="004F47FF">
      <w:pPr>
        <w:spacing w:after="0" w:line="240" w:lineRule="auto"/>
      </w:pPr>
      <w:r>
        <w:separator/>
      </w:r>
    </w:p>
  </w:endnote>
  <w:endnote w:type="continuationSeparator" w:id="0">
    <w:p w14:paraId="29C3E2C8" w14:textId="77777777" w:rsidR="004F47FF" w:rsidRDefault="004F4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173A" w14:textId="337A78FF" w:rsidR="00724531" w:rsidRDefault="007245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809E35" wp14:editId="34B623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24149763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9CA27" w14:textId="279CF883" w:rsidR="00724531" w:rsidRPr="00724531" w:rsidRDefault="00724531" w:rsidP="0072453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453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09E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909CA27" w14:textId="279CF883" w:rsidR="00724531" w:rsidRPr="00724531" w:rsidRDefault="00724531" w:rsidP="0072453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453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4DE7" w14:textId="263A99E2" w:rsidR="00407224" w:rsidRDefault="0072453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2E272E" wp14:editId="44AD41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9664008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61E1D" w14:textId="0A0E147B" w:rsidR="00724531" w:rsidRPr="00724531" w:rsidRDefault="00724531" w:rsidP="0072453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453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E27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0961E1D" w14:textId="0A0E147B" w:rsidR="00724531" w:rsidRPr="00724531" w:rsidRDefault="00724531" w:rsidP="0072453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453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930877100"/>
      <w:docPartObj>
        <w:docPartGallery w:val="Page Numbers (Bottom of Page)"/>
        <w:docPartUnique/>
      </w:docPartObj>
    </w:sdtPr>
    <w:sdtEndPr/>
    <w:sdtContent>
      <w:p w14:paraId="27A44DE7" w14:textId="263A99E2" w:rsidR="00407224" w:rsidRDefault="0040722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4D60CC" w14:textId="77777777" w:rsidR="00407224" w:rsidRDefault="004072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4875" w14:textId="0A906BF8" w:rsidR="00724531" w:rsidRDefault="007245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8ABF91" wp14:editId="043F20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73870754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7828F" w14:textId="28D8A6A8" w:rsidR="00724531" w:rsidRPr="00724531" w:rsidRDefault="00724531" w:rsidP="0072453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453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ABF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977828F" w14:textId="28D8A6A8" w:rsidR="00724531" w:rsidRPr="00724531" w:rsidRDefault="00724531" w:rsidP="0072453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453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7ED16" w14:textId="77777777" w:rsidR="004F47FF" w:rsidRDefault="004F47FF">
      <w:pPr>
        <w:spacing w:after="0" w:line="240" w:lineRule="auto"/>
      </w:pPr>
      <w:r>
        <w:separator/>
      </w:r>
    </w:p>
  </w:footnote>
  <w:footnote w:type="continuationSeparator" w:id="0">
    <w:p w14:paraId="2D831816" w14:textId="77777777" w:rsidR="004F47FF" w:rsidRDefault="004F4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CE"/>
    <w:rsid w:val="000217D8"/>
    <w:rsid w:val="00407224"/>
    <w:rsid w:val="0041079F"/>
    <w:rsid w:val="004F47FF"/>
    <w:rsid w:val="005D6C5D"/>
    <w:rsid w:val="006C6E54"/>
    <w:rsid w:val="00724531"/>
    <w:rsid w:val="00F6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3351A"/>
  <w15:chartTrackingRefBased/>
  <w15:docId w15:val="{49F0784E-0F77-425E-940C-867D4948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22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3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it-I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3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3C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3C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eastAsia="it-I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3C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eastAsia="it-I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3C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it-I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3C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it-I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3C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it-I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3C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TitleChar">
    <w:name w:val="Title Char"/>
    <w:basedOn w:val="DefaultParagraphFont"/>
    <w:link w:val="Title"/>
    <w:uiPriority w:val="10"/>
    <w:rsid w:val="00F67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3C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character" w:customStyle="1" w:styleId="SubtitleChar">
    <w:name w:val="Subtitle Char"/>
    <w:basedOn w:val="DefaultParagraphFont"/>
    <w:link w:val="Subtitle"/>
    <w:uiPriority w:val="11"/>
    <w:rsid w:val="00F67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3CE"/>
    <w:pPr>
      <w:spacing w:before="160" w:after="160" w:line="259" w:lineRule="auto"/>
      <w:jc w:val="center"/>
    </w:pPr>
    <w:rPr>
      <w:i/>
      <w:iCs/>
      <w:color w:val="404040" w:themeColor="text1" w:themeTint="BF"/>
      <w:lang w:eastAsia="it-IT"/>
    </w:rPr>
  </w:style>
  <w:style w:type="character" w:customStyle="1" w:styleId="QuoteChar">
    <w:name w:val="Quote Char"/>
    <w:basedOn w:val="DefaultParagraphFont"/>
    <w:link w:val="Quote"/>
    <w:uiPriority w:val="29"/>
    <w:rsid w:val="00F67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3CE"/>
    <w:pPr>
      <w:spacing w:after="160" w:line="259" w:lineRule="auto"/>
      <w:ind w:left="720"/>
      <w:contextualSpacing/>
    </w:pPr>
    <w:rPr>
      <w:lang w:eastAsia="it-IT"/>
    </w:rPr>
  </w:style>
  <w:style w:type="character" w:styleId="IntenseEmphasis">
    <w:name w:val="Intense Emphasis"/>
    <w:basedOn w:val="DefaultParagraphFont"/>
    <w:uiPriority w:val="21"/>
    <w:qFormat/>
    <w:rsid w:val="00F67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lang w:eastAsia="it-I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3C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072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224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407224"/>
  </w:style>
  <w:style w:type="paragraph" w:styleId="FootnoteText">
    <w:name w:val="footnote text"/>
    <w:basedOn w:val="Normal"/>
    <w:link w:val="FootnoteTextChar"/>
    <w:uiPriority w:val="99"/>
    <w:semiHidden/>
    <w:unhideWhenUsed/>
    <w:rsid w:val="004F47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47FF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F47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FFF2B-A719-49EF-B456-63B794CA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 Moumene</dc:creator>
  <cp:keywords/>
  <dc:description/>
  <cp:lastModifiedBy>Lee, Boon</cp:lastModifiedBy>
  <cp:revision>2</cp:revision>
  <dcterms:created xsi:type="dcterms:W3CDTF">2024-04-09T21:53:00Z</dcterms:created>
  <dcterms:modified xsi:type="dcterms:W3CDTF">2024-04-09T21:53:00Z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2c07c85d,49ffc01e,1d9a2058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2024-04-09T21:53:17Z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443a16d8-3e04-4f2e-967a-d46094cdb664</vt:lpwstr>
  </property>
  <property fmtid="{D5CDD505-2E9C-101B-9397-08002B2CF9AE}" pid="11" name="MSIP_Label_2bbab825-a111-45e4-86a1-18cee0005896_ContentBits">
    <vt:lpwstr>2</vt:lpwstr>
  </property>
</Properties>
</file>