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C07CF" w14:textId="4CD9CC07" w:rsidR="00A45D0A" w:rsidRPr="00CC5F1C" w:rsidRDefault="00A45D0A" w:rsidP="00A45D0A">
      <w:pPr>
        <w:jc w:val="center"/>
        <w:rPr>
          <w:rFonts w:ascii="Arial" w:hAnsi="Arial" w:cs="Arial"/>
          <w:b/>
          <w:bCs/>
          <w:color w:val="000000"/>
        </w:rPr>
      </w:pPr>
      <w:r w:rsidRPr="00CC5F1C">
        <w:rPr>
          <w:rFonts w:ascii="Arial" w:hAnsi="Arial" w:cs="Arial"/>
          <w:b/>
          <w:bCs/>
          <w:color w:val="000000"/>
        </w:rPr>
        <w:t>Supplemental Materials</w:t>
      </w:r>
      <w:r w:rsidR="000373AB" w:rsidRPr="00CC5F1C">
        <w:rPr>
          <w:rFonts w:ascii="Arial" w:hAnsi="Arial" w:cs="Arial"/>
          <w:b/>
          <w:bCs/>
          <w:color w:val="000000"/>
        </w:rPr>
        <w:t xml:space="preserve"> (</w:t>
      </w:r>
      <w:r w:rsidR="00333CEE" w:rsidRPr="00CC5F1C">
        <w:rPr>
          <w:rFonts w:ascii="Arial" w:hAnsi="Arial" w:cs="Arial"/>
          <w:b/>
          <w:bCs/>
          <w:color w:val="000000"/>
        </w:rPr>
        <w:t>1 to 6</w:t>
      </w:r>
      <w:r w:rsidR="000373AB" w:rsidRPr="00CC5F1C">
        <w:rPr>
          <w:rFonts w:ascii="Arial" w:hAnsi="Arial" w:cs="Arial"/>
          <w:b/>
          <w:bCs/>
          <w:color w:val="000000"/>
        </w:rPr>
        <w:t>)</w:t>
      </w:r>
    </w:p>
    <w:p w14:paraId="1384C245" w14:textId="59251607"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t xml:space="preserve">Supplemental Materials </w:t>
      </w:r>
      <w:r w:rsidR="00333CEE" w:rsidRPr="00CC5F1C">
        <w:rPr>
          <w:rFonts w:ascii="Arial" w:hAnsi="Arial" w:cs="Arial"/>
          <w:b/>
          <w:bCs/>
          <w:color w:val="000000"/>
          <w:u w:val="single"/>
        </w:rPr>
        <w:t>1</w:t>
      </w:r>
    </w:p>
    <w:p w14:paraId="3A5CD680" w14:textId="511EC578" w:rsidR="00E02C84" w:rsidRPr="00CC5F1C" w:rsidRDefault="00E02C84" w:rsidP="00E02C84">
      <w:pPr>
        <w:rPr>
          <w:rFonts w:ascii="Arial" w:hAnsi="Arial" w:cs="Arial"/>
          <w:color w:val="000000"/>
        </w:rPr>
      </w:pPr>
      <w:r w:rsidRPr="00CC5F1C">
        <w:rPr>
          <w:rFonts w:ascii="Arial" w:hAnsi="Arial" w:cs="Arial"/>
          <w:b/>
          <w:bCs/>
          <w:color w:val="000000"/>
        </w:rPr>
        <w:t>Table 1. Montana Interfacility Blood Network: Questionnaire and Responses</w:t>
      </w:r>
      <w:r w:rsidRPr="00CC5F1C">
        <w:rPr>
          <w:rFonts w:ascii="Arial" w:hAnsi="Arial" w:cs="Arial"/>
          <w:color w:val="000000"/>
        </w:rPr>
        <w:t>. Questionnaire Responses (</w:t>
      </w:r>
      <w:r w:rsidRPr="00CC5F1C">
        <w:rPr>
          <w:rFonts w:ascii="Arial" w:hAnsi="Arial" w:cs="Arial"/>
          <w:i/>
          <w:iCs/>
          <w:color w:val="000000"/>
        </w:rPr>
        <w:t>n</w:t>
      </w:r>
      <w:r w:rsidRPr="00CC5F1C">
        <w:rPr>
          <w:rFonts w:ascii="Arial" w:hAnsi="Arial" w:cs="Arial"/>
          <w:color w:val="000000"/>
        </w:rPr>
        <w:t xml:space="preserve">=40). Organized by the </w:t>
      </w:r>
      <w:r w:rsidR="00201F12" w:rsidRPr="00CC5F1C">
        <w:rPr>
          <w:rFonts w:ascii="Arial" w:hAnsi="Arial" w:cs="Arial"/>
          <w:color w:val="000000"/>
        </w:rPr>
        <w:t xml:space="preserve">Montana </w:t>
      </w:r>
      <w:r w:rsidRPr="00CC5F1C">
        <w:rPr>
          <w:rFonts w:ascii="Arial" w:hAnsi="Arial" w:cs="Arial"/>
          <w:color w:val="000000"/>
        </w:rPr>
        <w:t xml:space="preserve">State Trauma Care Committee. Open </w:t>
      </w:r>
      <w:r w:rsidR="00201F12" w:rsidRPr="00CC5F1C">
        <w:rPr>
          <w:rFonts w:ascii="Arial" w:hAnsi="Arial" w:cs="Arial"/>
          <w:color w:val="000000"/>
        </w:rPr>
        <w:t>for responses from</w:t>
      </w:r>
      <w:r w:rsidRPr="00CC5F1C">
        <w:rPr>
          <w:rFonts w:ascii="Arial" w:hAnsi="Arial" w:cs="Arial"/>
          <w:color w:val="000000"/>
        </w:rPr>
        <w:t xml:space="preserve"> Jan 8 – Jan 21, 2020.</w:t>
      </w:r>
    </w:p>
    <w:p w14:paraId="169DCD29" w14:textId="77777777" w:rsidR="00E02C84" w:rsidRPr="00CC5F1C" w:rsidRDefault="00E02C84" w:rsidP="00E02C84">
      <w:pPr>
        <w:jc w:val="both"/>
        <w:rPr>
          <w:rFonts w:ascii="Arial" w:hAnsi="Arial" w:cs="Arial"/>
          <w:color w:val="000000"/>
        </w:rPr>
      </w:pPr>
      <w:r w:rsidRPr="00CC5F1C">
        <w:rPr>
          <w:rFonts w:ascii="Arial" w:hAnsi="Arial" w:cs="Arial"/>
          <w:color w:val="000000"/>
        </w:rPr>
        <w:t>The survey began with the following scenario: “A patient presents to a facility that has no blood products available or a limited supply. This patient requires blood to save his/her life. Flight is unable to fly and bring blood due to weather. This patient is being ground transported to the Regional Center and must pass another hospital with blood products available. Should the ambulance be able to pick up blood products at the intermediary facility and administer them to the patient during the remainder of transport to the Regional Center?”</w:t>
      </w:r>
    </w:p>
    <w:tbl>
      <w:tblPr>
        <w:tblStyle w:val="TableGrid"/>
        <w:tblpPr w:leftFromText="180" w:rightFromText="180" w:vertAnchor="text" w:horzAnchor="margin" w:tblpYSpec="bottom"/>
        <w:tblW w:w="0" w:type="auto"/>
        <w:tblLook w:val="04A0" w:firstRow="1" w:lastRow="0" w:firstColumn="1" w:lastColumn="0" w:noHBand="0" w:noVBand="1"/>
      </w:tblPr>
      <w:tblGrid>
        <w:gridCol w:w="354"/>
        <w:gridCol w:w="4591"/>
        <w:gridCol w:w="3019"/>
        <w:gridCol w:w="1386"/>
      </w:tblGrid>
      <w:tr w:rsidR="00B076DF" w:rsidRPr="00CC5F1C" w14:paraId="23A66C92" w14:textId="77777777" w:rsidTr="00B076DF">
        <w:tc>
          <w:tcPr>
            <w:tcW w:w="354" w:type="dxa"/>
            <w:tcBorders>
              <w:bottom w:val="single" w:sz="4" w:space="0" w:color="auto"/>
            </w:tcBorders>
            <w:shd w:val="clear" w:color="auto" w:fill="AEAAAA" w:themeFill="background2" w:themeFillShade="BF"/>
          </w:tcPr>
          <w:p w14:paraId="7A8AC677" w14:textId="77777777" w:rsidR="00B076DF" w:rsidRPr="00CC5F1C" w:rsidRDefault="00B076DF" w:rsidP="00B076DF">
            <w:pPr>
              <w:jc w:val="center"/>
              <w:rPr>
                <w:b/>
                <w:bCs/>
                <w:color w:val="000000"/>
                <w:sz w:val="24"/>
                <w:szCs w:val="24"/>
              </w:rPr>
            </w:pPr>
          </w:p>
        </w:tc>
        <w:tc>
          <w:tcPr>
            <w:tcW w:w="4591" w:type="dxa"/>
            <w:tcBorders>
              <w:bottom w:val="single" w:sz="4" w:space="0" w:color="auto"/>
            </w:tcBorders>
            <w:shd w:val="clear" w:color="auto" w:fill="AEAAAA" w:themeFill="background2" w:themeFillShade="BF"/>
          </w:tcPr>
          <w:p w14:paraId="38ECB486" w14:textId="77777777" w:rsidR="00B076DF" w:rsidRPr="00CC5F1C" w:rsidRDefault="00B076DF" w:rsidP="00B076DF">
            <w:pPr>
              <w:jc w:val="center"/>
              <w:rPr>
                <w:rFonts w:ascii="Arial" w:hAnsi="Arial" w:cs="Arial"/>
                <w:b/>
                <w:bCs/>
                <w:color w:val="000000"/>
                <w:sz w:val="24"/>
                <w:szCs w:val="24"/>
              </w:rPr>
            </w:pPr>
            <w:r w:rsidRPr="00CC5F1C">
              <w:rPr>
                <w:rFonts w:ascii="Arial" w:hAnsi="Arial" w:cs="Arial"/>
                <w:b/>
                <w:bCs/>
                <w:color w:val="000000"/>
                <w:sz w:val="24"/>
                <w:szCs w:val="24"/>
              </w:rPr>
              <w:t>Question</w:t>
            </w:r>
          </w:p>
        </w:tc>
        <w:tc>
          <w:tcPr>
            <w:tcW w:w="3019" w:type="dxa"/>
            <w:tcBorders>
              <w:bottom w:val="single" w:sz="4" w:space="0" w:color="auto"/>
            </w:tcBorders>
            <w:shd w:val="clear" w:color="auto" w:fill="AEAAAA" w:themeFill="background2" w:themeFillShade="BF"/>
          </w:tcPr>
          <w:p w14:paraId="6BD644BB" w14:textId="77777777" w:rsidR="00B076DF" w:rsidRPr="00CC5F1C" w:rsidRDefault="00B076DF" w:rsidP="00B076DF">
            <w:pPr>
              <w:jc w:val="center"/>
              <w:rPr>
                <w:rFonts w:ascii="Arial" w:hAnsi="Arial" w:cs="Arial"/>
                <w:b/>
                <w:bCs/>
                <w:color w:val="000000"/>
                <w:sz w:val="24"/>
                <w:szCs w:val="24"/>
              </w:rPr>
            </w:pPr>
            <w:r w:rsidRPr="00CC5F1C">
              <w:rPr>
                <w:rFonts w:ascii="Arial" w:hAnsi="Arial" w:cs="Arial"/>
                <w:b/>
                <w:bCs/>
                <w:color w:val="000000"/>
                <w:sz w:val="24"/>
                <w:szCs w:val="24"/>
              </w:rPr>
              <w:t xml:space="preserve">Answer </w:t>
            </w:r>
          </w:p>
        </w:tc>
        <w:tc>
          <w:tcPr>
            <w:tcW w:w="1386" w:type="dxa"/>
            <w:tcBorders>
              <w:bottom w:val="single" w:sz="4" w:space="0" w:color="auto"/>
            </w:tcBorders>
            <w:shd w:val="clear" w:color="auto" w:fill="AEAAAA" w:themeFill="background2" w:themeFillShade="BF"/>
          </w:tcPr>
          <w:p w14:paraId="1617A1C9" w14:textId="77777777" w:rsidR="00B076DF" w:rsidRPr="00CC5F1C" w:rsidRDefault="00B076DF" w:rsidP="00B076DF">
            <w:pPr>
              <w:jc w:val="center"/>
              <w:rPr>
                <w:rFonts w:ascii="Arial" w:hAnsi="Arial" w:cs="Arial"/>
                <w:b/>
                <w:bCs/>
                <w:color w:val="000000"/>
                <w:sz w:val="24"/>
                <w:szCs w:val="24"/>
              </w:rPr>
            </w:pPr>
            <w:r w:rsidRPr="00CC5F1C">
              <w:rPr>
                <w:rFonts w:ascii="Arial" w:hAnsi="Arial" w:cs="Arial"/>
                <w:b/>
                <w:bCs/>
                <w:color w:val="000000"/>
                <w:sz w:val="24"/>
                <w:szCs w:val="24"/>
              </w:rPr>
              <w:t>n (%)</w:t>
            </w:r>
          </w:p>
        </w:tc>
      </w:tr>
      <w:tr w:rsidR="00B076DF" w:rsidRPr="00CC5F1C" w14:paraId="0304395B" w14:textId="77777777" w:rsidTr="00B076DF">
        <w:trPr>
          <w:trHeight w:val="520"/>
        </w:trPr>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429FDAA1" w14:textId="77777777" w:rsidR="00B076DF" w:rsidRPr="00CC5F1C" w:rsidRDefault="00B076DF" w:rsidP="00B076DF">
            <w:pPr>
              <w:jc w:val="center"/>
              <w:rPr>
                <w:rFonts w:ascii="Arial" w:hAnsi="Arial" w:cs="Arial"/>
                <w:b/>
                <w:bCs/>
                <w:color w:val="000000"/>
              </w:rPr>
            </w:pPr>
            <w:r w:rsidRPr="00CC5F1C">
              <w:rPr>
                <w:rFonts w:ascii="Arial" w:hAnsi="Arial" w:cs="Arial"/>
                <w:b/>
                <w:bCs/>
                <w:color w:val="000000"/>
              </w:rPr>
              <w:t>1</w:t>
            </w:r>
          </w:p>
        </w:tc>
        <w:tc>
          <w:tcPr>
            <w:tcW w:w="4591" w:type="dxa"/>
            <w:vMerge w:val="restart"/>
            <w:tcBorders>
              <w:top w:val="single" w:sz="4" w:space="0" w:color="auto"/>
              <w:left w:val="nil"/>
              <w:bottom w:val="nil"/>
              <w:right w:val="nil"/>
            </w:tcBorders>
            <w:shd w:val="clear" w:color="auto" w:fill="D9D9D9" w:themeFill="background1" w:themeFillShade="D9"/>
            <w:vAlign w:val="center"/>
          </w:tcPr>
          <w:p w14:paraId="0993382B"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Should the ambulance be able to pick up blood products at the intermediary facility and administer them to the patient during the remainder of transport to Regional Center?</w:t>
            </w:r>
          </w:p>
        </w:tc>
        <w:tc>
          <w:tcPr>
            <w:tcW w:w="3019" w:type="dxa"/>
            <w:tcBorders>
              <w:top w:val="single" w:sz="4" w:space="0" w:color="auto"/>
              <w:left w:val="nil"/>
              <w:bottom w:val="nil"/>
              <w:right w:val="nil"/>
            </w:tcBorders>
            <w:shd w:val="clear" w:color="auto" w:fill="D9D9D9" w:themeFill="background1" w:themeFillShade="D9"/>
            <w:vAlign w:val="center"/>
          </w:tcPr>
          <w:p w14:paraId="6FDE8FC0"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w:t>
            </w:r>
          </w:p>
        </w:tc>
        <w:tc>
          <w:tcPr>
            <w:tcW w:w="1386" w:type="dxa"/>
            <w:tcBorders>
              <w:top w:val="single" w:sz="4" w:space="0" w:color="auto"/>
              <w:left w:val="nil"/>
              <w:bottom w:val="nil"/>
              <w:right w:val="single" w:sz="4" w:space="0" w:color="auto"/>
            </w:tcBorders>
            <w:shd w:val="clear" w:color="auto" w:fill="D9D9D9" w:themeFill="background1" w:themeFillShade="D9"/>
            <w:vAlign w:val="center"/>
          </w:tcPr>
          <w:p w14:paraId="483DB98D"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3 (7.5%)</w:t>
            </w:r>
          </w:p>
        </w:tc>
      </w:tr>
      <w:tr w:rsidR="00B076DF" w:rsidRPr="00CC5F1C" w14:paraId="466198A6" w14:textId="77777777" w:rsidTr="00B076DF">
        <w:tc>
          <w:tcPr>
            <w:tcW w:w="354" w:type="dxa"/>
            <w:vMerge/>
            <w:tcBorders>
              <w:top w:val="nil"/>
              <w:left w:val="single" w:sz="4" w:space="0" w:color="auto"/>
              <w:bottom w:val="single" w:sz="4" w:space="0" w:color="auto"/>
              <w:right w:val="nil"/>
            </w:tcBorders>
            <w:shd w:val="clear" w:color="auto" w:fill="AEAAAA" w:themeFill="background2" w:themeFillShade="BF"/>
          </w:tcPr>
          <w:p w14:paraId="54191772" w14:textId="77777777" w:rsidR="00B076DF" w:rsidRPr="00CC5F1C" w:rsidRDefault="00B076DF" w:rsidP="00B076DF">
            <w:pPr>
              <w:rPr>
                <w:rFonts w:ascii="Arial" w:hAnsi="Arial" w:cs="Arial"/>
                <w:b/>
                <w:bCs/>
                <w:color w:val="000000"/>
              </w:rPr>
            </w:pPr>
          </w:p>
        </w:tc>
        <w:tc>
          <w:tcPr>
            <w:tcW w:w="4591" w:type="dxa"/>
            <w:vMerge/>
            <w:tcBorders>
              <w:top w:val="nil"/>
              <w:left w:val="nil"/>
              <w:bottom w:val="single" w:sz="4" w:space="0" w:color="auto"/>
              <w:right w:val="nil"/>
            </w:tcBorders>
            <w:shd w:val="clear" w:color="auto" w:fill="D9D9D9" w:themeFill="background1" w:themeFillShade="D9"/>
          </w:tcPr>
          <w:p w14:paraId="61A563E1"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vAlign w:val="center"/>
          </w:tcPr>
          <w:p w14:paraId="20F59C10"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Yes</w:t>
            </w:r>
          </w:p>
        </w:tc>
        <w:tc>
          <w:tcPr>
            <w:tcW w:w="1386" w:type="dxa"/>
            <w:tcBorders>
              <w:top w:val="nil"/>
              <w:left w:val="nil"/>
              <w:bottom w:val="single" w:sz="4" w:space="0" w:color="auto"/>
              <w:right w:val="single" w:sz="4" w:space="0" w:color="auto"/>
            </w:tcBorders>
            <w:vAlign w:val="center"/>
          </w:tcPr>
          <w:p w14:paraId="0970C5D1"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37 (92.5%)</w:t>
            </w:r>
          </w:p>
        </w:tc>
      </w:tr>
      <w:tr w:rsidR="00B076DF" w:rsidRPr="00CC5F1C" w14:paraId="0D25AD8F" w14:textId="77777777" w:rsidTr="00B076DF">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2929FB36" w14:textId="77777777" w:rsidR="00B076DF" w:rsidRPr="00CC5F1C" w:rsidRDefault="00B076DF" w:rsidP="00B076DF">
            <w:pPr>
              <w:jc w:val="center"/>
              <w:rPr>
                <w:rFonts w:ascii="Arial" w:hAnsi="Arial" w:cs="Arial"/>
                <w:b/>
                <w:bCs/>
                <w:color w:val="000000"/>
              </w:rPr>
            </w:pPr>
            <w:r w:rsidRPr="00CC5F1C">
              <w:rPr>
                <w:rFonts w:ascii="Arial" w:hAnsi="Arial" w:cs="Arial"/>
                <w:b/>
                <w:bCs/>
                <w:color w:val="000000"/>
              </w:rPr>
              <w:t>2</w:t>
            </w:r>
          </w:p>
        </w:tc>
        <w:tc>
          <w:tcPr>
            <w:tcW w:w="4591" w:type="dxa"/>
            <w:vMerge w:val="restart"/>
            <w:tcBorders>
              <w:top w:val="single" w:sz="4" w:space="0" w:color="auto"/>
              <w:left w:val="nil"/>
              <w:bottom w:val="nil"/>
              <w:right w:val="nil"/>
            </w:tcBorders>
            <w:shd w:val="clear" w:color="auto" w:fill="auto"/>
            <w:vAlign w:val="center"/>
          </w:tcPr>
          <w:p w14:paraId="4A971777"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Is this concept of "blood pickup" without the client becoming a patient at your facility currently allowed?</w:t>
            </w:r>
          </w:p>
        </w:tc>
        <w:tc>
          <w:tcPr>
            <w:tcW w:w="3019" w:type="dxa"/>
            <w:tcBorders>
              <w:top w:val="single" w:sz="4" w:space="0" w:color="auto"/>
              <w:left w:val="nil"/>
              <w:bottom w:val="nil"/>
              <w:right w:val="nil"/>
            </w:tcBorders>
            <w:shd w:val="clear" w:color="auto" w:fill="D9D9D9" w:themeFill="background1" w:themeFillShade="D9"/>
            <w:vAlign w:val="center"/>
          </w:tcPr>
          <w:p w14:paraId="216C09B2"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 It's not allowed</w:t>
            </w:r>
          </w:p>
        </w:tc>
        <w:tc>
          <w:tcPr>
            <w:tcW w:w="1386" w:type="dxa"/>
            <w:tcBorders>
              <w:top w:val="single" w:sz="4" w:space="0" w:color="auto"/>
              <w:left w:val="nil"/>
              <w:bottom w:val="nil"/>
              <w:right w:val="single" w:sz="4" w:space="0" w:color="auto"/>
            </w:tcBorders>
            <w:shd w:val="clear" w:color="auto" w:fill="D9D9D9" w:themeFill="background1" w:themeFillShade="D9"/>
            <w:vAlign w:val="center"/>
          </w:tcPr>
          <w:p w14:paraId="48BCC6DB"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12 (30.8%)</w:t>
            </w:r>
          </w:p>
        </w:tc>
      </w:tr>
      <w:tr w:rsidR="00B076DF" w:rsidRPr="00CC5F1C" w14:paraId="3F27020C" w14:textId="77777777" w:rsidTr="00B076DF">
        <w:tc>
          <w:tcPr>
            <w:tcW w:w="354" w:type="dxa"/>
            <w:vMerge/>
            <w:tcBorders>
              <w:top w:val="nil"/>
              <w:left w:val="single" w:sz="4" w:space="0" w:color="auto"/>
              <w:bottom w:val="nil"/>
              <w:right w:val="nil"/>
            </w:tcBorders>
            <w:shd w:val="clear" w:color="auto" w:fill="AEAAAA" w:themeFill="background2" w:themeFillShade="BF"/>
          </w:tcPr>
          <w:p w14:paraId="797FECEF"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auto"/>
          </w:tcPr>
          <w:p w14:paraId="3BB1908C"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2603314A"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Possibly, but we do not have a process in place</w:t>
            </w:r>
          </w:p>
        </w:tc>
        <w:tc>
          <w:tcPr>
            <w:tcW w:w="1386" w:type="dxa"/>
            <w:tcBorders>
              <w:top w:val="nil"/>
              <w:left w:val="nil"/>
              <w:bottom w:val="nil"/>
              <w:right w:val="single" w:sz="4" w:space="0" w:color="auto"/>
            </w:tcBorders>
            <w:shd w:val="clear" w:color="auto" w:fill="auto"/>
            <w:vAlign w:val="center"/>
          </w:tcPr>
          <w:p w14:paraId="6386A2F8"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19 (48.7%)</w:t>
            </w:r>
          </w:p>
        </w:tc>
      </w:tr>
      <w:tr w:rsidR="00B076DF" w:rsidRPr="00CC5F1C" w14:paraId="3754A7EA" w14:textId="77777777" w:rsidTr="00B076DF">
        <w:tc>
          <w:tcPr>
            <w:tcW w:w="354" w:type="dxa"/>
            <w:vMerge/>
            <w:tcBorders>
              <w:top w:val="nil"/>
              <w:left w:val="single" w:sz="4" w:space="0" w:color="auto"/>
              <w:bottom w:val="nil"/>
              <w:right w:val="nil"/>
            </w:tcBorders>
            <w:shd w:val="clear" w:color="auto" w:fill="AEAAAA" w:themeFill="background2" w:themeFillShade="BF"/>
          </w:tcPr>
          <w:p w14:paraId="56866D29"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auto"/>
          </w:tcPr>
          <w:p w14:paraId="7E169FD3"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D9D9D9" w:themeFill="background1" w:themeFillShade="D9"/>
            <w:vAlign w:val="center"/>
          </w:tcPr>
          <w:p w14:paraId="44FE4B00"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Yes. It'd be allowed, but we have never done it</w:t>
            </w:r>
          </w:p>
        </w:tc>
        <w:tc>
          <w:tcPr>
            <w:tcW w:w="1386" w:type="dxa"/>
            <w:tcBorders>
              <w:top w:val="nil"/>
              <w:left w:val="nil"/>
              <w:bottom w:val="nil"/>
              <w:right w:val="single" w:sz="4" w:space="0" w:color="auto"/>
            </w:tcBorders>
            <w:shd w:val="clear" w:color="auto" w:fill="D9D9D9" w:themeFill="background1" w:themeFillShade="D9"/>
            <w:vAlign w:val="center"/>
          </w:tcPr>
          <w:p w14:paraId="6A9027D3"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4 (10.3%)</w:t>
            </w:r>
          </w:p>
        </w:tc>
      </w:tr>
      <w:tr w:rsidR="00B076DF" w:rsidRPr="00CC5F1C" w14:paraId="0BFD4449" w14:textId="77777777" w:rsidTr="00B076DF">
        <w:trPr>
          <w:trHeight w:val="515"/>
        </w:trPr>
        <w:tc>
          <w:tcPr>
            <w:tcW w:w="354" w:type="dxa"/>
            <w:vMerge/>
            <w:tcBorders>
              <w:top w:val="nil"/>
              <w:left w:val="single" w:sz="4" w:space="0" w:color="auto"/>
              <w:bottom w:val="single" w:sz="4" w:space="0" w:color="auto"/>
              <w:right w:val="nil"/>
            </w:tcBorders>
            <w:shd w:val="clear" w:color="auto" w:fill="AEAAAA" w:themeFill="background2" w:themeFillShade="BF"/>
          </w:tcPr>
          <w:p w14:paraId="45BA82D1" w14:textId="77777777" w:rsidR="00B076DF" w:rsidRPr="00CC5F1C" w:rsidRDefault="00B076DF" w:rsidP="00B076DF">
            <w:pPr>
              <w:rPr>
                <w:rFonts w:ascii="Arial" w:hAnsi="Arial" w:cs="Arial"/>
                <w:b/>
                <w:bCs/>
                <w:color w:val="000000"/>
              </w:rPr>
            </w:pPr>
          </w:p>
        </w:tc>
        <w:tc>
          <w:tcPr>
            <w:tcW w:w="4591" w:type="dxa"/>
            <w:vMerge/>
            <w:tcBorders>
              <w:top w:val="nil"/>
              <w:left w:val="nil"/>
              <w:bottom w:val="single" w:sz="4" w:space="0" w:color="auto"/>
              <w:right w:val="nil"/>
            </w:tcBorders>
            <w:shd w:val="clear" w:color="auto" w:fill="auto"/>
          </w:tcPr>
          <w:p w14:paraId="1F39585B"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shd w:val="clear" w:color="auto" w:fill="auto"/>
            <w:vAlign w:val="center"/>
          </w:tcPr>
          <w:p w14:paraId="75FF5905"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Yes. We have done it!</w:t>
            </w:r>
          </w:p>
        </w:tc>
        <w:tc>
          <w:tcPr>
            <w:tcW w:w="1386" w:type="dxa"/>
            <w:tcBorders>
              <w:top w:val="nil"/>
              <w:left w:val="nil"/>
              <w:bottom w:val="single" w:sz="4" w:space="0" w:color="auto"/>
              <w:right w:val="single" w:sz="4" w:space="0" w:color="auto"/>
            </w:tcBorders>
            <w:shd w:val="clear" w:color="auto" w:fill="auto"/>
            <w:vAlign w:val="center"/>
          </w:tcPr>
          <w:p w14:paraId="60071D56"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4 (10.3%)</w:t>
            </w:r>
          </w:p>
        </w:tc>
      </w:tr>
      <w:tr w:rsidR="00B076DF" w:rsidRPr="00CC5F1C" w14:paraId="23FCFCB2" w14:textId="77777777" w:rsidTr="00B076DF">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0E316868" w14:textId="77777777" w:rsidR="00B076DF" w:rsidRPr="00CC5F1C" w:rsidRDefault="00B076DF" w:rsidP="00B076DF">
            <w:pPr>
              <w:jc w:val="center"/>
              <w:rPr>
                <w:rFonts w:ascii="Arial" w:hAnsi="Arial" w:cs="Arial"/>
                <w:b/>
                <w:bCs/>
                <w:color w:val="000000"/>
              </w:rPr>
            </w:pPr>
            <w:r w:rsidRPr="00CC5F1C">
              <w:rPr>
                <w:rFonts w:ascii="Arial" w:hAnsi="Arial" w:cs="Arial"/>
                <w:b/>
                <w:bCs/>
                <w:color w:val="000000"/>
              </w:rPr>
              <w:t>3</w:t>
            </w:r>
          </w:p>
        </w:tc>
        <w:tc>
          <w:tcPr>
            <w:tcW w:w="4591" w:type="dxa"/>
            <w:vMerge w:val="restart"/>
            <w:tcBorders>
              <w:top w:val="single" w:sz="4" w:space="0" w:color="auto"/>
              <w:left w:val="nil"/>
              <w:bottom w:val="nil"/>
              <w:right w:val="nil"/>
            </w:tcBorders>
            <w:shd w:val="clear" w:color="auto" w:fill="D9D9D9" w:themeFill="background1" w:themeFillShade="D9"/>
            <w:vAlign w:val="center"/>
          </w:tcPr>
          <w:p w14:paraId="187F26FD"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When you think about this concept, do you think of it as something needed in Montana?</w:t>
            </w:r>
          </w:p>
        </w:tc>
        <w:tc>
          <w:tcPr>
            <w:tcW w:w="3019" w:type="dxa"/>
            <w:tcBorders>
              <w:top w:val="single" w:sz="4" w:space="0" w:color="auto"/>
              <w:left w:val="nil"/>
              <w:bottom w:val="nil"/>
              <w:right w:val="nil"/>
            </w:tcBorders>
            <w:shd w:val="clear" w:color="auto" w:fill="D9D9D9" w:themeFill="background1" w:themeFillShade="D9"/>
            <w:vAlign w:val="center"/>
          </w:tcPr>
          <w:p w14:paraId="61077D24"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Definitely need</w:t>
            </w:r>
          </w:p>
        </w:tc>
        <w:tc>
          <w:tcPr>
            <w:tcW w:w="1386" w:type="dxa"/>
            <w:tcBorders>
              <w:top w:val="single" w:sz="4" w:space="0" w:color="auto"/>
              <w:left w:val="nil"/>
              <w:bottom w:val="nil"/>
              <w:right w:val="single" w:sz="4" w:space="0" w:color="auto"/>
            </w:tcBorders>
            <w:shd w:val="clear" w:color="auto" w:fill="D9D9D9" w:themeFill="background1" w:themeFillShade="D9"/>
          </w:tcPr>
          <w:p w14:paraId="7758C7FC"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19 (47.5%)</w:t>
            </w:r>
          </w:p>
        </w:tc>
      </w:tr>
      <w:tr w:rsidR="00B076DF" w:rsidRPr="00CC5F1C" w14:paraId="30F44F0B" w14:textId="77777777" w:rsidTr="00B076DF">
        <w:tc>
          <w:tcPr>
            <w:tcW w:w="354" w:type="dxa"/>
            <w:vMerge/>
            <w:tcBorders>
              <w:top w:val="nil"/>
              <w:left w:val="single" w:sz="4" w:space="0" w:color="auto"/>
              <w:bottom w:val="nil"/>
              <w:right w:val="nil"/>
            </w:tcBorders>
            <w:shd w:val="clear" w:color="auto" w:fill="AEAAAA" w:themeFill="background2" w:themeFillShade="BF"/>
          </w:tcPr>
          <w:p w14:paraId="3B76ECBD"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D9D9D9" w:themeFill="background1" w:themeFillShade="D9"/>
          </w:tcPr>
          <w:p w14:paraId="5C64F1B7"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2799D844"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Probably need</w:t>
            </w:r>
          </w:p>
        </w:tc>
        <w:tc>
          <w:tcPr>
            <w:tcW w:w="1386" w:type="dxa"/>
            <w:tcBorders>
              <w:top w:val="nil"/>
              <w:left w:val="nil"/>
              <w:bottom w:val="nil"/>
              <w:right w:val="single" w:sz="4" w:space="0" w:color="auto"/>
            </w:tcBorders>
          </w:tcPr>
          <w:p w14:paraId="540A79ED"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11 (27.5%)</w:t>
            </w:r>
          </w:p>
        </w:tc>
      </w:tr>
      <w:tr w:rsidR="00B076DF" w:rsidRPr="00CC5F1C" w14:paraId="36CF660F" w14:textId="77777777" w:rsidTr="00B076DF">
        <w:tc>
          <w:tcPr>
            <w:tcW w:w="354" w:type="dxa"/>
            <w:vMerge/>
            <w:tcBorders>
              <w:top w:val="nil"/>
              <w:left w:val="single" w:sz="4" w:space="0" w:color="auto"/>
              <w:bottom w:val="nil"/>
              <w:right w:val="nil"/>
            </w:tcBorders>
            <w:shd w:val="clear" w:color="auto" w:fill="AEAAAA" w:themeFill="background2" w:themeFillShade="BF"/>
          </w:tcPr>
          <w:p w14:paraId="27891996"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D9D9D9" w:themeFill="background1" w:themeFillShade="D9"/>
          </w:tcPr>
          <w:p w14:paraId="51A758FF"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D9D9D9" w:themeFill="background1" w:themeFillShade="D9"/>
            <w:vAlign w:val="center"/>
          </w:tcPr>
          <w:p w14:paraId="1C0E0FBF"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Neutral</w:t>
            </w:r>
          </w:p>
        </w:tc>
        <w:tc>
          <w:tcPr>
            <w:tcW w:w="1386" w:type="dxa"/>
            <w:tcBorders>
              <w:top w:val="nil"/>
              <w:left w:val="nil"/>
              <w:bottom w:val="nil"/>
              <w:right w:val="single" w:sz="4" w:space="0" w:color="auto"/>
            </w:tcBorders>
            <w:shd w:val="clear" w:color="auto" w:fill="D9D9D9" w:themeFill="background1" w:themeFillShade="D9"/>
          </w:tcPr>
          <w:p w14:paraId="627ED572"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6 (15.0%)</w:t>
            </w:r>
          </w:p>
        </w:tc>
      </w:tr>
      <w:tr w:rsidR="00B076DF" w:rsidRPr="00CC5F1C" w14:paraId="33A7EAD4" w14:textId="77777777" w:rsidTr="00B076DF">
        <w:tc>
          <w:tcPr>
            <w:tcW w:w="354" w:type="dxa"/>
            <w:vMerge/>
            <w:tcBorders>
              <w:top w:val="nil"/>
              <w:left w:val="single" w:sz="4" w:space="0" w:color="auto"/>
              <w:bottom w:val="nil"/>
              <w:right w:val="nil"/>
            </w:tcBorders>
            <w:shd w:val="clear" w:color="auto" w:fill="AEAAAA" w:themeFill="background2" w:themeFillShade="BF"/>
          </w:tcPr>
          <w:p w14:paraId="4D8B19A7"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D9D9D9" w:themeFill="background1" w:themeFillShade="D9"/>
          </w:tcPr>
          <w:p w14:paraId="6C63EB17"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503EBFE0"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Probably don’t need</w:t>
            </w:r>
          </w:p>
        </w:tc>
        <w:tc>
          <w:tcPr>
            <w:tcW w:w="1386" w:type="dxa"/>
            <w:tcBorders>
              <w:top w:val="nil"/>
              <w:left w:val="nil"/>
              <w:bottom w:val="nil"/>
              <w:right w:val="single" w:sz="4" w:space="0" w:color="auto"/>
            </w:tcBorders>
          </w:tcPr>
          <w:p w14:paraId="1253CB38"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3 (7.5%)</w:t>
            </w:r>
          </w:p>
        </w:tc>
      </w:tr>
      <w:tr w:rsidR="00B076DF" w:rsidRPr="00CC5F1C" w14:paraId="48E3D570" w14:textId="77777777" w:rsidTr="00B076DF">
        <w:tc>
          <w:tcPr>
            <w:tcW w:w="354" w:type="dxa"/>
            <w:vMerge/>
            <w:tcBorders>
              <w:top w:val="nil"/>
              <w:left w:val="single" w:sz="4" w:space="0" w:color="auto"/>
              <w:bottom w:val="single" w:sz="4" w:space="0" w:color="auto"/>
              <w:right w:val="nil"/>
            </w:tcBorders>
            <w:shd w:val="clear" w:color="auto" w:fill="AEAAAA" w:themeFill="background2" w:themeFillShade="BF"/>
          </w:tcPr>
          <w:p w14:paraId="4BE8856E" w14:textId="77777777" w:rsidR="00B076DF" w:rsidRPr="00CC5F1C" w:rsidRDefault="00B076DF" w:rsidP="00B076DF">
            <w:pPr>
              <w:rPr>
                <w:rFonts w:ascii="Arial" w:hAnsi="Arial" w:cs="Arial"/>
                <w:b/>
                <w:bCs/>
                <w:color w:val="000000"/>
              </w:rPr>
            </w:pPr>
          </w:p>
        </w:tc>
        <w:tc>
          <w:tcPr>
            <w:tcW w:w="4591" w:type="dxa"/>
            <w:vMerge/>
            <w:tcBorders>
              <w:top w:val="nil"/>
              <w:left w:val="nil"/>
              <w:bottom w:val="single" w:sz="4" w:space="0" w:color="auto"/>
              <w:right w:val="nil"/>
            </w:tcBorders>
            <w:shd w:val="clear" w:color="auto" w:fill="D9D9D9" w:themeFill="background1" w:themeFillShade="D9"/>
          </w:tcPr>
          <w:p w14:paraId="3253B291"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shd w:val="clear" w:color="auto" w:fill="D9D9D9" w:themeFill="background1" w:themeFillShade="D9"/>
            <w:vAlign w:val="center"/>
          </w:tcPr>
          <w:p w14:paraId="4FF623D7"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Definitely don’t need</w:t>
            </w:r>
          </w:p>
        </w:tc>
        <w:tc>
          <w:tcPr>
            <w:tcW w:w="1386" w:type="dxa"/>
            <w:tcBorders>
              <w:top w:val="nil"/>
              <w:left w:val="nil"/>
              <w:bottom w:val="single" w:sz="4" w:space="0" w:color="auto"/>
              <w:right w:val="single" w:sz="4" w:space="0" w:color="auto"/>
            </w:tcBorders>
            <w:shd w:val="clear" w:color="auto" w:fill="D9D9D9" w:themeFill="background1" w:themeFillShade="D9"/>
          </w:tcPr>
          <w:p w14:paraId="30C9CDAB"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1 (2.5%)</w:t>
            </w:r>
          </w:p>
        </w:tc>
      </w:tr>
      <w:tr w:rsidR="00B076DF" w:rsidRPr="00CC5F1C" w14:paraId="6AA1919B" w14:textId="77777777" w:rsidTr="00B076DF">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67800BFE" w14:textId="77777777" w:rsidR="00B076DF" w:rsidRPr="00CC5F1C" w:rsidRDefault="00B076DF" w:rsidP="00B076DF">
            <w:pPr>
              <w:jc w:val="center"/>
              <w:rPr>
                <w:rFonts w:ascii="Arial" w:hAnsi="Arial" w:cs="Arial"/>
                <w:b/>
                <w:bCs/>
                <w:color w:val="000000"/>
              </w:rPr>
            </w:pPr>
            <w:r w:rsidRPr="00CC5F1C">
              <w:rPr>
                <w:rFonts w:ascii="Arial" w:hAnsi="Arial" w:cs="Arial"/>
                <w:b/>
                <w:bCs/>
                <w:color w:val="000000"/>
              </w:rPr>
              <w:t>4</w:t>
            </w:r>
          </w:p>
        </w:tc>
        <w:tc>
          <w:tcPr>
            <w:tcW w:w="4591" w:type="dxa"/>
            <w:vMerge w:val="restart"/>
            <w:tcBorders>
              <w:top w:val="single" w:sz="4" w:space="0" w:color="auto"/>
              <w:left w:val="nil"/>
              <w:bottom w:val="nil"/>
              <w:right w:val="nil"/>
            </w:tcBorders>
            <w:shd w:val="clear" w:color="auto" w:fill="auto"/>
            <w:vAlign w:val="center"/>
          </w:tcPr>
          <w:p w14:paraId="3658F51A"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How many patients would you have that needs this?</w:t>
            </w:r>
          </w:p>
        </w:tc>
        <w:tc>
          <w:tcPr>
            <w:tcW w:w="3019" w:type="dxa"/>
            <w:tcBorders>
              <w:top w:val="single" w:sz="4" w:space="0" w:color="auto"/>
              <w:left w:val="nil"/>
              <w:bottom w:val="nil"/>
              <w:right w:val="nil"/>
            </w:tcBorders>
            <w:shd w:val="clear" w:color="auto" w:fill="auto"/>
            <w:vAlign w:val="center"/>
          </w:tcPr>
          <w:p w14:paraId="0DBFBA85"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More than 5 patients/year</w:t>
            </w:r>
          </w:p>
        </w:tc>
        <w:tc>
          <w:tcPr>
            <w:tcW w:w="1386" w:type="dxa"/>
            <w:tcBorders>
              <w:top w:val="single" w:sz="4" w:space="0" w:color="auto"/>
              <w:left w:val="nil"/>
              <w:bottom w:val="nil"/>
              <w:right w:val="single" w:sz="4" w:space="0" w:color="auto"/>
            </w:tcBorders>
            <w:shd w:val="clear" w:color="auto" w:fill="auto"/>
            <w:vAlign w:val="center"/>
          </w:tcPr>
          <w:p w14:paraId="0F632C27"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4 (10.0%)</w:t>
            </w:r>
          </w:p>
        </w:tc>
      </w:tr>
      <w:tr w:rsidR="00B076DF" w:rsidRPr="00CC5F1C" w14:paraId="68CA7750" w14:textId="77777777" w:rsidTr="00B076DF">
        <w:tc>
          <w:tcPr>
            <w:tcW w:w="354" w:type="dxa"/>
            <w:vMerge/>
            <w:tcBorders>
              <w:top w:val="nil"/>
              <w:left w:val="single" w:sz="4" w:space="0" w:color="auto"/>
              <w:bottom w:val="nil"/>
              <w:right w:val="nil"/>
            </w:tcBorders>
            <w:shd w:val="clear" w:color="auto" w:fill="AEAAAA" w:themeFill="background2" w:themeFillShade="BF"/>
          </w:tcPr>
          <w:p w14:paraId="535BE569"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auto"/>
          </w:tcPr>
          <w:p w14:paraId="077CE1E3"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D9D9D9" w:themeFill="background1" w:themeFillShade="D9"/>
            <w:vAlign w:val="center"/>
          </w:tcPr>
          <w:p w14:paraId="5CF274CA"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3-4 patients/year</w:t>
            </w:r>
          </w:p>
        </w:tc>
        <w:tc>
          <w:tcPr>
            <w:tcW w:w="1386" w:type="dxa"/>
            <w:tcBorders>
              <w:top w:val="nil"/>
              <w:left w:val="nil"/>
              <w:bottom w:val="nil"/>
              <w:right w:val="single" w:sz="4" w:space="0" w:color="auto"/>
            </w:tcBorders>
            <w:shd w:val="clear" w:color="auto" w:fill="D9D9D9" w:themeFill="background1" w:themeFillShade="D9"/>
            <w:vAlign w:val="center"/>
          </w:tcPr>
          <w:p w14:paraId="5C77537B"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6 (15.0%)</w:t>
            </w:r>
          </w:p>
        </w:tc>
      </w:tr>
      <w:tr w:rsidR="00B076DF" w:rsidRPr="00CC5F1C" w14:paraId="474ACA54" w14:textId="77777777" w:rsidTr="00B076DF">
        <w:tc>
          <w:tcPr>
            <w:tcW w:w="354" w:type="dxa"/>
            <w:vMerge/>
            <w:tcBorders>
              <w:top w:val="nil"/>
              <w:left w:val="single" w:sz="4" w:space="0" w:color="auto"/>
              <w:bottom w:val="nil"/>
              <w:right w:val="nil"/>
            </w:tcBorders>
            <w:shd w:val="clear" w:color="auto" w:fill="AEAAAA" w:themeFill="background2" w:themeFillShade="BF"/>
          </w:tcPr>
          <w:p w14:paraId="3A502BE7" w14:textId="77777777" w:rsidR="00B076DF" w:rsidRPr="00CC5F1C" w:rsidRDefault="00B076DF" w:rsidP="00B076DF">
            <w:pPr>
              <w:rPr>
                <w:rFonts w:ascii="Arial" w:hAnsi="Arial" w:cs="Arial"/>
                <w:b/>
                <w:bCs/>
                <w:color w:val="000000"/>
              </w:rPr>
            </w:pPr>
          </w:p>
        </w:tc>
        <w:tc>
          <w:tcPr>
            <w:tcW w:w="4591" w:type="dxa"/>
            <w:vMerge/>
            <w:tcBorders>
              <w:top w:val="nil"/>
              <w:left w:val="nil"/>
              <w:bottom w:val="nil"/>
              <w:right w:val="nil"/>
            </w:tcBorders>
            <w:shd w:val="clear" w:color="auto" w:fill="auto"/>
          </w:tcPr>
          <w:p w14:paraId="30B10FB7"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13B4AE4F"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1-2 patients/year</w:t>
            </w:r>
          </w:p>
        </w:tc>
        <w:tc>
          <w:tcPr>
            <w:tcW w:w="1386" w:type="dxa"/>
            <w:tcBorders>
              <w:top w:val="nil"/>
              <w:left w:val="nil"/>
              <w:bottom w:val="nil"/>
              <w:right w:val="single" w:sz="4" w:space="0" w:color="auto"/>
            </w:tcBorders>
            <w:shd w:val="clear" w:color="auto" w:fill="auto"/>
            <w:vAlign w:val="center"/>
          </w:tcPr>
          <w:p w14:paraId="158FC37A"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21 (52.5%)</w:t>
            </w:r>
          </w:p>
        </w:tc>
      </w:tr>
      <w:tr w:rsidR="00B076DF" w:rsidRPr="00CC5F1C" w14:paraId="6DF3636F" w14:textId="77777777" w:rsidTr="00B076DF">
        <w:tc>
          <w:tcPr>
            <w:tcW w:w="354" w:type="dxa"/>
            <w:vMerge/>
            <w:tcBorders>
              <w:top w:val="nil"/>
              <w:left w:val="single" w:sz="4" w:space="0" w:color="auto"/>
              <w:bottom w:val="single" w:sz="4" w:space="0" w:color="auto"/>
              <w:right w:val="nil"/>
            </w:tcBorders>
            <w:shd w:val="clear" w:color="auto" w:fill="AEAAAA" w:themeFill="background2" w:themeFillShade="BF"/>
          </w:tcPr>
          <w:p w14:paraId="1B40DC66" w14:textId="77777777" w:rsidR="00B076DF" w:rsidRPr="00CC5F1C" w:rsidRDefault="00B076DF" w:rsidP="00B076DF">
            <w:pPr>
              <w:rPr>
                <w:rFonts w:ascii="Arial" w:hAnsi="Arial" w:cs="Arial"/>
                <w:b/>
                <w:bCs/>
                <w:color w:val="000000"/>
              </w:rPr>
            </w:pPr>
          </w:p>
        </w:tc>
        <w:tc>
          <w:tcPr>
            <w:tcW w:w="4591" w:type="dxa"/>
            <w:vMerge/>
            <w:tcBorders>
              <w:top w:val="nil"/>
              <w:left w:val="nil"/>
              <w:bottom w:val="single" w:sz="4" w:space="0" w:color="auto"/>
              <w:right w:val="nil"/>
            </w:tcBorders>
            <w:shd w:val="clear" w:color="auto" w:fill="auto"/>
          </w:tcPr>
          <w:p w14:paraId="2253ED67"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shd w:val="clear" w:color="auto" w:fill="D9D9D9" w:themeFill="background1" w:themeFillShade="D9"/>
            <w:vAlign w:val="center"/>
          </w:tcPr>
          <w:p w14:paraId="08C752AD"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0 patients - would not use</w:t>
            </w:r>
          </w:p>
        </w:tc>
        <w:tc>
          <w:tcPr>
            <w:tcW w:w="1386" w:type="dxa"/>
            <w:tcBorders>
              <w:top w:val="nil"/>
              <w:left w:val="nil"/>
              <w:bottom w:val="single" w:sz="4" w:space="0" w:color="auto"/>
              <w:right w:val="single" w:sz="4" w:space="0" w:color="auto"/>
            </w:tcBorders>
            <w:shd w:val="clear" w:color="auto" w:fill="D9D9D9" w:themeFill="background1" w:themeFillShade="D9"/>
            <w:vAlign w:val="center"/>
          </w:tcPr>
          <w:p w14:paraId="61BB6A8C"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9 (22.5%)</w:t>
            </w:r>
          </w:p>
        </w:tc>
      </w:tr>
      <w:tr w:rsidR="00B076DF" w:rsidRPr="00CC5F1C" w14:paraId="4FE11AD0" w14:textId="77777777" w:rsidTr="00B076DF">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2D3A8CB7" w14:textId="77777777" w:rsidR="00B076DF" w:rsidRPr="00CC5F1C" w:rsidRDefault="00B076DF" w:rsidP="00B076DF">
            <w:pPr>
              <w:jc w:val="center"/>
              <w:rPr>
                <w:rFonts w:ascii="Arial" w:hAnsi="Arial" w:cs="Arial"/>
                <w:b/>
                <w:bCs/>
                <w:color w:val="000000"/>
              </w:rPr>
            </w:pPr>
            <w:r w:rsidRPr="00CC5F1C">
              <w:rPr>
                <w:rFonts w:ascii="Arial" w:hAnsi="Arial" w:cs="Arial"/>
                <w:b/>
                <w:bCs/>
                <w:color w:val="000000"/>
              </w:rPr>
              <w:t>5</w:t>
            </w:r>
          </w:p>
        </w:tc>
        <w:tc>
          <w:tcPr>
            <w:tcW w:w="4591" w:type="dxa"/>
            <w:vMerge w:val="restart"/>
            <w:tcBorders>
              <w:top w:val="single" w:sz="4" w:space="0" w:color="auto"/>
              <w:left w:val="nil"/>
              <w:bottom w:val="nil"/>
              <w:right w:val="nil"/>
            </w:tcBorders>
            <w:shd w:val="clear" w:color="auto" w:fill="D9D9D9" w:themeFill="background1" w:themeFillShade="D9"/>
            <w:vAlign w:val="center"/>
          </w:tcPr>
          <w:p w14:paraId="3A3517D5"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How difficult would it be to get administration/laboratory approval at your facility with this process?</w:t>
            </w:r>
          </w:p>
        </w:tc>
        <w:tc>
          <w:tcPr>
            <w:tcW w:w="3019" w:type="dxa"/>
            <w:tcBorders>
              <w:top w:val="single" w:sz="4" w:space="0" w:color="auto"/>
              <w:left w:val="nil"/>
              <w:bottom w:val="nil"/>
              <w:right w:val="nil"/>
            </w:tcBorders>
            <w:shd w:val="clear" w:color="auto" w:fill="auto"/>
            <w:vAlign w:val="center"/>
          </w:tcPr>
          <w:p w14:paraId="21E00792"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Extremely difficult</w:t>
            </w:r>
          </w:p>
        </w:tc>
        <w:tc>
          <w:tcPr>
            <w:tcW w:w="1386" w:type="dxa"/>
            <w:tcBorders>
              <w:top w:val="single" w:sz="4" w:space="0" w:color="auto"/>
              <w:left w:val="nil"/>
              <w:bottom w:val="nil"/>
              <w:right w:val="single" w:sz="4" w:space="0" w:color="auto"/>
            </w:tcBorders>
            <w:shd w:val="clear" w:color="auto" w:fill="auto"/>
            <w:vAlign w:val="center"/>
          </w:tcPr>
          <w:p w14:paraId="2A8F2091"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2 (5.0%)</w:t>
            </w:r>
          </w:p>
        </w:tc>
      </w:tr>
      <w:tr w:rsidR="00B076DF" w:rsidRPr="00CC5F1C" w14:paraId="681EDE4C" w14:textId="77777777" w:rsidTr="00B076DF">
        <w:tc>
          <w:tcPr>
            <w:tcW w:w="354" w:type="dxa"/>
            <w:vMerge/>
            <w:tcBorders>
              <w:top w:val="nil"/>
              <w:left w:val="single" w:sz="4" w:space="0" w:color="auto"/>
              <w:bottom w:val="nil"/>
              <w:right w:val="nil"/>
            </w:tcBorders>
            <w:shd w:val="clear" w:color="auto" w:fill="AEAAAA" w:themeFill="background2" w:themeFillShade="BF"/>
          </w:tcPr>
          <w:p w14:paraId="09CE89FD" w14:textId="77777777" w:rsidR="00B076DF" w:rsidRPr="00CC5F1C" w:rsidRDefault="00B076DF" w:rsidP="00B076DF">
            <w:pPr>
              <w:rPr>
                <w:rFonts w:ascii="Arial" w:hAnsi="Arial" w:cs="Arial"/>
                <w:color w:val="000000"/>
              </w:rPr>
            </w:pPr>
          </w:p>
        </w:tc>
        <w:tc>
          <w:tcPr>
            <w:tcW w:w="4591" w:type="dxa"/>
            <w:vMerge/>
            <w:tcBorders>
              <w:top w:val="nil"/>
              <w:left w:val="nil"/>
              <w:bottom w:val="nil"/>
              <w:right w:val="nil"/>
            </w:tcBorders>
            <w:shd w:val="clear" w:color="auto" w:fill="D9D9D9" w:themeFill="background1" w:themeFillShade="D9"/>
          </w:tcPr>
          <w:p w14:paraId="53905C04"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D9D9D9" w:themeFill="background1" w:themeFillShade="D9"/>
            <w:vAlign w:val="center"/>
          </w:tcPr>
          <w:p w14:paraId="6426ECA1"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Very difficult</w:t>
            </w:r>
          </w:p>
        </w:tc>
        <w:tc>
          <w:tcPr>
            <w:tcW w:w="1386" w:type="dxa"/>
            <w:tcBorders>
              <w:top w:val="nil"/>
              <w:left w:val="nil"/>
              <w:bottom w:val="nil"/>
              <w:right w:val="single" w:sz="4" w:space="0" w:color="auto"/>
            </w:tcBorders>
            <w:shd w:val="clear" w:color="auto" w:fill="D9D9D9" w:themeFill="background1" w:themeFillShade="D9"/>
            <w:vAlign w:val="center"/>
          </w:tcPr>
          <w:p w14:paraId="4450BAE6"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5 (12.5%)</w:t>
            </w:r>
          </w:p>
        </w:tc>
      </w:tr>
      <w:tr w:rsidR="00B076DF" w:rsidRPr="00CC5F1C" w14:paraId="6CE1582A" w14:textId="77777777" w:rsidTr="00B076DF">
        <w:tc>
          <w:tcPr>
            <w:tcW w:w="354" w:type="dxa"/>
            <w:vMerge/>
            <w:tcBorders>
              <w:top w:val="nil"/>
              <w:left w:val="single" w:sz="4" w:space="0" w:color="auto"/>
              <w:bottom w:val="nil"/>
              <w:right w:val="nil"/>
            </w:tcBorders>
            <w:shd w:val="clear" w:color="auto" w:fill="AEAAAA" w:themeFill="background2" w:themeFillShade="BF"/>
          </w:tcPr>
          <w:p w14:paraId="0342F429" w14:textId="77777777" w:rsidR="00B076DF" w:rsidRPr="00CC5F1C" w:rsidRDefault="00B076DF" w:rsidP="00B076DF">
            <w:pPr>
              <w:rPr>
                <w:rFonts w:ascii="Arial" w:hAnsi="Arial" w:cs="Arial"/>
                <w:color w:val="000000"/>
              </w:rPr>
            </w:pPr>
          </w:p>
        </w:tc>
        <w:tc>
          <w:tcPr>
            <w:tcW w:w="4591" w:type="dxa"/>
            <w:vMerge/>
            <w:tcBorders>
              <w:top w:val="nil"/>
              <w:left w:val="nil"/>
              <w:bottom w:val="nil"/>
              <w:right w:val="nil"/>
            </w:tcBorders>
            <w:shd w:val="clear" w:color="auto" w:fill="D9D9D9" w:themeFill="background1" w:themeFillShade="D9"/>
          </w:tcPr>
          <w:p w14:paraId="3A9D879C"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486846C9"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Somewhat difficult</w:t>
            </w:r>
          </w:p>
        </w:tc>
        <w:tc>
          <w:tcPr>
            <w:tcW w:w="1386" w:type="dxa"/>
            <w:tcBorders>
              <w:top w:val="nil"/>
              <w:left w:val="nil"/>
              <w:bottom w:val="nil"/>
              <w:right w:val="single" w:sz="4" w:space="0" w:color="auto"/>
            </w:tcBorders>
            <w:shd w:val="clear" w:color="auto" w:fill="auto"/>
            <w:vAlign w:val="center"/>
          </w:tcPr>
          <w:p w14:paraId="63707910"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23 (57.5%)</w:t>
            </w:r>
          </w:p>
        </w:tc>
      </w:tr>
      <w:tr w:rsidR="00B076DF" w:rsidRPr="00CC5F1C" w14:paraId="4A5E3943" w14:textId="77777777" w:rsidTr="00B076DF">
        <w:tc>
          <w:tcPr>
            <w:tcW w:w="354" w:type="dxa"/>
            <w:vMerge/>
            <w:tcBorders>
              <w:top w:val="nil"/>
              <w:left w:val="single" w:sz="4" w:space="0" w:color="auto"/>
              <w:bottom w:val="nil"/>
              <w:right w:val="nil"/>
            </w:tcBorders>
            <w:shd w:val="clear" w:color="auto" w:fill="AEAAAA" w:themeFill="background2" w:themeFillShade="BF"/>
          </w:tcPr>
          <w:p w14:paraId="1C003F0B" w14:textId="77777777" w:rsidR="00B076DF" w:rsidRPr="00CC5F1C" w:rsidRDefault="00B076DF" w:rsidP="00B076DF">
            <w:pPr>
              <w:rPr>
                <w:rFonts w:ascii="Arial" w:hAnsi="Arial" w:cs="Arial"/>
                <w:color w:val="000000"/>
              </w:rPr>
            </w:pPr>
          </w:p>
        </w:tc>
        <w:tc>
          <w:tcPr>
            <w:tcW w:w="4591" w:type="dxa"/>
            <w:vMerge/>
            <w:tcBorders>
              <w:top w:val="nil"/>
              <w:left w:val="nil"/>
              <w:bottom w:val="nil"/>
              <w:right w:val="nil"/>
            </w:tcBorders>
            <w:shd w:val="clear" w:color="auto" w:fill="D9D9D9" w:themeFill="background1" w:themeFillShade="D9"/>
          </w:tcPr>
          <w:p w14:paraId="507F3F2B"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D9D9D9" w:themeFill="background1" w:themeFillShade="D9"/>
            <w:vAlign w:val="center"/>
          </w:tcPr>
          <w:p w14:paraId="3CA73AF9"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Not so difficult</w:t>
            </w:r>
          </w:p>
        </w:tc>
        <w:tc>
          <w:tcPr>
            <w:tcW w:w="1386" w:type="dxa"/>
            <w:tcBorders>
              <w:top w:val="nil"/>
              <w:left w:val="nil"/>
              <w:bottom w:val="nil"/>
              <w:right w:val="single" w:sz="4" w:space="0" w:color="auto"/>
            </w:tcBorders>
            <w:shd w:val="clear" w:color="auto" w:fill="D9D9D9" w:themeFill="background1" w:themeFillShade="D9"/>
            <w:vAlign w:val="center"/>
          </w:tcPr>
          <w:p w14:paraId="768E40F0"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5 (12.5%)</w:t>
            </w:r>
          </w:p>
        </w:tc>
      </w:tr>
      <w:tr w:rsidR="00B076DF" w:rsidRPr="00CC5F1C" w14:paraId="0337353F" w14:textId="77777777" w:rsidTr="00B076DF">
        <w:trPr>
          <w:trHeight w:val="379"/>
        </w:trPr>
        <w:tc>
          <w:tcPr>
            <w:tcW w:w="354" w:type="dxa"/>
            <w:vMerge/>
            <w:tcBorders>
              <w:top w:val="nil"/>
              <w:left w:val="single" w:sz="4" w:space="0" w:color="auto"/>
              <w:bottom w:val="single" w:sz="4" w:space="0" w:color="auto"/>
              <w:right w:val="nil"/>
            </w:tcBorders>
            <w:shd w:val="clear" w:color="auto" w:fill="AEAAAA" w:themeFill="background2" w:themeFillShade="BF"/>
          </w:tcPr>
          <w:p w14:paraId="1BC7A5C5" w14:textId="77777777" w:rsidR="00B076DF" w:rsidRPr="00CC5F1C" w:rsidRDefault="00B076DF" w:rsidP="00B076DF">
            <w:pPr>
              <w:rPr>
                <w:rFonts w:ascii="Arial" w:hAnsi="Arial" w:cs="Arial"/>
                <w:color w:val="000000"/>
              </w:rPr>
            </w:pPr>
          </w:p>
        </w:tc>
        <w:tc>
          <w:tcPr>
            <w:tcW w:w="4591" w:type="dxa"/>
            <w:vMerge/>
            <w:tcBorders>
              <w:top w:val="nil"/>
              <w:left w:val="nil"/>
              <w:bottom w:val="single" w:sz="4" w:space="0" w:color="auto"/>
              <w:right w:val="nil"/>
            </w:tcBorders>
            <w:shd w:val="clear" w:color="auto" w:fill="D9D9D9" w:themeFill="background1" w:themeFillShade="D9"/>
          </w:tcPr>
          <w:p w14:paraId="552F35A8"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shd w:val="clear" w:color="auto" w:fill="auto"/>
            <w:vAlign w:val="center"/>
          </w:tcPr>
          <w:p w14:paraId="0F2A45A0"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Not at all difficult</w:t>
            </w:r>
          </w:p>
        </w:tc>
        <w:tc>
          <w:tcPr>
            <w:tcW w:w="1386" w:type="dxa"/>
            <w:tcBorders>
              <w:top w:val="nil"/>
              <w:left w:val="nil"/>
              <w:bottom w:val="single" w:sz="4" w:space="0" w:color="auto"/>
              <w:right w:val="single" w:sz="4" w:space="0" w:color="auto"/>
            </w:tcBorders>
            <w:shd w:val="clear" w:color="auto" w:fill="auto"/>
            <w:vAlign w:val="center"/>
          </w:tcPr>
          <w:p w14:paraId="63BDCB90"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5 (12.5%)</w:t>
            </w:r>
          </w:p>
        </w:tc>
      </w:tr>
      <w:tr w:rsidR="00B076DF" w:rsidRPr="00CC5F1C" w14:paraId="3DB09C97" w14:textId="77777777" w:rsidTr="00B076DF">
        <w:tc>
          <w:tcPr>
            <w:tcW w:w="354" w:type="dxa"/>
            <w:vMerge w:val="restart"/>
            <w:tcBorders>
              <w:top w:val="single" w:sz="4" w:space="0" w:color="auto"/>
              <w:left w:val="single" w:sz="4" w:space="0" w:color="auto"/>
              <w:bottom w:val="nil"/>
              <w:right w:val="nil"/>
            </w:tcBorders>
            <w:shd w:val="clear" w:color="auto" w:fill="AEAAAA" w:themeFill="background2" w:themeFillShade="BF"/>
            <w:vAlign w:val="center"/>
          </w:tcPr>
          <w:p w14:paraId="780274DF" w14:textId="77777777" w:rsidR="00B076DF" w:rsidRPr="00CC5F1C" w:rsidRDefault="00B076DF" w:rsidP="00B076DF">
            <w:pPr>
              <w:rPr>
                <w:rFonts w:ascii="Arial" w:hAnsi="Arial" w:cs="Arial"/>
                <w:b/>
                <w:bCs/>
                <w:color w:val="000000"/>
              </w:rPr>
            </w:pPr>
            <w:r w:rsidRPr="00CC5F1C">
              <w:rPr>
                <w:rFonts w:ascii="Arial" w:hAnsi="Arial" w:cs="Arial"/>
                <w:b/>
                <w:bCs/>
                <w:color w:val="000000"/>
              </w:rPr>
              <w:t>6</w:t>
            </w:r>
          </w:p>
        </w:tc>
        <w:tc>
          <w:tcPr>
            <w:tcW w:w="4591" w:type="dxa"/>
            <w:vMerge w:val="restart"/>
            <w:tcBorders>
              <w:top w:val="single" w:sz="4" w:space="0" w:color="auto"/>
              <w:left w:val="nil"/>
              <w:bottom w:val="nil"/>
              <w:right w:val="nil"/>
            </w:tcBorders>
            <w:vAlign w:val="center"/>
          </w:tcPr>
          <w:p w14:paraId="114A77B1"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Does your facility have a qualified</w:t>
            </w:r>
            <w:r w:rsidRPr="00CC5F1C">
              <w:rPr>
                <w:rFonts w:ascii="Arial" w:hAnsi="Arial" w:cs="Arial"/>
                <w:b/>
                <w:bCs/>
                <w:color w:val="000000"/>
                <w:sz w:val="20"/>
                <w:szCs w:val="20"/>
              </w:rPr>
              <w:t>*</w:t>
            </w:r>
            <w:r w:rsidRPr="00CC5F1C">
              <w:rPr>
                <w:rFonts w:ascii="Arial" w:hAnsi="Arial" w:cs="Arial"/>
                <w:color w:val="000000"/>
                <w:sz w:val="20"/>
                <w:szCs w:val="20"/>
              </w:rPr>
              <w:t xml:space="preserve"> individual available to initiate blood during a patient ground transport?</w:t>
            </w:r>
          </w:p>
        </w:tc>
        <w:tc>
          <w:tcPr>
            <w:tcW w:w="3019" w:type="dxa"/>
            <w:tcBorders>
              <w:top w:val="single" w:sz="4" w:space="0" w:color="auto"/>
              <w:left w:val="nil"/>
              <w:bottom w:val="nil"/>
              <w:right w:val="nil"/>
            </w:tcBorders>
            <w:shd w:val="clear" w:color="auto" w:fill="D9D9D9" w:themeFill="background1" w:themeFillShade="D9"/>
            <w:vAlign w:val="center"/>
          </w:tcPr>
          <w:p w14:paraId="70DE8243"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 There is no paramedics/ CC paramedics and no RNs/ Providers available to leave the facility.</w:t>
            </w:r>
          </w:p>
        </w:tc>
        <w:tc>
          <w:tcPr>
            <w:tcW w:w="1386" w:type="dxa"/>
            <w:tcBorders>
              <w:top w:val="single" w:sz="4" w:space="0" w:color="auto"/>
              <w:left w:val="nil"/>
              <w:bottom w:val="nil"/>
              <w:right w:val="single" w:sz="4" w:space="0" w:color="auto"/>
            </w:tcBorders>
            <w:shd w:val="clear" w:color="auto" w:fill="D9D9D9" w:themeFill="background1" w:themeFillShade="D9"/>
            <w:vAlign w:val="center"/>
          </w:tcPr>
          <w:p w14:paraId="233830B0"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6 (15.4%)</w:t>
            </w:r>
          </w:p>
        </w:tc>
      </w:tr>
      <w:tr w:rsidR="00B076DF" w:rsidRPr="00CC5F1C" w14:paraId="5C8B46B3" w14:textId="77777777" w:rsidTr="00B076DF">
        <w:tc>
          <w:tcPr>
            <w:tcW w:w="354" w:type="dxa"/>
            <w:vMerge/>
            <w:tcBorders>
              <w:top w:val="nil"/>
              <w:left w:val="single" w:sz="4" w:space="0" w:color="auto"/>
              <w:bottom w:val="nil"/>
              <w:right w:val="nil"/>
            </w:tcBorders>
            <w:shd w:val="clear" w:color="auto" w:fill="AEAAAA" w:themeFill="background2" w:themeFillShade="BF"/>
          </w:tcPr>
          <w:p w14:paraId="3B741FBA" w14:textId="77777777" w:rsidR="00B076DF" w:rsidRPr="00CC5F1C" w:rsidRDefault="00B076DF" w:rsidP="00B076DF">
            <w:pPr>
              <w:rPr>
                <w:rFonts w:ascii="Arial" w:hAnsi="Arial" w:cs="Arial"/>
                <w:color w:val="000000"/>
              </w:rPr>
            </w:pPr>
          </w:p>
        </w:tc>
        <w:tc>
          <w:tcPr>
            <w:tcW w:w="4591" w:type="dxa"/>
            <w:vMerge/>
            <w:tcBorders>
              <w:top w:val="nil"/>
              <w:left w:val="nil"/>
              <w:bottom w:val="nil"/>
              <w:right w:val="nil"/>
            </w:tcBorders>
          </w:tcPr>
          <w:p w14:paraId="70F1F85C" w14:textId="77777777" w:rsidR="00B076DF" w:rsidRPr="00CC5F1C" w:rsidRDefault="00B076DF" w:rsidP="00B076DF">
            <w:pPr>
              <w:rPr>
                <w:rFonts w:ascii="Arial" w:hAnsi="Arial" w:cs="Arial"/>
                <w:color w:val="000000"/>
                <w:sz w:val="20"/>
                <w:szCs w:val="20"/>
              </w:rPr>
            </w:pPr>
          </w:p>
        </w:tc>
        <w:tc>
          <w:tcPr>
            <w:tcW w:w="3019" w:type="dxa"/>
            <w:tcBorders>
              <w:top w:val="nil"/>
              <w:left w:val="nil"/>
              <w:bottom w:val="nil"/>
              <w:right w:val="nil"/>
            </w:tcBorders>
            <w:shd w:val="clear" w:color="auto" w:fill="auto"/>
            <w:vAlign w:val="center"/>
          </w:tcPr>
          <w:p w14:paraId="0DD1E0CE"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No paramedics/ CC paramedics, but RNs/ Providers are available.</w:t>
            </w:r>
          </w:p>
        </w:tc>
        <w:tc>
          <w:tcPr>
            <w:tcW w:w="1386" w:type="dxa"/>
            <w:tcBorders>
              <w:top w:val="nil"/>
              <w:left w:val="nil"/>
              <w:bottom w:val="nil"/>
              <w:right w:val="single" w:sz="4" w:space="0" w:color="auto"/>
            </w:tcBorders>
            <w:vAlign w:val="center"/>
          </w:tcPr>
          <w:p w14:paraId="47A9EA38"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8 (20.5%)</w:t>
            </w:r>
          </w:p>
        </w:tc>
      </w:tr>
      <w:tr w:rsidR="00B076DF" w:rsidRPr="00CC5F1C" w14:paraId="771BA160" w14:textId="77777777" w:rsidTr="00B076DF">
        <w:tc>
          <w:tcPr>
            <w:tcW w:w="354" w:type="dxa"/>
            <w:vMerge/>
            <w:tcBorders>
              <w:top w:val="nil"/>
              <w:left w:val="single" w:sz="4" w:space="0" w:color="auto"/>
              <w:bottom w:val="single" w:sz="4" w:space="0" w:color="auto"/>
              <w:right w:val="nil"/>
            </w:tcBorders>
            <w:shd w:val="clear" w:color="auto" w:fill="AEAAAA" w:themeFill="background2" w:themeFillShade="BF"/>
          </w:tcPr>
          <w:p w14:paraId="6624317E" w14:textId="77777777" w:rsidR="00B076DF" w:rsidRPr="00CC5F1C" w:rsidRDefault="00B076DF" w:rsidP="00B076DF">
            <w:pPr>
              <w:rPr>
                <w:rFonts w:ascii="Arial" w:hAnsi="Arial" w:cs="Arial"/>
                <w:color w:val="000000"/>
              </w:rPr>
            </w:pPr>
          </w:p>
        </w:tc>
        <w:tc>
          <w:tcPr>
            <w:tcW w:w="4591" w:type="dxa"/>
            <w:vMerge/>
            <w:tcBorders>
              <w:top w:val="nil"/>
              <w:left w:val="nil"/>
              <w:bottom w:val="single" w:sz="4" w:space="0" w:color="auto"/>
              <w:right w:val="nil"/>
            </w:tcBorders>
          </w:tcPr>
          <w:p w14:paraId="158BA144" w14:textId="77777777" w:rsidR="00B076DF" w:rsidRPr="00CC5F1C" w:rsidRDefault="00B076DF" w:rsidP="00B076DF">
            <w:pPr>
              <w:rPr>
                <w:rFonts w:ascii="Arial" w:hAnsi="Arial" w:cs="Arial"/>
                <w:color w:val="000000"/>
                <w:sz w:val="20"/>
                <w:szCs w:val="20"/>
              </w:rPr>
            </w:pPr>
          </w:p>
        </w:tc>
        <w:tc>
          <w:tcPr>
            <w:tcW w:w="3019" w:type="dxa"/>
            <w:tcBorders>
              <w:top w:val="nil"/>
              <w:left w:val="nil"/>
              <w:bottom w:val="single" w:sz="4" w:space="0" w:color="auto"/>
              <w:right w:val="nil"/>
            </w:tcBorders>
            <w:shd w:val="clear" w:color="auto" w:fill="D9D9D9" w:themeFill="background1" w:themeFillShade="D9"/>
            <w:vAlign w:val="center"/>
          </w:tcPr>
          <w:p w14:paraId="28B67629" w14:textId="77777777" w:rsidR="00B076DF" w:rsidRPr="00CC5F1C" w:rsidRDefault="00B076DF" w:rsidP="00B076DF">
            <w:pPr>
              <w:rPr>
                <w:rFonts w:ascii="Arial" w:hAnsi="Arial" w:cs="Arial"/>
                <w:color w:val="000000"/>
                <w:sz w:val="20"/>
                <w:szCs w:val="20"/>
              </w:rPr>
            </w:pPr>
            <w:r w:rsidRPr="00CC5F1C">
              <w:rPr>
                <w:rFonts w:ascii="Arial" w:hAnsi="Arial" w:cs="Arial"/>
                <w:color w:val="000000"/>
                <w:sz w:val="20"/>
                <w:szCs w:val="20"/>
              </w:rPr>
              <w:t>Yes, paramedics/ CC paramedics are available</w:t>
            </w:r>
          </w:p>
        </w:tc>
        <w:tc>
          <w:tcPr>
            <w:tcW w:w="1386" w:type="dxa"/>
            <w:tcBorders>
              <w:top w:val="nil"/>
              <w:left w:val="nil"/>
              <w:bottom w:val="single" w:sz="4" w:space="0" w:color="auto"/>
              <w:right w:val="single" w:sz="4" w:space="0" w:color="auto"/>
            </w:tcBorders>
            <w:shd w:val="clear" w:color="auto" w:fill="D9D9D9" w:themeFill="background1" w:themeFillShade="D9"/>
            <w:vAlign w:val="center"/>
          </w:tcPr>
          <w:p w14:paraId="7ADFCF2B" w14:textId="77777777" w:rsidR="00B076DF" w:rsidRPr="00CC5F1C" w:rsidRDefault="00B076DF" w:rsidP="00B076DF">
            <w:pPr>
              <w:jc w:val="center"/>
              <w:rPr>
                <w:rFonts w:ascii="Arial" w:hAnsi="Arial" w:cs="Arial"/>
                <w:color w:val="000000"/>
                <w:sz w:val="20"/>
                <w:szCs w:val="20"/>
              </w:rPr>
            </w:pPr>
            <w:r w:rsidRPr="00CC5F1C">
              <w:rPr>
                <w:rFonts w:ascii="Arial" w:hAnsi="Arial" w:cs="Arial"/>
                <w:color w:val="000000"/>
                <w:sz w:val="20"/>
                <w:szCs w:val="20"/>
              </w:rPr>
              <w:t>25 (64.1%)</w:t>
            </w:r>
          </w:p>
        </w:tc>
      </w:tr>
    </w:tbl>
    <w:p w14:paraId="04135133" w14:textId="2B8F3BCD" w:rsidR="00586154" w:rsidRPr="00CC5F1C" w:rsidRDefault="00586154">
      <w:pPr>
        <w:rPr>
          <w:rFonts w:ascii="Arial" w:hAnsi="Arial" w:cs="Arial"/>
          <w:color w:val="000000"/>
        </w:rPr>
      </w:pPr>
    </w:p>
    <w:p w14:paraId="48FC0494" w14:textId="74CD36F5" w:rsidR="00B076DF" w:rsidRPr="00CC5F1C" w:rsidRDefault="00B076DF" w:rsidP="00B076DF">
      <w:pPr>
        <w:rPr>
          <w:rFonts w:ascii="Arial" w:hAnsi="Arial" w:cs="Arial"/>
          <w:color w:val="000000"/>
          <w:sz w:val="20"/>
          <w:szCs w:val="20"/>
        </w:rPr>
      </w:pPr>
      <w:r w:rsidRPr="00CC5F1C">
        <w:rPr>
          <w:rFonts w:ascii="Arial" w:hAnsi="Arial" w:cs="Arial"/>
          <w:b/>
          <w:bCs/>
          <w:color w:val="000000"/>
          <w:sz w:val="20"/>
          <w:szCs w:val="20"/>
        </w:rPr>
        <w:t>*</w:t>
      </w:r>
      <w:r w:rsidRPr="00CC5F1C">
        <w:rPr>
          <w:rFonts w:ascii="Arial" w:hAnsi="Arial" w:cs="Arial"/>
          <w:color w:val="000000"/>
          <w:sz w:val="20"/>
          <w:szCs w:val="20"/>
        </w:rPr>
        <w:t>In the State of Montana, paramedics, critical care (CC) paramedics, registered nurses (RN) and providers can initiate or continue the administration of blood products.</w:t>
      </w:r>
    </w:p>
    <w:p w14:paraId="249D86D7" w14:textId="77777777" w:rsidR="00333CEE" w:rsidRPr="00CC5F1C" w:rsidRDefault="00333CEE">
      <w:pPr>
        <w:rPr>
          <w:rFonts w:ascii="Arial" w:hAnsi="Arial" w:cs="Arial"/>
          <w:b/>
          <w:bCs/>
          <w:color w:val="000000"/>
          <w:u w:val="single"/>
        </w:rPr>
      </w:pPr>
      <w:r w:rsidRPr="00CC5F1C">
        <w:rPr>
          <w:rFonts w:ascii="Arial" w:hAnsi="Arial" w:cs="Arial"/>
          <w:b/>
          <w:bCs/>
          <w:color w:val="000000"/>
          <w:u w:val="single"/>
        </w:rPr>
        <w:br w:type="page"/>
      </w:r>
    </w:p>
    <w:p w14:paraId="5732B10B" w14:textId="2AE4BFC4"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lastRenderedPageBreak/>
        <w:t xml:space="preserve">Supplemental Materials </w:t>
      </w:r>
      <w:r w:rsidR="00333CEE" w:rsidRPr="00CC5F1C">
        <w:rPr>
          <w:rFonts w:ascii="Arial" w:hAnsi="Arial" w:cs="Arial"/>
          <w:b/>
          <w:bCs/>
          <w:color w:val="000000"/>
          <w:u w:val="single"/>
        </w:rPr>
        <w:t>2</w:t>
      </w:r>
    </w:p>
    <w:tbl>
      <w:tblPr>
        <w:tblStyle w:val="TableGrid"/>
        <w:tblW w:w="0" w:type="auto"/>
        <w:tblLook w:val="04A0" w:firstRow="1" w:lastRow="0" w:firstColumn="1" w:lastColumn="0" w:noHBand="0" w:noVBand="1"/>
      </w:tblPr>
      <w:tblGrid>
        <w:gridCol w:w="9120"/>
      </w:tblGrid>
      <w:tr w:rsidR="009F631C" w:rsidRPr="00CC5F1C" w14:paraId="1D88E4C5" w14:textId="77777777" w:rsidTr="00703EFB">
        <w:trPr>
          <w:trHeight w:val="516"/>
        </w:trPr>
        <w:tc>
          <w:tcPr>
            <w:tcW w:w="9120" w:type="dxa"/>
          </w:tcPr>
          <w:p w14:paraId="04A3DE04" w14:textId="77777777" w:rsidR="009F631C" w:rsidRPr="00CC5F1C" w:rsidRDefault="009F631C" w:rsidP="00703EFB">
            <w:pPr>
              <w:jc w:val="center"/>
              <w:rPr>
                <w:rFonts w:ascii="Arial" w:hAnsi="Arial" w:cs="Arial"/>
                <w:color w:val="000000"/>
                <w:sz w:val="40"/>
                <w:szCs w:val="40"/>
              </w:rPr>
            </w:pPr>
            <w:r w:rsidRPr="00CC5F1C">
              <w:rPr>
                <w:rFonts w:ascii="Arial" w:hAnsi="Arial" w:cs="Arial"/>
                <w:color w:val="000000"/>
                <w:sz w:val="40"/>
                <w:szCs w:val="40"/>
              </w:rPr>
              <w:t>MT IBN Laboratory Guide for Blood Product Sharing</w:t>
            </w:r>
          </w:p>
        </w:tc>
      </w:tr>
    </w:tbl>
    <w:p w14:paraId="27BD1E94" w14:textId="77777777" w:rsidR="009F631C" w:rsidRPr="00CC5F1C" w:rsidRDefault="009F631C" w:rsidP="009F631C">
      <w:pPr>
        <w:rPr>
          <w:rFonts w:ascii="Arial" w:hAnsi="Arial" w:cs="Arial"/>
          <w:color w:val="000000"/>
        </w:rPr>
      </w:pPr>
    </w:p>
    <w:p w14:paraId="1D4AD268" w14:textId="77777777" w:rsidR="009F631C" w:rsidRPr="00CC5F1C" w:rsidRDefault="009F631C" w:rsidP="009F631C">
      <w:pPr>
        <w:rPr>
          <w:rFonts w:ascii="Arial" w:hAnsi="Arial" w:cs="Arial"/>
          <w:b/>
          <w:bCs/>
          <w:color w:val="000000"/>
          <w:sz w:val="24"/>
          <w:szCs w:val="24"/>
        </w:rPr>
      </w:pPr>
      <w:r w:rsidRPr="00CC5F1C">
        <w:rPr>
          <w:rFonts w:ascii="Arial" w:hAnsi="Arial" w:cs="Arial"/>
          <w:b/>
          <w:bCs/>
          <w:color w:val="000000"/>
          <w:sz w:val="24"/>
          <w:szCs w:val="24"/>
        </w:rPr>
        <w:t>PURPOSE</w:t>
      </w:r>
    </w:p>
    <w:p w14:paraId="5A76B3ED" w14:textId="77777777" w:rsidR="009F631C" w:rsidRPr="00CC5F1C" w:rsidRDefault="009F631C" w:rsidP="009F631C">
      <w:pPr>
        <w:rPr>
          <w:rFonts w:ascii="Arial" w:hAnsi="Arial" w:cs="Arial"/>
          <w:color w:val="000000"/>
          <w:sz w:val="24"/>
          <w:szCs w:val="24"/>
        </w:rPr>
      </w:pPr>
      <w:r w:rsidRPr="00CC5F1C">
        <w:rPr>
          <w:rFonts w:ascii="Arial" w:hAnsi="Arial" w:cs="Arial"/>
          <w:color w:val="000000"/>
          <w:sz w:val="24"/>
          <w:szCs w:val="24"/>
        </w:rPr>
        <w:t xml:space="preserve">The laboratory plays a vital role in providing lifesaving blood products to patients in need. It is imperative that these products be properly packaged and contain the necessary shipping/transfer documents for patient use and receipt into another facility. </w:t>
      </w:r>
    </w:p>
    <w:p w14:paraId="16E16444" w14:textId="77777777" w:rsidR="009F631C" w:rsidRPr="00CC5F1C" w:rsidRDefault="009F631C" w:rsidP="009F631C">
      <w:pPr>
        <w:rPr>
          <w:rFonts w:ascii="Arial" w:hAnsi="Arial" w:cs="Arial"/>
          <w:color w:val="000000"/>
          <w:sz w:val="24"/>
          <w:szCs w:val="24"/>
        </w:rPr>
      </w:pPr>
      <w:r w:rsidRPr="00CC5F1C">
        <w:rPr>
          <w:rFonts w:ascii="Arial" w:hAnsi="Arial" w:cs="Arial"/>
          <w:color w:val="000000"/>
          <w:sz w:val="24"/>
          <w:szCs w:val="24"/>
        </w:rPr>
        <w:t xml:space="preserve">This guide will provide instruction for properly preparing blood products for use when situations that require the use of MT IBN blood products sharing should arise.  </w:t>
      </w:r>
    </w:p>
    <w:p w14:paraId="5FD03E06" w14:textId="77777777" w:rsidR="009F631C" w:rsidRPr="00CC5F1C" w:rsidRDefault="009F631C" w:rsidP="009F631C">
      <w:pPr>
        <w:rPr>
          <w:rFonts w:ascii="Arial" w:hAnsi="Arial" w:cs="Arial"/>
          <w:color w:val="000000"/>
          <w:sz w:val="24"/>
          <w:szCs w:val="24"/>
        </w:rPr>
      </w:pPr>
    </w:p>
    <w:p w14:paraId="52E8444B" w14:textId="77777777" w:rsidR="009F631C" w:rsidRPr="00CC5F1C" w:rsidRDefault="009F631C" w:rsidP="009F631C">
      <w:pPr>
        <w:rPr>
          <w:rFonts w:ascii="Arial" w:hAnsi="Arial" w:cs="Arial"/>
          <w:b/>
          <w:bCs/>
          <w:color w:val="000000"/>
          <w:sz w:val="24"/>
          <w:szCs w:val="24"/>
        </w:rPr>
      </w:pPr>
      <w:r w:rsidRPr="00CC5F1C">
        <w:rPr>
          <w:rFonts w:ascii="Arial" w:hAnsi="Arial" w:cs="Arial"/>
          <w:b/>
          <w:bCs/>
          <w:color w:val="000000"/>
          <w:sz w:val="24"/>
          <w:szCs w:val="24"/>
        </w:rPr>
        <w:t>PROCEDURE</w:t>
      </w:r>
    </w:p>
    <w:p w14:paraId="3390E277" w14:textId="77777777" w:rsidR="009F631C" w:rsidRPr="00CC5F1C" w:rsidRDefault="009F631C" w:rsidP="009F631C">
      <w:pPr>
        <w:pStyle w:val="ListParagraph"/>
        <w:numPr>
          <w:ilvl w:val="0"/>
          <w:numId w:val="1"/>
        </w:numPr>
        <w:rPr>
          <w:rFonts w:ascii="Arial" w:hAnsi="Arial" w:cs="Arial"/>
          <w:b/>
          <w:bCs/>
          <w:color w:val="000000"/>
          <w:sz w:val="24"/>
          <w:szCs w:val="24"/>
        </w:rPr>
      </w:pPr>
      <w:r w:rsidRPr="00CC5F1C">
        <w:rPr>
          <w:rFonts w:ascii="Arial" w:hAnsi="Arial" w:cs="Arial"/>
          <w:b/>
          <w:bCs/>
          <w:color w:val="000000"/>
          <w:sz w:val="24"/>
          <w:szCs w:val="24"/>
        </w:rPr>
        <w:t>Intermediary Sending Facility</w:t>
      </w:r>
    </w:p>
    <w:tbl>
      <w:tblPr>
        <w:tblStyle w:val="TableGrid"/>
        <w:tblW w:w="0" w:type="auto"/>
        <w:tblInd w:w="720" w:type="dxa"/>
        <w:tblLook w:val="04A0" w:firstRow="1" w:lastRow="0" w:firstColumn="1" w:lastColumn="0" w:noHBand="0" w:noVBand="1"/>
      </w:tblPr>
      <w:tblGrid>
        <w:gridCol w:w="805"/>
        <w:gridCol w:w="7825"/>
      </w:tblGrid>
      <w:tr w:rsidR="009F631C" w:rsidRPr="00CC5F1C" w14:paraId="66CE224A" w14:textId="77777777" w:rsidTr="00703EFB">
        <w:tc>
          <w:tcPr>
            <w:tcW w:w="805" w:type="dxa"/>
          </w:tcPr>
          <w:p w14:paraId="584CB450" w14:textId="77777777" w:rsidR="009F631C" w:rsidRPr="00CC5F1C" w:rsidRDefault="009F631C" w:rsidP="00703EFB">
            <w:pPr>
              <w:pStyle w:val="ListParagraph"/>
              <w:ind w:left="0"/>
              <w:rPr>
                <w:rFonts w:ascii="Arial" w:hAnsi="Arial" w:cs="Arial"/>
                <w:b/>
                <w:bCs/>
                <w:color w:val="000000"/>
                <w:sz w:val="24"/>
                <w:szCs w:val="24"/>
              </w:rPr>
            </w:pPr>
            <w:r w:rsidRPr="00CC5F1C">
              <w:rPr>
                <w:rFonts w:ascii="Arial" w:hAnsi="Arial" w:cs="Arial"/>
                <w:b/>
                <w:bCs/>
                <w:color w:val="000000"/>
                <w:sz w:val="24"/>
                <w:szCs w:val="24"/>
              </w:rPr>
              <w:t>Step</w:t>
            </w:r>
          </w:p>
        </w:tc>
        <w:tc>
          <w:tcPr>
            <w:tcW w:w="7825" w:type="dxa"/>
          </w:tcPr>
          <w:p w14:paraId="11AE4D0A" w14:textId="77777777" w:rsidR="009F631C" w:rsidRPr="00CC5F1C" w:rsidRDefault="009F631C" w:rsidP="00703EFB">
            <w:pPr>
              <w:pStyle w:val="ListParagraph"/>
              <w:ind w:left="0"/>
              <w:rPr>
                <w:rFonts w:ascii="Arial" w:hAnsi="Arial" w:cs="Arial"/>
                <w:b/>
                <w:bCs/>
                <w:color w:val="000000"/>
                <w:sz w:val="24"/>
                <w:szCs w:val="24"/>
              </w:rPr>
            </w:pPr>
            <w:r w:rsidRPr="00CC5F1C">
              <w:rPr>
                <w:rFonts w:ascii="Arial" w:hAnsi="Arial" w:cs="Arial"/>
                <w:b/>
                <w:bCs/>
                <w:color w:val="000000"/>
                <w:sz w:val="24"/>
                <w:szCs w:val="24"/>
              </w:rPr>
              <w:t>Action</w:t>
            </w:r>
          </w:p>
        </w:tc>
      </w:tr>
      <w:tr w:rsidR="009F631C" w:rsidRPr="00CC5F1C" w14:paraId="65B0ED95" w14:textId="77777777" w:rsidTr="00703EFB">
        <w:tc>
          <w:tcPr>
            <w:tcW w:w="805" w:type="dxa"/>
          </w:tcPr>
          <w:p w14:paraId="0D0670CA"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1</w:t>
            </w:r>
          </w:p>
        </w:tc>
        <w:tc>
          <w:tcPr>
            <w:tcW w:w="7825" w:type="dxa"/>
          </w:tcPr>
          <w:p w14:paraId="4B21AB2E"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Request for blood products is received.</w:t>
            </w:r>
          </w:p>
        </w:tc>
      </w:tr>
      <w:tr w:rsidR="009F631C" w:rsidRPr="00CC5F1C" w14:paraId="78B9C2BE" w14:textId="77777777" w:rsidTr="00703EFB">
        <w:tc>
          <w:tcPr>
            <w:tcW w:w="805" w:type="dxa"/>
          </w:tcPr>
          <w:p w14:paraId="4F976038"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2</w:t>
            </w:r>
          </w:p>
        </w:tc>
        <w:tc>
          <w:tcPr>
            <w:tcW w:w="7825" w:type="dxa"/>
          </w:tcPr>
          <w:p w14:paraId="7D531E2E"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Prepare products for “Emergency Release” according to your facility policies and procedures. </w:t>
            </w:r>
          </w:p>
        </w:tc>
      </w:tr>
      <w:tr w:rsidR="009F631C" w:rsidRPr="00CC5F1C" w14:paraId="4EAF2B33" w14:textId="77777777" w:rsidTr="00703EFB">
        <w:tc>
          <w:tcPr>
            <w:tcW w:w="805" w:type="dxa"/>
          </w:tcPr>
          <w:p w14:paraId="0970F2EE"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3</w:t>
            </w:r>
          </w:p>
        </w:tc>
        <w:tc>
          <w:tcPr>
            <w:tcW w:w="7825" w:type="dxa"/>
          </w:tcPr>
          <w:p w14:paraId="4D244A55" w14:textId="4DA7F891"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Retain 2 sets of red blood cell segments and fill out the appropriate transfer document required by your blood </w:t>
            </w:r>
            <w:r w:rsidR="00485892" w:rsidRPr="00CC5F1C">
              <w:rPr>
                <w:rFonts w:ascii="Arial" w:hAnsi="Arial" w:cs="Arial"/>
                <w:color w:val="000000"/>
                <w:sz w:val="24"/>
                <w:szCs w:val="24"/>
              </w:rPr>
              <w:t>supplier.</w:t>
            </w:r>
          </w:p>
          <w:p w14:paraId="04448FBA" w14:textId="02E012F8" w:rsidR="009F631C" w:rsidRPr="00CC5F1C" w:rsidRDefault="008D3CBA" w:rsidP="009F631C">
            <w:pPr>
              <w:pStyle w:val="ListParagraph"/>
              <w:numPr>
                <w:ilvl w:val="0"/>
                <w:numId w:val="2"/>
              </w:numPr>
              <w:rPr>
                <w:rFonts w:ascii="Arial" w:hAnsi="Arial" w:cs="Arial"/>
                <w:color w:val="000000"/>
                <w:sz w:val="24"/>
                <w:szCs w:val="24"/>
              </w:rPr>
            </w:pPr>
            <w:r w:rsidRPr="00CC5F1C">
              <w:rPr>
                <w:rFonts w:ascii="Arial" w:hAnsi="Arial" w:cs="Arial"/>
                <w:b/>
                <w:bCs/>
                <w:color w:val="000000"/>
                <w:sz w:val="24"/>
                <w:szCs w:val="24"/>
              </w:rPr>
              <w:t>Supplemental</w:t>
            </w:r>
            <w:r w:rsidR="002F48C6" w:rsidRPr="00CC5F1C">
              <w:rPr>
                <w:rFonts w:ascii="Arial" w:hAnsi="Arial" w:cs="Arial"/>
                <w:b/>
                <w:bCs/>
                <w:color w:val="000000"/>
                <w:sz w:val="24"/>
                <w:szCs w:val="24"/>
              </w:rPr>
              <w:t xml:space="preserve"> Materials</w:t>
            </w:r>
            <w:r w:rsidR="009F631C" w:rsidRPr="00CC5F1C">
              <w:rPr>
                <w:rFonts w:ascii="Arial" w:hAnsi="Arial" w:cs="Arial"/>
                <w:b/>
                <w:bCs/>
                <w:color w:val="000000"/>
                <w:sz w:val="24"/>
                <w:szCs w:val="24"/>
              </w:rPr>
              <w:t xml:space="preserve"> </w:t>
            </w:r>
            <w:r w:rsidR="00333CEE" w:rsidRPr="00CC5F1C">
              <w:rPr>
                <w:rFonts w:ascii="Arial" w:hAnsi="Arial" w:cs="Arial"/>
                <w:b/>
                <w:bCs/>
                <w:color w:val="000000"/>
                <w:sz w:val="24"/>
                <w:szCs w:val="24"/>
              </w:rPr>
              <w:t>5</w:t>
            </w:r>
            <w:r w:rsidR="009F631C" w:rsidRPr="00CC5F1C">
              <w:rPr>
                <w:rFonts w:ascii="Arial" w:hAnsi="Arial" w:cs="Arial"/>
                <w:color w:val="000000"/>
                <w:sz w:val="24"/>
                <w:szCs w:val="24"/>
              </w:rPr>
              <w:t>: American Red Cross Transfer Document</w:t>
            </w:r>
            <w:r w:rsidR="00822DD1" w:rsidRPr="00CC5F1C">
              <w:rPr>
                <w:rFonts w:ascii="Arial" w:hAnsi="Arial" w:cs="Arial"/>
                <w:color w:val="000000"/>
                <w:sz w:val="24"/>
                <w:szCs w:val="24"/>
              </w:rPr>
              <w:t xml:space="preserve"> </w:t>
            </w:r>
            <w:r w:rsidR="00822DD1" w:rsidRPr="00CC5F1C">
              <w:rPr>
                <w:rFonts w:ascii="Arial" w:hAnsi="Arial" w:cs="Arial"/>
                <w:color w:val="000000"/>
                <w:sz w:val="24"/>
                <w:szCs w:val="24"/>
                <w:vertAlign w:val="superscript"/>
              </w:rPr>
              <w:t>1</w:t>
            </w:r>
          </w:p>
          <w:p w14:paraId="554A74D0" w14:textId="5796E1E8" w:rsidR="009F631C" w:rsidRPr="00CC5F1C" w:rsidRDefault="008D3CBA" w:rsidP="009F631C">
            <w:pPr>
              <w:pStyle w:val="ListParagraph"/>
              <w:numPr>
                <w:ilvl w:val="0"/>
                <w:numId w:val="2"/>
              </w:numPr>
              <w:rPr>
                <w:rFonts w:ascii="Arial" w:hAnsi="Arial" w:cs="Arial"/>
                <w:color w:val="000000"/>
                <w:sz w:val="24"/>
                <w:szCs w:val="24"/>
              </w:rPr>
            </w:pPr>
            <w:r w:rsidRPr="00CC5F1C">
              <w:rPr>
                <w:rFonts w:ascii="Arial" w:hAnsi="Arial" w:cs="Arial"/>
                <w:b/>
                <w:bCs/>
                <w:color w:val="000000"/>
                <w:sz w:val="24"/>
                <w:szCs w:val="24"/>
              </w:rPr>
              <w:t xml:space="preserve">Supplemental Materials </w:t>
            </w:r>
            <w:r w:rsidR="00333CEE" w:rsidRPr="00CC5F1C">
              <w:rPr>
                <w:rFonts w:ascii="Arial" w:hAnsi="Arial" w:cs="Arial"/>
                <w:b/>
                <w:bCs/>
                <w:color w:val="000000"/>
                <w:sz w:val="24"/>
                <w:szCs w:val="24"/>
              </w:rPr>
              <w:t>6</w:t>
            </w:r>
            <w:r w:rsidR="009F631C" w:rsidRPr="00CC5F1C">
              <w:rPr>
                <w:rFonts w:ascii="Arial" w:hAnsi="Arial" w:cs="Arial"/>
                <w:color w:val="000000"/>
                <w:sz w:val="24"/>
                <w:szCs w:val="24"/>
              </w:rPr>
              <w:t>: Vitalant Transfer Document</w:t>
            </w:r>
            <w:r w:rsidR="00822DD1" w:rsidRPr="00CC5F1C">
              <w:rPr>
                <w:rFonts w:ascii="Arial" w:hAnsi="Arial" w:cs="Arial"/>
                <w:color w:val="000000"/>
                <w:sz w:val="24"/>
                <w:szCs w:val="24"/>
              </w:rPr>
              <w:t xml:space="preserve"> </w:t>
            </w:r>
            <w:r w:rsidR="00822DD1" w:rsidRPr="00CC5F1C">
              <w:rPr>
                <w:rFonts w:ascii="Arial" w:hAnsi="Arial" w:cs="Arial"/>
                <w:color w:val="000000"/>
                <w:sz w:val="24"/>
                <w:szCs w:val="24"/>
                <w:vertAlign w:val="superscript"/>
              </w:rPr>
              <w:t>2</w:t>
            </w:r>
          </w:p>
          <w:p w14:paraId="247029C7" w14:textId="77777777" w:rsidR="009F631C" w:rsidRPr="00CC5F1C" w:rsidRDefault="009F631C" w:rsidP="00703EFB">
            <w:pPr>
              <w:rPr>
                <w:rFonts w:ascii="Arial" w:hAnsi="Arial" w:cs="Arial"/>
                <w:color w:val="000000"/>
                <w:sz w:val="24"/>
                <w:szCs w:val="24"/>
              </w:rPr>
            </w:pPr>
          </w:p>
          <w:p w14:paraId="7DFF8571" w14:textId="77777777" w:rsidR="009F631C" w:rsidRPr="00CC5F1C" w:rsidRDefault="009F631C" w:rsidP="00703EFB">
            <w:pPr>
              <w:rPr>
                <w:rFonts w:ascii="Arial" w:hAnsi="Arial" w:cs="Arial"/>
                <w:color w:val="000000"/>
                <w:sz w:val="24"/>
                <w:szCs w:val="24"/>
              </w:rPr>
            </w:pPr>
            <w:r w:rsidRPr="00CC5F1C">
              <w:rPr>
                <w:rFonts w:ascii="Arial" w:hAnsi="Arial" w:cs="Arial"/>
                <w:color w:val="000000"/>
                <w:sz w:val="24"/>
                <w:szCs w:val="24"/>
              </w:rPr>
              <w:t xml:space="preserve">Attach one set of segments to the completed Transfer Document and retain the other set at your facility. </w:t>
            </w:r>
          </w:p>
        </w:tc>
      </w:tr>
      <w:tr w:rsidR="009F631C" w:rsidRPr="00CC5F1C" w14:paraId="09280FAD" w14:textId="77777777" w:rsidTr="00703EFB">
        <w:tc>
          <w:tcPr>
            <w:tcW w:w="805" w:type="dxa"/>
          </w:tcPr>
          <w:p w14:paraId="311913C7"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4</w:t>
            </w:r>
          </w:p>
        </w:tc>
        <w:tc>
          <w:tcPr>
            <w:tcW w:w="7825" w:type="dxa"/>
          </w:tcPr>
          <w:p w14:paraId="2A188160" w14:textId="2EAEBD56"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Complete transfer/</w:t>
            </w:r>
            <w:r w:rsidR="00231796" w:rsidRPr="00CC5F1C">
              <w:rPr>
                <w:rFonts w:ascii="Arial" w:hAnsi="Arial" w:cs="Arial"/>
                <w:color w:val="000000"/>
                <w:sz w:val="24"/>
                <w:szCs w:val="24"/>
              </w:rPr>
              <w:t xml:space="preserve"> </w:t>
            </w:r>
            <w:r w:rsidRPr="00CC5F1C">
              <w:rPr>
                <w:rFonts w:ascii="Arial" w:hAnsi="Arial" w:cs="Arial"/>
                <w:color w:val="000000"/>
                <w:sz w:val="24"/>
                <w:szCs w:val="24"/>
              </w:rPr>
              <w:t>disposal in your Laboratory Information System according to your facility policies and procedures.</w:t>
            </w:r>
          </w:p>
        </w:tc>
      </w:tr>
      <w:tr w:rsidR="009F631C" w:rsidRPr="00CC5F1C" w14:paraId="563921F5" w14:textId="77777777" w:rsidTr="00703EFB">
        <w:tc>
          <w:tcPr>
            <w:tcW w:w="805" w:type="dxa"/>
          </w:tcPr>
          <w:p w14:paraId="60EE247B"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5</w:t>
            </w:r>
          </w:p>
        </w:tc>
        <w:tc>
          <w:tcPr>
            <w:tcW w:w="7825" w:type="dxa"/>
          </w:tcPr>
          <w:p w14:paraId="2AFA6B36" w14:textId="1EBB9C25"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Package </w:t>
            </w:r>
            <w:r w:rsidR="00231796" w:rsidRPr="00CC5F1C">
              <w:rPr>
                <w:rFonts w:ascii="Arial" w:hAnsi="Arial" w:cs="Arial"/>
                <w:color w:val="000000"/>
                <w:sz w:val="24"/>
                <w:szCs w:val="24"/>
              </w:rPr>
              <w:t>b</w:t>
            </w:r>
            <w:r w:rsidRPr="00CC5F1C">
              <w:rPr>
                <w:rFonts w:ascii="Arial" w:hAnsi="Arial" w:cs="Arial"/>
                <w:color w:val="000000"/>
                <w:sz w:val="24"/>
                <w:szCs w:val="24"/>
              </w:rPr>
              <w:t xml:space="preserve">lood products in accordance with blood supplier regulations, being sure to place completed transfer document and attached segments from step 3 in the box. </w:t>
            </w:r>
          </w:p>
          <w:p w14:paraId="63EFB900" w14:textId="15EC9FDC" w:rsidR="009F631C" w:rsidRPr="00CC5F1C" w:rsidRDefault="008D3CBA" w:rsidP="009F631C">
            <w:pPr>
              <w:pStyle w:val="ListParagraph"/>
              <w:numPr>
                <w:ilvl w:val="0"/>
                <w:numId w:val="3"/>
              </w:numPr>
              <w:rPr>
                <w:rFonts w:ascii="Arial" w:hAnsi="Arial" w:cs="Arial"/>
                <w:color w:val="000000"/>
                <w:sz w:val="24"/>
                <w:szCs w:val="24"/>
              </w:rPr>
            </w:pPr>
            <w:r w:rsidRPr="00CC5F1C">
              <w:rPr>
                <w:rFonts w:ascii="Arial" w:hAnsi="Arial" w:cs="Arial"/>
                <w:b/>
                <w:bCs/>
                <w:color w:val="000000"/>
                <w:sz w:val="24"/>
                <w:szCs w:val="24"/>
              </w:rPr>
              <w:t xml:space="preserve">Supplemental Materials </w:t>
            </w:r>
            <w:r w:rsidR="00333CEE" w:rsidRPr="00CC5F1C">
              <w:rPr>
                <w:rFonts w:ascii="Arial" w:hAnsi="Arial" w:cs="Arial"/>
                <w:b/>
                <w:bCs/>
                <w:color w:val="000000"/>
                <w:sz w:val="24"/>
                <w:szCs w:val="24"/>
              </w:rPr>
              <w:t>3</w:t>
            </w:r>
            <w:r w:rsidR="009F631C" w:rsidRPr="00CC5F1C">
              <w:rPr>
                <w:rFonts w:ascii="Arial" w:hAnsi="Arial" w:cs="Arial"/>
                <w:color w:val="000000"/>
                <w:sz w:val="24"/>
                <w:szCs w:val="24"/>
              </w:rPr>
              <w:t>: American Red Cross Blood Product Packaging</w:t>
            </w:r>
            <w:r w:rsidR="00822DD1" w:rsidRPr="00CC5F1C">
              <w:rPr>
                <w:rFonts w:ascii="Arial" w:hAnsi="Arial" w:cs="Arial"/>
                <w:color w:val="000000"/>
                <w:sz w:val="24"/>
                <w:szCs w:val="24"/>
              </w:rPr>
              <w:t xml:space="preserve"> </w:t>
            </w:r>
            <w:r w:rsidR="00822DD1" w:rsidRPr="00CC5F1C">
              <w:rPr>
                <w:rFonts w:ascii="Arial" w:hAnsi="Arial" w:cs="Arial"/>
                <w:color w:val="000000"/>
                <w:sz w:val="24"/>
                <w:szCs w:val="24"/>
                <w:vertAlign w:val="superscript"/>
              </w:rPr>
              <w:t>1</w:t>
            </w:r>
          </w:p>
          <w:p w14:paraId="7E9932A7" w14:textId="4AE7F4BC" w:rsidR="009F631C" w:rsidRPr="00CC5F1C" w:rsidRDefault="008D3CBA" w:rsidP="009F631C">
            <w:pPr>
              <w:pStyle w:val="ListParagraph"/>
              <w:numPr>
                <w:ilvl w:val="0"/>
                <w:numId w:val="3"/>
              </w:numPr>
              <w:rPr>
                <w:rFonts w:ascii="Arial" w:hAnsi="Arial" w:cs="Arial"/>
                <w:color w:val="000000"/>
                <w:sz w:val="24"/>
                <w:szCs w:val="24"/>
              </w:rPr>
            </w:pPr>
            <w:r w:rsidRPr="00CC5F1C">
              <w:rPr>
                <w:rFonts w:ascii="Arial" w:hAnsi="Arial" w:cs="Arial"/>
                <w:b/>
                <w:bCs/>
                <w:color w:val="000000"/>
                <w:sz w:val="24"/>
                <w:szCs w:val="24"/>
              </w:rPr>
              <w:t xml:space="preserve">Supplemental Materials </w:t>
            </w:r>
            <w:r w:rsidR="00333CEE" w:rsidRPr="00CC5F1C">
              <w:rPr>
                <w:rFonts w:ascii="Arial" w:hAnsi="Arial" w:cs="Arial"/>
                <w:b/>
                <w:bCs/>
                <w:color w:val="000000"/>
                <w:sz w:val="24"/>
                <w:szCs w:val="24"/>
              </w:rPr>
              <w:t>4</w:t>
            </w:r>
            <w:r w:rsidR="009F631C" w:rsidRPr="00CC5F1C">
              <w:rPr>
                <w:rFonts w:ascii="Arial" w:hAnsi="Arial" w:cs="Arial"/>
                <w:color w:val="000000"/>
                <w:sz w:val="24"/>
                <w:szCs w:val="24"/>
              </w:rPr>
              <w:t>: Vitalant Blood Product Packaging</w:t>
            </w:r>
            <w:r w:rsidR="00822DD1" w:rsidRPr="00CC5F1C">
              <w:rPr>
                <w:rFonts w:ascii="Arial" w:hAnsi="Arial" w:cs="Arial"/>
                <w:color w:val="000000"/>
                <w:sz w:val="24"/>
                <w:szCs w:val="24"/>
              </w:rPr>
              <w:t xml:space="preserve"> </w:t>
            </w:r>
            <w:r w:rsidR="00822DD1" w:rsidRPr="00CC5F1C">
              <w:rPr>
                <w:rFonts w:ascii="Arial" w:hAnsi="Arial" w:cs="Arial"/>
                <w:color w:val="000000"/>
                <w:sz w:val="24"/>
                <w:szCs w:val="24"/>
                <w:vertAlign w:val="superscript"/>
              </w:rPr>
              <w:t>3</w:t>
            </w:r>
          </w:p>
        </w:tc>
      </w:tr>
      <w:tr w:rsidR="009F631C" w:rsidRPr="00CC5F1C" w14:paraId="5EF40F9B" w14:textId="77777777" w:rsidTr="00703EFB">
        <w:tc>
          <w:tcPr>
            <w:tcW w:w="805" w:type="dxa"/>
          </w:tcPr>
          <w:p w14:paraId="68D8A66B"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6</w:t>
            </w:r>
          </w:p>
        </w:tc>
        <w:tc>
          <w:tcPr>
            <w:tcW w:w="7825" w:type="dxa"/>
          </w:tcPr>
          <w:p w14:paraId="5A753EB8"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Send blood products AND blood tubing with appropriate transport personnel.</w:t>
            </w:r>
          </w:p>
        </w:tc>
      </w:tr>
      <w:tr w:rsidR="009F631C" w:rsidRPr="00CC5F1C" w14:paraId="778F06F9" w14:textId="77777777" w:rsidTr="00703EFB">
        <w:tc>
          <w:tcPr>
            <w:tcW w:w="805" w:type="dxa"/>
          </w:tcPr>
          <w:p w14:paraId="54078353"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7</w:t>
            </w:r>
          </w:p>
        </w:tc>
        <w:tc>
          <w:tcPr>
            <w:tcW w:w="7825" w:type="dxa"/>
          </w:tcPr>
          <w:p w14:paraId="3F45F513" w14:textId="1E61F2DD"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Contact your blood supplier, and</w:t>
            </w:r>
            <w:r w:rsidR="00231796" w:rsidRPr="00CC5F1C">
              <w:rPr>
                <w:rFonts w:ascii="Arial" w:hAnsi="Arial" w:cs="Arial"/>
                <w:color w:val="000000"/>
                <w:sz w:val="24"/>
                <w:szCs w:val="24"/>
              </w:rPr>
              <w:t>/</w:t>
            </w:r>
            <w:r w:rsidRPr="00CC5F1C">
              <w:rPr>
                <w:rFonts w:ascii="Arial" w:hAnsi="Arial" w:cs="Arial"/>
                <w:color w:val="000000"/>
                <w:sz w:val="24"/>
                <w:szCs w:val="24"/>
              </w:rPr>
              <w:t xml:space="preserve"> or receiving facility for assistance with blood product resupply. </w:t>
            </w:r>
          </w:p>
          <w:p w14:paraId="79D79F48" w14:textId="77777777" w:rsidR="009F631C" w:rsidRPr="00CC5F1C" w:rsidRDefault="009F631C" w:rsidP="00703EFB">
            <w:pPr>
              <w:pStyle w:val="ListParagraph"/>
              <w:ind w:left="0"/>
              <w:rPr>
                <w:rFonts w:ascii="Arial" w:hAnsi="Arial" w:cs="Arial"/>
                <w:color w:val="000000"/>
                <w:sz w:val="24"/>
                <w:szCs w:val="24"/>
              </w:rPr>
            </w:pPr>
          </w:p>
          <w:p w14:paraId="60069500" w14:textId="63A6F7CF"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If needed Montana Highway Patrol can assist with blood product transportation</w:t>
            </w:r>
            <w:r w:rsidR="00857907" w:rsidRPr="00CC5F1C">
              <w:rPr>
                <w:rFonts w:ascii="Arial" w:hAnsi="Arial" w:cs="Arial"/>
                <w:color w:val="000000"/>
                <w:sz w:val="24"/>
                <w:szCs w:val="24"/>
              </w:rPr>
              <w:t>.</w:t>
            </w:r>
            <w:r w:rsidRPr="00CC5F1C">
              <w:rPr>
                <w:rFonts w:ascii="Arial" w:hAnsi="Arial" w:cs="Arial"/>
                <w:color w:val="000000"/>
                <w:sz w:val="24"/>
                <w:szCs w:val="24"/>
              </w:rPr>
              <w:t xml:space="preserve"> </w:t>
            </w:r>
          </w:p>
        </w:tc>
      </w:tr>
    </w:tbl>
    <w:p w14:paraId="450B86D4" w14:textId="77777777" w:rsidR="009F631C" w:rsidRPr="00CC5F1C" w:rsidRDefault="009F631C" w:rsidP="009F631C">
      <w:pPr>
        <w:rPr>
          <w:rFonts w:ascii="Arial" w:hAnsi="Arial" w:cs="Arial"/>
          <w:b/>
          <w:bCs/>
          <w:color w:val="000000"/>
          <w:sz w:val="24"/>
          <w:szCs w:val="24"/>
        </w:rPr>
      </w:pPr>
    </w:p>
    <w:p w14:paraId="0A18B538" w14:textId="77777777" w:rsidR="00274955" w:rsidRPr="00CC5F1C" w:rsidRDefault="00274955" w:rsidP="009F631C">
      <w:pPr>
        <w:rPr>
          <w:rFonts w:ascii="Arial" w:hAnsi="Arial" w:cs="Arial"/>
          <w:b/>
          <w:bCs/>
          <w:color w:val="000000"/>
          <w:sz w:val="24"/>
          <w:szCs w:val="24"/>
        </w:rPr>
      </w:pPr>
    </w:p>
    <w:p w14:paraId="66403CF8" w14:textId="77777777" w:rsidR="009F631C" w:rsidRPr="00CC5F1C" w:rsidRDefault="009F631C" w:rsidP="009F631C">
      <w:pPr>
        <w:pStyle w:val="ListParagraph"/>
        <w:numPr>
          <w:ilvl w:val="0"/>
          <w:numId w:val="1"/>
        </w:numPr>
        <w:rPr>
          <w:rFonts w:ascii="Arial" w:hAnsi="Arial" w:cs="Arial"/>
          <w:b/>
          <w:bCs/>
          <w:color w:val="000000"/>
          <w:sz w:val="24"/>
          <w:szCs w:val="24"/>
        </w:rPr>
      </w:pPr>
      <w:r w:rsidRPr="00CC5F1C">
        <w:rPr>
          <w:rFonts w:ascii="Arial" w:hAnsi="Arial" w:cs="Arial"/>
          <w:b/>
          <w:bCs/>
          <w:color w:val="000000"/>
          <w:sz w:val="24"/>
          <w:szCs w:val="24"/>
        </w:rPr>
        <w:t>Receiving Facility</w:t>
      </w:r>
    </w:p>
    <w:tbl>
      <w:tblPr>
        <w:tblStyle w:val="TableGrid"/>
        <w:tblW w:w="0" w:type="auto"/>
        <w:tblInd w:w="720" w:type="dxa"/>
        <w:tblLook w:val="04A0" w:firstRow="1" w:lastRow="0" w:firstColumn="1" w:lastColumn="0" w:noHBand="0" w:noVBand="1"/>
      </w:tblPr>
      <w:tblGrid>
        <w:gridCol w:w="805"/>
        <w:gridCol w:w="7825"/>
      </w:tblGrid>
      <w:tr w:rsidR="009F631C" w:rsidRPr="00CC5F1C" w14:paraId="72C868E3" w14:textId="77777777" w:rsidTr="00703EFB">
        <w:tc>
          <w:tcPr>
            <w:tcW w:w="805" w:type="dxa"/>
          </w:tcPr>
          <w:p w14:paraId="496FDAA6" w14:textId="77777777" w:rsidR="009F631C" w:rsidRPr="00CC5F1C" w:rsidRDefault="009F631C" w:rsidP="00703EFB">
            <w:pPr>
              <w:pStyle w:val="ListParagraph"/>
              <w:ind w:left="0"/>
              <w:rPr>
                <w:rFonts w:ascii="Arial" w:hAnsi="Arial" w:cs="Arial"/>
                <w:b/>
                <w:bCs/>
                <w:color w:val="000000"/>
                <w:sz w:val="24"/>
                <w:szCs w:val="24"/>
              </w:rPr>
            </w:pPr>
            <w:r w:rsidRPr="00CC5F1C">
              <w:rPr>
                <w:rFonts w:ascii="Arial" w:hAnsi="Arial" w:cs="Arial"/>
                <w:b/>
                <w:bCs/>
                <w:color w:val="000000"/>
                <w:sz w:val="24"/>
                <w:szCs w:val="24"/>
              </w:rPr>
              <w:t>Step</w:t>
            </w:r>
          </w:p>
        </w:tc>
        <w:tc>
          <w:tcPr>
            <w:tcW w:w="7825" w:type="dxa"/>
          </w:tcPr>
          <w:p w14:paraId="6323E300" w14:textId="77777777" w:rsidR="009F631C" w:rsidRPr="00CC5F1C" w:rsidRDefault="009F631C" w:rsidP="00703EFB">
            <w:pPr>
              <w:pStyle w:val="ListParagraph"/>
              <w:ind w:left="0"/>
              <w:rPr>
                <w:rFonts w:ascii="Arial" w:hAnsi="Arial" w:cs="Arial"/>
                <w:b/>
                <w:bCs/>
                <w:color w:val="000000"/>
                <w:sz w:val="24"/>
                <w:szCs w:val="24"/>
              </w:rPr>
            </w:pPr>
            <w:r w:rsidRPr="00CC5F1C">
              <w:rPr>
                <w:rFonts w:ascii="Arial" w:hAnsi="Arial" w:cs="Arial"/>
                <w:b/>
                <w:bCs/>
                <w:color w:val="000000"/>
                <w:sz w:val="24"/>
                <w:szCs w:val="24"/>
              </w:rPr>
              <w:t>Action</w:t>
            </w:r>
          </w:p>
        </w:tc>
      </w:tr>
      <w:tr w:rsidR="009F631C" w:rsidRPr="00CC5F1C" w14:paraId="6B2738C1" w14:textId="77777777" w:rsidTr="00703EFB">
        <w:tc>
          <w:tcPr>
            <w:tcW w:w="805" w:type="dxa"/>
          </w:tcPr>
          <w:p w14:paraId="0D6CD044"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1</w:t>
            </w:r>
          </w:p>
        </w:tc>
        <w:tc>
          <w:tcPr>
            <w:tcW w:w="7825" w:type="dxa"/>
          </w:tcPr>
          <w:p w14:paraId="227E87AA"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Open blood product shipping container and compare contents of the container to the enclosed Transfer document. </w:t>
            </w:r>
          </w:p>
        </w:tc>
      </w:tr>
      <w:tr w:rsidR="009F631C" w:rsidRPr="00CC5F1C" w14:paraId="526D4610" w14:textId="77777777" w:rsidTr="00703EFB">
        <w:tc>
          <w:tcPr>
            <w:tcW w:w="805" w:type="dxa"/>
          </w:tcPr>
          <w:p w14:paraId="5AB94690"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2</w:t>
            </w:r>
          </w:p>
        </w:tc>
        <w:tc>
          <w:tcPr>
            <w:tcW w:w="7825" w:type="dxa"/>
          </w:tcPr>
          <w:p w14:paraId="10D4E54C"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For missing units, confirm with receiving department/provider that the products were transfused during transport. </w:t>
            </w:r>
          </w:p>
        </w:tc>
      </w:tr>
      <w:tr w:rsidR="009F631C" w:rsidRPr="00CC5F1C" w14:paraId="6BB65E8E" w14:textId="77777777" w:rsidTr="00703EFB">
        <w:tc>
          <w:tcPr>
            <w:tcW w:w="805" w:type="dxa"/>
          </w:tcPr>
          <w:p w14:paraId="4525A928"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3</w:t>
            </w:r>
          </w:p>
        </w:tc>
        <w:tc>
          <w:tcPr>
            <w:tcW w:w="7825" w:type="dxa"/>
          </w:tcPr>
          <w:p w14:paraId="50D73919"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Complete the “Product Receipt” portion of the Transfer Document and received all products into your LIS using your facilities policies/procedures </w:t>
            </w:r>
          </w:p>
        </w:tc>
      </w:tr>
      <w:tr w:rsidR="009F631C" w:rsidRPr="00CC5F1C" w14:paraId="034EAE3A" w14:textId="77777777" w:rsidTr="00703EFB">
        <w:tc>
          <w:tcPr>
            <w:tcW w:w="805" w:type="dxa"/>
          </w:tcPr>
          <w:p w14:paraId="4E564BB2"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4</w:t>
            </w:r>
          </w:p>
        </w:tc>
        <w:tc>
          <w:tcPr>
            <w:tcW w:w="7825" w:type="dxa"/>
          </w:tcPr>
          <w:p w14:paraId="5FA2CAE5" w14:textId="1884C90B"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Obtain patient sample for blood bank testing according to your facilities policies/</w:t>
            </w:r>
            <w:r w:rsidR="00367DDF" w:rsidRPr="00CC5F1C">
              <w:rPr>
                <w:rFonts w:ascii="Arial" w:hAnsi="Arial" w:cs="Arial"/>
                <w:color w:val="000000"/>
                <w:sz w:val="24"/>
                <w:szCs w:val="24"/>
              </w:rPr>
              <w:t xml:space="preserve"> </w:t>
            </w:r>
            <w:r w:rsidRPr="00CC5F1C">
              <w:rPr>
                <w:rFonts w:ascii="Arial" w:hAnsi="Arial" w:cs="Arial"/>
                <w:color w:val="000000"/>
                <w:sz w:val="24"/>
                <w:szCs w:val="24"/>
              </w:rPr>
              <w:t xml:space="preserve">procedures and complete pre-transfusion testing. </w:t>
            </w:r>
          </w:p>
        </w:tc>
      </w:tr>
      <w:tr w:rsidR="009F631C" w:rsidRPr="00CC5F1C" w14:paraId="178B1DAA" w14:textId="77777777" w:rsidTr="00703EFB">
        <w:tc>
          <w:tcPr>
            <w:tcW w:w="805" w:type="dxa"/>
          </w:tcPr>
          <w:p w14:paraId="7C7EA449"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5</w:t>
            </w:r>
          </w:p>
        </w:tc>
        <w:tc>
          <w:tcPr>
            <w:tcW w:w="7825" w:type="dxa"/>
          </w:tcPr>
          <w:p w14:paraId="21716DB9"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“Crossmatch” and “Transfuse” all units that were administered during transport according to your facilities policies/procedures. </w:t>
            </w:r>
          </w:p>
        </w:tc>
      </w:tr>
      <w:tr w:rsidR="009F631C" w:rsidRPr="00CC5F1C" w14:paraId="6AF650E7" w14:textId="77777777" w:rsidTr="00703EFB">
        <w:tc>
          <w:tcPr>
            <w:tcW w:w="805" w:type="dxa"/>
          </w:tcPr>
          <w:p w14:paraId="4EFDB2DC"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6</w:t>
            </w:r>
          </w:p>
        </w:tc>
        <w:tc>
          <w:tcPr>
            <w:tcW w:w="7825" w:type="dxa"/>
          </w:tcPr>
          <w:p w14:paraId="75C39349"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Contact the blood supplier and supplying facility as needed.</w:t>
            </w:r>
          </w:p>
        </w:tc>
      </w:tr>
      <w:tr w:rsidR="009F631C" w:rsidRPr="00CC5F1C" w14:paraId="2EE2D7A2" w14:textId="77777777" w:rsidTr="00703EFB">
        <w:tc>
          <w:tcPr>
            <w:tcW w:w="805" w:type="dxa"/>
          </w:tcPr>
          <w:p w14:paraId="068A91A7"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7</w:t>
            </w:r>
          </w:p>
        </w:tc>
        <w:tc>
          <w:tcPr>
            <w:tcW w:w="7825" w:type="dxa"/>
          </w:tcPr>
          <w:p w14:paraId="0D025E28" w14:textId="77777777" w:rsidR="009F631C" w:rsidRPr="00CC5F1C" w:rsidRDefault="009F631C" w:rsidP="00703EFB">
            <w:pPr>
              <w:pStyle w:val="ListParagraph"/>
              <w:ind w:left="0"/>
              <w:rPr>
                <w:rFonts w:ascii="Arial" w:hAnsi="Arial" w:cs="Arial"/>
                <w:color w:val="000000"/>
                <w:sz w:val="24"/>
                <w:szCs w:val="24"/>
              </w:rPr>
            </w:pPr>
            <w:r w:rsidRPr="00CC5F1C">
              <w:rPr>
                <w:rFonts w:ascii="Arial" w:hAnsi="Arial" w:cs="Arial"/>
                <w:color w:val="000000"/>
                <w:sz w:val="24"/>
                <w:szCs w:val="24"/>
              </w:rPr>
              <w:t xml:space="preserve">Assist with blood product resupply as able/requested. </w:t>
            </w:r>
          </w:p>
        </w:tc>
      </w:tr>
    </w:tbl>
    <w:p w14:paraId="4F77370B" w14:textId="77777777" w:rsidR="009F631C" w:rsidRPr="00CC5F1C" w:rsidRDefault="009F631C" w:rsidP="009F631C">
      <w:pPr>
        <w:rPr>
          <w:rFonts w:ascii="Arial" w:hAnsi="Arial" w:cs="Arial"/>
          <w:b/>
          <w:bCs/>
          <w:color w:val="000000"/>
          <w:sz w:val="24"/>
          <w:szCs w:val="24"/>
        </w:rPr>
      </w:pPr>
    </w:p>
    <w:p w14:paraId="2B878EFE" w14:textId="77777777" w:rsidR="009F631C" w:rsidRPr="00CC5F1C" w:rsidRDefault="009F631C" w:rsidP="009F631C">
      <w:pPr>
        <w:rPr>
          <w:rFonts w:ascii="Arial" w:hAnsi="Arial" w:cs="Arial"/>
          <w:b/>
          <w:bCs/>
          <w:color w:val="000000"/>
          <w:sz w:val="24"/>
          <w:szCs w:val="24"/>
        </w:rPr>
      </w:pPr>
      <w:r w:rsidRPr="00CC5F1C">
        <w:rPr>
          <w:rFonts w:ascii="Arial" w:hAnsi="Arial" w:cs="Arial"/>
          <w:b/>
          <w:bCs/>
          <w:color w:val="000000"/>
          <w:sz w:val="24"/>
          <w:szCs w:val="24"/>
        </w:rPr>
        <w:t>REFERENCES</w:t>
      </w:r>
    </w:p>
    <w:p w14:paraId="0A8572A1" w14:textId="77777777" w:rsidR="009F631C" w:rsidRPr="00CC5F1C" w:rsidRDefault="009F631C" w:rsidP="009F631C">
      <w:pPr>
        <w:pStyle w:val="NormalWeb"/>
        <w:numPr>
          <w:ilvl w:val="0"/>
          <w:numId w:val="4"/>
        </w:numPr>
        <w:rPr>
          <w:rFonts w:ascii="Arial" w:hAnsi="Arial" w:cs="Arial"/>
          <w:color w:val="000000"/>
        </w:rPr>
      </w:pPr>
      <w:r w:rsidRPr="00CC5F1C">
        <w:rPr>
          <w:rFonts w:ascii="Arial" w:hAnsi="Arial" w:cs="Arial"/>
          <w:i/>
          <w:iCs/>
          <w:color w:val="000000"/>
        </w:rPr>
        <w:t>American Red Cross Hospital Partner Resource Guide</w:t>
      </w:r>
      <w:r w:rsidRPr="00CC5F1C">
        <w:rPr>
          <w:rFonts w:ascii="Arial" w:hAnsi="Arial" w:cs="Arial"/>
          <w:color w:val="000000"/>
        </w:rPr>
        <w:t xml:space="preserve">. (n.d.). Retrieved August 26, 2022, from </w:t>
      </w:r>
      <w:hyperlink r:id="rId10" w:history="1">
        <w:r w:rsidRPr="00CC5F1C">
          <w:rPr>
            <w:rStyle w:val="Hyperlink"/>
            <w:rFonts w:ascii="Arial" w:hAnsi="Arial" w:cs="Arial"/>
            <w:color w:val="000000"/>
          </w:rPr>
          <w:t>https://www.redcrossblood.org/content/dam/redcrossblood/hospital-page-documents/HPRG_2022.pdf</w:t>
        </w:r>
      </w:hyperlink>
      <w:r w:rsidRPr="00CC5F1C">
        <w:rPr>
          <w:rFonts w:ascii="Arial" w:hAnsi="Arial" w:cs="Arial"/>
          <w:color w:val="000000"/>
        </w:rPr>
        <w:t xml:space="preserve"> </w:t>
      </w:r>
    </w:p>
    <w:p w14:paraId="3C8B417C" w14:textId="77777777" w:rsidR="009F631C" w:rsidRPr="00CC5F1C" w:rsidRDefault="009F631C" w:rsidP="009F631C">
      <w:pPr>
        <w:pStyle w:val="NormalWeb"/>
        <w:numPr>
          <w:ilvl w:val="0"/>
          <w:numId w:val="4"/>
        </w:numPr>
        <w:rPr>
          <w:rFonts w:ascii="Arial" w:hAnsi="Arial" w:cs="Arial"/>
          <w:color w:val="000000"/>
        </w:rPr>
      </w:pPr>
      <w:r w:rsidRPr="00CC5F1C">
        <w:rPr>
          <w:rFonts w:ascii="Arial" w:hAnsi="Arial" w:cs="Arial"/>
          <w:color w:val="000000"/>
        </w:rPr>
        <w:t xml:space="preserve">Vitalant Return/Transfer Packing List. (n.d.). Retrieved August 26, 2022, from </w:t>
      </w:r>
      <w:hyperlink r:id="rId11" w:history="1">
        <w:r w:rsidRPr="00CC5F1C">
          <w:rPr>
            <w:rStyle w:val="Hyperlink"/>
            <w:rFonts w:ascii="Arial" w:hAnsi="Arial" w:cs="Arial"/>
            <w:color w:val="000000"/>
          </w:rPr>
          <w:t>https://vitalanthealth.org/getattachment/09607f12-efa8-4925-bf9d-32e35a9b03c2/BS_5150.pdf</w:t>
        </w:r>
      </w:hyperlink>
      <w:r w:rsidRPr="00CC5F1C">
        <w:rPr>
          <w:rFonts w:ascii="Arial" w:hAnsi="Arial" w:cs="Arial"/>
          <w:color w:val="000000"/>
        </w:rPr>
        <w:t xml:space="preserve">  </w:t>
      </w:r>
    </w:p>
    <w:p w14:paraId="455C1853" w14:textId="77777777" w:rsidR="009F631C" w:rsidRPr="00CC5F1C" w:rsidRDefault="009F631C" w:rsidP="009F631C">
      <w:pPr>
        <w:pStyle w:val="NormalWeb"/>
        <w:numPr>
          <w:ilvl w:val="0"/>
          <w:numId w:val="4"/>
        </w:numPr>
        <w:rPr>
          <w:rFonts w:ascii="Arial" w:hAnsi="Arial" w:cs="Arial"/>
          <w:color w:val="000000"/>
        </w:rPr>
      </w:pPr>
      <w:r w:rsidRPr="00CC5F1C">
        <w:rPr>
          <w:rFonts w:ascii="Arial" w:hAnsi="Arial" w:cs="Arial"/>
          <w:color w:val="000000"/>
        </w:rPr>
        <w:t xml:space="preserve">Packing Supplies and Configuration for Returning Red Cells to Your Blood Center. (n.d.). Retrieved August 26, 2022, from </w:t>
      </w:r>
      <w:hyperlink r:id="rId12" w:history="1">
        <w:r w:rsidRPr="00CC5F1C">
          <w:rPr>
            <w:rStyle w:val="Hyperlink"/>
            <w:rFonts w:ascii="Arial" w:hAnsi="Arial" w:cs="Arial"/>
            <w:color w:val="000000"/>
          </w:rPr>
          <w:t>https://vitalant.org/Doc-Control/Return-Red-Blood-Cells-CF-45-CF-89</w:t>
        </w:r>
      </w:hyperlink>
      <w:r w:rsidRPr="00CC5F1C">
        <w:rPr>
          <w:rFonts w:ascii="Arial" w:hAnsi="Arial" w:cs="Arial"/>
          <w:color w:val="000000"/>
        </w:rPr>
        <w:t xml:space="preserve"> </w:t>
      </w:r>
    </w:p>
    <w:p w14:paraId="791DFFAA" w14:textId="77777777" w:rsidR="009F631C" w:rsidRPr="00CC5F1C" w:rsidRDefault="009F631C" w:rsidP="009F631C">
      <w:pPr>
        <w:ind w:left="360"/>
        <w:rPr>
          <w:rFonts w:ascii="Arial" w:hAnsi="Arial" w:cs="Arial"/>
          <w:color w:val="000000"/>
        </w:rPr>
      </w:pPr>
    </w:p>
    <w:p w14:paraId="0EE622F5" w14:textId="77777777" w:rsidR="009F631C" w:rsidRPr="00CC5F1C" w:rsidRDefault="009F631C" w:rsidP="009F631C">
      <w:pPr>
        <w:rPr>
          <w:rFonts w:ascii="Arial" w:hAnsi="Arial" w:cs="Arial"/>
          <w:color w:val="000000"/>
        </w:rPr>
      </w:pPr>
    </w:p>
    <w:p w14:paraId="2DD7D0C5" w14:textId="77777777" w:rsidR="009F631C" w:rsidRPr="00CC5F1C" w:rsidRDefault="009F631C" w:rsidP="009F631C">
      <w:pPr>
        <w:rPr>
          <w:rFonts w:ascii="Arial" w:hAnsi="Arial" w:cs="Arial"/>
          <w:color w:val="000000"/>
        </w:rPr>
      </w:pPr>
    </w:p>
    <w:p w14:paraId="4B70DF25" w14:textId="77777777" w:rsidR="009F631C" w:rsidRPr="00CC5F1C" w:rsidRDefault="009F631C" w:rsidP="009F631C">
      <w:pPr>
        <w:rPr>
          <w:rFonts w:ascii="Arial" w:hAnsi="Arial" w:cs="Arial"/>
          <w:color w:val="000000"/>
        </w:rPr>
      </w:pPr>
    </w:p>
    <w:p w14:paraId="442D7684" w14:textId="77777777" w:rsidR="009F631C" w:rsidRPr="00CC5F1C" w:rsidRDefault="009F631C" w:rsidP="009F631C">
      <w:pPr>
        <w:rPr>
          <w:rFonts w:ascii="Arial" w:hAnsi="Arial" w:cs="Arial"/>
          <w:color w:val="000000"/>
        </w:rPr>
      </w:pPr>
    </w:p>
    <w:p w14:paraId="1F288B42" w14:textId="77777777" w:rsidR="009F631C" w:rsidRPr="00CC5F1C" w:rsidRDefault="009F631C" w:rsidP="009F631C">
      <w:pPr>
        <w:rPr>
          <w:rFonts w:ascii="Arial" w:hAnsi="Arial" w:cs="Arial"/>
          <w:color w:val="000000"/>
        </w:rPr>
      </w:pPr>
    </w:p>
    <w:p w14:paraId="362A9574" w14:textId="77777777" w:rsidR="009B1FC4" w:rsidRPr="00CC5F1C" w:rsidRDefault="009B1FC4">
      <w:pPr>
        <w:rPr>
          <w:rFonts w:ascii="Arial" w:hAnsi="Arial" w:cs="Arial"/>
          <w:b/>
          <w:bCs/>
          <w:color w:val="000000"/>
        </w:rPr>
      </w:pPr>
      <w:r w:rsidRPr="00CC5F1C">
        <w:rPr>
          <w:rFonts w:ascii="Arial" w:hAnsi="Arial" w:cs="Arial"/>
          <w:b/>
          <w:bCs/>
          <w:color w:val="000000"/>
        </w:rPr>
        <w:br w:type="page"/>
      </w:r>
    </w:p>
    <w:p w14:paraId="65FC9287" w14:textId="75347DEA"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lastRenderedPageBreak/>
        <w:t xml:space="preserve">Supplemental Materials </w:t>
      </w:r>
      <w:r w:rsidR="00333CEE" w:rsidRPr="00CC5F1C">
        <w:rPr>
          <w:rFonts w:ascii="Arial" w:hAnsi="Arial" w:cs="Arial"/>
          <w:b/>
          <w:bCs/>
          <w:color w:val="000000"/>
          <w:u w:val="single"/>
        </w:rPr>
        <w:t>3</w:t>
      </w:r>
    </w:p>
    <w:p w14:paraId="6A840B88" w14:textId="5EDD5ADA" w:rsidR="009F631C" w:rsidRPr="00CC5F1C" w:rsidRDefault="00047B48" w:rsidP="00EF0579">
      <w:pPr>
        <w:rPr>
          <w:rFonts w:ascii="Arial" w:hAnsi="Arial" w:cs="Arial"/>
          <w:b/>
          <w:bCs/>
          <w:color w:val="000000"/>
        </w:rPr>
      </w:pPr>
      <w:r w:rsidRPr="00CC5F1C">
        <w:rPr>
          <w:rFonts w:ascii="Arial" w:hAnsi="Arial" w:cs="Arial"/>
          <w:b/>
          <w:bCs/>
          <w:color w:val="000000"/>
        </w:rPr>
        <w:t xml:space="preserve">American </w:t>
      </w:r>
      <w:r w:rsidR="00EF0579" w:rsidRPr="00CC5F1C">
        <w:rPr>
          <w:rFonts w:ascii="Arial" w:hAnsi="Arial" w:cs="Arial"/>
          <w:b/>
          <w:bCs/>
          <w:color w:val="000000"/>
        </w:rPr>
        <w:t>Red Cross</w:t>
      </w:r>
      <w:r w:rsidR="00663E1D" w:rsidRPr="00CC5F1C">
        <w:rPr>
          <w:rFonts w:ascii="Arial" w:hAnsi="Arial" w:cs="Arial"/>
          <w:b/>
          <w:bCs/>
          <w:color w:val="000000"/>
        </w:rPr>
        <w:t xml:space="preserve"> Packaging and Shipping Instructions can be found here:</w:t>
      </w:r>
    </w:p>
    <w:p w14:paraId="66BB41BC" w14:textId="2865828C" w:rsidR="009F631C" w:rsidRPr="00CC5F1C" w:rsidRDefault="00CC5F1C" w:rsidP="00EF0579">
      <w:pPr>
        <w:rPr>
          <w:rFonts w:ascii="Arial" w:hAnsi="Arial" w:cs="Arial"/>
          <w:color w:val="000000"/>
        </w:rPr>
      </w:pPr>
      <w:hyperlink r:id="rId13" w:history="1">
        <w:r w:rsidR="00663E1D" w:rsidRPr="00CC5F1C">
          <w:rPr>
            <w:rStyle w:val="Hyperlink"/>
            <w:rFonts w:ascii="Arial" w:hAnsi="Arial" w:cs="Arial"/>
            <w:color w:val="000000"/>
          </w:rPr>
          <w:t>https://www.redcrossblood.org/content/dam/redcrossblood/hospital-page-documents/Shipping_Red_Cells_PJP_Edit_Feb2022.pdf</w:t>
        </w:r>
      </w:hyperlink>
    </w:p>
    <w:p w14:paraId="7C582867" w14:textId="14B1FB99" w:rsidR="009F631C" w:rsidRPr="00CC5F1C" w:rsidRDefault="009F631C" w:rsidP="00EF0579">
      <w:pPr>
        <w:rPr>
          <w:rFonts w:ascii="Arial" w:hAnsi="Arial" w:cs="Arial"/>
          <w:color w:val="000000"/>
        </w:rPr>
      </w:pPr>
    </w:p>
    <w:p w14:paraId="26F4B201" w14:textId="27DDD7F3"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t xml:space="preserve">Supplemental Materials </w:t>
      </w:r>
      <w:r w:rsidR="00333CEE" w:rsidRPr="00CC5F1C">
        <w:rPr>
          <w:rFonts w:ascii="Arial" w:hAnsi="Arial" w:cs="Arial"/>
          <w:b/>
          <w:bCs/>
          <w:color w:val="000000"/>
          <w:u w:val="single"/>
        </w:rPr>
        <w:t>4</w:t>
      </w:r>
    </w:p>
    <w:p w14:paraId="39D25608" w14:textId="176F05FF" w:rsidR="009F631C" w:rsidRPr="00CC5F1C" w:rsidRDefault="00FE43C7" w:rsidP="009F631C">
      <w:pPr>
        <w:rPr>
          <w:rFonts w:ascii="Arial" w:hAnsi="Arial" w:cs="Arial"/>
          <w:b/>
          <w:bCs/>
          <w:color w:val="000000"/>
        </w:rPr>
      </w:pPr>
      <w:r w:rsidRPr="00CC5F1C">
        <w:rPr>
          <w:rFonts w:ascii="Arial" w:hAnsi="Arial" w:cs="Arial"/>
          <w:b/>
          <w:bCs/>
          <w:color w:val="000000"/>
        </w:rPr>
        <w:t>Vital</w:t>
      </w:r>
      <w:r w:rsidR="005F1B61" w:rsidRPr="00CC5F1C">
        <w:rPr>
          <w:rFonts w:ascii="Arial" w:hAnsi="Arial" w:cs="Arial"/>
          <w:b/>
          <w:bCs/>
          <w:color w:val="000000"/>
        </w:rPr>
        <w:t>a</w:t>
      </w:r>
      <w:r w:rsidRPr="00CC5F1C">
        <w:rPr>
          <w:rFonts w:ascii="Arial" w:hAnsi="Arial" w:cs="Arial"/>
          <w:b/>
          <w:bCs/>
          <w:color w:val="000000"/>
        </w:rPr>
        <w:t>nt packaging and shipping instructions can be found here:</w:t>
      </w:r>
    </w:p>
    <w:p w14:paraId="5E44F7D8" w14:textId="4877D9BA" w:rsidR="009F631C" w:rsidRPr="00CC5F1C" w:rsidRDefault="00CC5F1C" w:rsidP="009F631C">
      <w:pPr>
        <w:rPr>
          <w:rFonts w:ascii="Arial" w:hAnsi="Arial" w:cs="Arial"/>
          <w:color w:val="000000"/>
        </w:rPr>
      </w:pPr>
      <w:hyperlink r:id="rId14" w:history="1">
        <w:r w:rsidR="00505E41" w:rsidRPr="00CC5F1C">
          <w:rPr>
            <w:rStyle w:val="Hyperlink"/>
            <w:rFonts w:ascii="Arial" w:hAnsi="Arial" w:cs="Arial"/>
            <w:color w:val="000000"/>
          </w:rPr>
          <w:t>https://www.vitalanthealth.org/getattachment/2d815da8-5180-402d-b516-162606478b94/Return-Red-Blood-Cells-CF-45-CF-89.pdf</w:t>
        </w:r>
      </w:hyperlink>
    </w:p>
    <w:p w14:paraId="16E4F1E3" w14:textId="77777777" w:rsidR="009F631C" w:rsidRPr="00CC5F1C" w:rsidRDefault="009F631C" w:rsidP="009F631C">
      <w:pPr>
        <w:rPr>
          <w:rFonts w:ascii="Arial" w:hAnsi="Arial" w:cs="Arial"/>
          <w:b/>
          <w:bCs/>
          <w:color w:val="000000"/>
        </w:rPr>
      </w:pPr>
    </w:p>
    <w:p w14:paraId="2F74CCF2" w14:textId="46D2F7C8"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t xml:space="preserve">Supplemental Materials </w:t>
      </w:r>
      <w:r w:rsidR="00333CEE" w:rsidRPr="00CC5F1C">
        <w:rPr>
          <w:rFonts w:ascii="Arial" w:hAnsi="Arial" w:cs="Arial"/>
          <w:b/>
          <w:bCs/>
          <w:color w:val="000000"/>
          <w:u w:val="single"/>
        </w:rPr>
        <w:t>5</w:t>
      </w:r>
    </w:p>
    <w:p w14:paraId="3AF00CFB" w14:textId="1CCC75C7" w:rsidR="009F631C" w:rsidRPr="00CC5F1C" w:rsidRDefault="00047B48" w:rsidP="009F631C">
      <w:pPr>
        <w:rPr>
          <w:rFonts w:ascii="Arial" w:hAnsi="Arial" w:cs="Arial"/>
          <w:b/>
          <w:bCs/>
          <w:color w:val="000000"/>
        </w:rPr>
      </w:pPr>
      <w:r w:rsidRPr="00CC5F1C">
        <w:rPr>
          <w:rFonts w:ascii="Arial" w:hAnsi="Arial" w:cs="Arial"/>
          <w:b/>
          <w:bCs/>
          <w:color w:val="000000"/>
        </w:rPr>
        <w:t xml:space="preserve">American </w:t>
      </w:r>
      <w:r w:rsidR="00AE6BE9" w:rsidRPr="00CC5F1C">
        <w:rPr>
          <w:rFonts w:ascii="Arial" w:hAnsi="Arial" w:cs="Arial"/>
          <w:b/>
          <w:bCs/>
          <w:color w:val="000000"/>
        </w:rPr>
        <w:t xml:space="preserve">Red </w:t>
      </w:r>
      <w:r w:rsidRPr="00CC5F1C">
        <w:rPr>
          <w:rFonts w:ascii="Arial" w:hAnsi="Arial" w:cs="Arial"/>
          <w:b/>
          <w:bCs/>
          <w:color w:val="000000"/>
        </w:rPr>
        <w:t>C</w:t>
      </w:r>
      <w:r w:rsidR="00AE6BE9" w:rsidRPr="00CC5F1C">
        <w:rPr>
          <w:rFonts w:ascii="Arial" w:hAnsi="Arial" w:cs="Arial"/>
          <w:b/>
          <w:bCs/>
          <w:color w:val="000000"/>
        </w:rPr>
        <w:t>ross transfer accounting forms can be found here:</w:t>
      </w:r>
    </w:p>
    <w:p w14:paraId="43F9412A" w14:textId="3BBB1703" w:rsidR="00AE6BE9" w:rsidRPr="00CC5F1C" w:rsidRDefault="00CC5F1C" w:rsidP="009F631C">
      <w:pPr>
        <w:rPr>
          <w:rFonts w:ascii="Arial" w:hAnsi="Arial" w:cs="Arial"/>
          <w:color w:val="000000"/>
        </w:rPr>
      </w:pPr>
      <w:hyperlink r:id="rId15" w:history="1">
        <w:r w:rsidR="00AE6BE9" w:rsidRPr="00CC5F1C">
          <w:rPr>
            <w:rStyle w:val="Hyperlink"/>
            <w:rFonts w:ascii="Arial" w:hAnsi="Arial" w:cs="Arial"/>
            <w:color w:val="000000"/>
          </w:rPr>
          <w:t>https://www.redcrossblood.org/content/dam/redcrossblood/hospital-page-documents/HospitalCustomerTransferAccountingForm.pdf?cid=hospital_partner_resource_guide&amp;med=direct&amp;source=RCB_HS</w:t>
        </w:r>
      </w:hyperlink>
    </w:p>
    <w:p w14:paraId="411A41EB" w14:textId="77777777" w:rsidR="009F631C" w:rsidRPr="00CC5F1C" w:rsidRDefault="009F631C" w:rsidP="009F631C">
      <w:pPr>
        <w:rPr>
          <w:rFonts w:ascii="Arial" w:hAnsi="Arial" w:cs="Arial"/>
          <w:b/>
          <w:bCs/>
          <w:color w:val="000000"/>
        </w:rPr>
      </w:pPr>
    </w:p>
    <w:p w14:paraId="1223CAE1" w14:textId="7A3ACE69" w:rsidR="007543A8" w:rsidRPr="00CC5F1C" w:rsidRDefault="007543A8" w:rsidP="007543A8">
      <w:pPr>
        <w:rPr>
          <w:rFonts w:ascii="Arial" w:hAnsi="Arial" w:cs="Arial"/>
          <w:b/>
          <w:bCs/>
          <w:color w:val="000000"/>
          <w:u w:val="single"/>
        </w:rPr>
      </w:pPr>
      <w:r w:rsidRPr="00CC5F1C">
        <w:rPr>
          <w:rFonts w:ascii="Arial" w:hAnsi="Arial" w:cs="Arial"/>
          <w:b/>
          <w:bCs/>
          <w:color w:val="000000"/>
          <w:u w:val="single"/>
        </w:rPr>
        <w:t xml:space="preserve">Supplemental Materials </w:t>
      </w:r>
      <w:r w:rsidR="00333CEE" w:rsidRPr="00CC5F1C">
        <w:rPr>
          <w:rFonts w:ascii="Arial" w:hAnsi="Arial" w:cs="Arial"/>
          <w:b/>
          <w:bCs/>
          <w:color w:val="000000"/>
          <w:u w:val="single"/>
        </w:rPr>
        <w:t>6</w:t>
      </w:r>
    </w:p>
    <w:p w14:paraId="47338796" w14:textId="37726A55" w:rsidR="0057272A" w:rsidRPr="00CC5F1C" w:rsidRDefault="0057272A" w:rsidP="007543A8">
      <w:pPr>
        <w:rPr>
          <w:rFonts w:ascii="Arial" w:hAnsi="Arial" w:cs="Arial"/>
          <w:b/>
          <w:bCs/>
          <w:color w:val="000000"/>
        </w:rPr>
      </w:pPr>
      <w:r w:rsidRPr="00CC5F1C">
        <w:rPr>
          <w:rFonts w:ascii="Arial" w:hAnsi="Arial" w:cs="Arial"/>
          <w:b/>
          <w:bCs/>
          <w:color w:val="000000"/>
        </w:rPr>
        <w:t>Vital</w:t>
      </w:r>
      <w:r w:rsidR="005F1B61" w:rsidRPr="00CC5F1C">
        <w:rPr>
          <w:rFonts w:ascii="Arial" w:hAnsi="Arial" w:cs="Arial"/>
          <w:b/>
          <w:bCs/>
          <w:color w:val="000000"/>
        </w:rPr>
        <w:t>a</w:t>
      </w:r>
      <w:r w:rsidRPr="00CC5F1C">
        <w:rPr>
          <w:rFonts w:ascii="Arial" w:hAnsi="Arial" w:cs="Arial"/>
          <w:b/>
          <w:bCs/>
          <w:color w:val="000000"/>
        </w:rPr>
        <w:t xml:space="preserve">nt transfer packing list </w:t>
      </w:r>
      <w:r w:rsidR="00306177" w:rsidRPr="00CC5F1C">
        <w:rPr>
          <w:rFonts w:ascii="Arial" w:hAnsi="Arial" w:cs="Arial"/>
          <w:b/>
          <w:bCs/>
          <w:color w:val="000000"/>
        </w:rPr>
        <w:t xml:space="preserve">and transfer forms </w:t>
      </w:r>
      <w:r w:rsidRPr="00CC5F1C">
        <w:rPr>
          <w:rFonts w:ascii="Arial" w:hAnsi="Arial" w:cs="Arial"/>
          <w:b/>
          <w:bCs/>
          <w:color w:val="000000"/>
        </w:rPr>
        <w:t>can be found here:</w:t>
      </w:r>
    </w:p>
    <w:p w14:paraId="50417DD0" w14:textId="7B847FC8" w:rsidR="0057272A" w:rsidRPr="00CC5F1C" w:rsidRDefault="00CC5F1C" w:rsidP="007543A8">
      <w:pPr>
        <w:rPr>
          <w:rStyle w:val="Hyperlink"/>
          <w:rFonts w:ascii="Arial" w:hAnsi="Arial" w:cs="Arial"/>
          <w:color w:val="000000"/>
        </w:rPr>
      </w:pPr>
      <w:hyperlink r:id="rId16" w:history="1">
        <w:r w:rsidR="0057272A" w:rsidRPr="00CC5F1C">
          <w:rPr>
            <w:rStyle w:val="Hyperlink"/>
            <w:rFonts w:ascii="Arial" w:hAnsi="Arial" w:cs="Arial"/>
            <w:color w:val="000000"/>
          </w:rPr>
          <w:t>https://vitalanthealth.org/getattachment/09607f12-efa8-4925-bf9d-32e35a9b03c2/BS_5150.pdf</w:t>
        </w:r>
      </w:hyperlink>
    </w:p>
    <w:p w14:paraId="0C02F5F3" w14:textId="77777777" w:rsidR="0057272A" w:rsidRPr="00CC5F1C" w:rsidRDefault="0057272A" w:rsidP="007543A8">
      <w:pPr>
        <w:rPr>
          <w:rFonts w:ascii="Arial" w:hAnsi="Arial" w:cs="Arial"/>
          <w:b/>
          <w:bCs/>
          <w:color w:val="000000"/>
          <w:u w:val="single"/>
        </w:rPr>
      </w:pPr>
    </w:p>
    <w:p w14:paraId="1E23AE5A" w14:textId="2B73E28D" w:rsidR="009F631C" w:rsidRPr="00CC5F1C" w:rsidRDefault="009F631C" w:rsidP="009F631C">
      <w:pPr>
        <w:rPr>
          <w:rFonts w:ascii="Arial" w:hAnsi="Arial" w:cs="Arial"/>
          <w:b/>
          <w:bCs/>
          <w:color w:val="000000"/>
        </w:rPr>
      </w:pPr>
    </w:p>
    <w:p w14:paraId="59E462F3" w14:textId="77777777" w:rsidR="009F631C" w:rsidRPr="00CC5F1C" w:rsidRDefault="009F631C" w:rsidP="009F631C">
      <w:pPr>
        <w:rPr>
          <w:rFonts w:ascii="Arial" w:hAnsi="Arial" w:cs="Arial"/>
          <w:b/>
          <w:bCs/>
          <w:color w:val="000000"/>
        </w:rPr>
      </w:pPr>
    </w:p>
    <w:p w14:paraId="381AE1C9" w14:textId="77777777" w:rsidR="000118A2" w:rsidRPr="00CC5F1C" w:rsidRDefault="000118A2">
      <w:pPr>
        <w:rPr>
          <w:rFonts w:ascii="Arial" w:hAnsi="Arial" w:cs="Arial"/>
          <w:color w:val="000000"/>
        </w:rPr>
      </w:pPr>
    </w:p>
    <w:sectPr w:rsidR="000118A2" w:rsidRPr="00CC5F1C" w:rsidSect="00AC3E17">
      <w:footerReference w:type="even" r:id="rId17"/>
      <w:footerReference w:type="default" r:id="rId18"/>
      <w:footerReference w:type="first" r:id="rId1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AA48" w14:textId="77777777" w:rsidR="00AC3E17" w:rsidRDefault="00AC3E17">
      <w:pPr>
        <w:spacing w:after="0" w:line="240" w:lineRule="auto"/>
      </w:pPr>
      <w:r>
        <w:separator/>
      </w:r>
    </w:p>
  </w:endnote>
  <w:endnote w:type="continuationSeparator" w:id="0">
    <w:p w14:paraId="72D82E46" w14:textId="77777777" w:rsidR="00AC3E17" w:rsidRDefault="00AC3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133A" w14:textId="70484639" w:rsidR="008537BE" w:rsidRDefault="008537BE">
    <w:pPr>
      <w:pStyle w:val="Footer"/>
    </w:pPr>
    <w:r>
      <w:rPr>
        <w:noProof/>
      </w:rPr>
      <mc:AlternateContent>
        <mc:Choice Requires="wps">
          <w:drawing>
            <wp:anchor distT="0" distB="0" distL="0" distR="0" simplePos="0" relativeHeight="251659264" behindDoc="0" locked="0" layoutInCell="1" allowOverlap="1" wp14:anchorId="1FBAF34B" wp14:editId="37E579F1">
              <wp:simplePos x="635" y="635"/>
              <wp:positionH relativeFrom="page">
                <wp:align>left</wp:align>
              </wp:positionH>
              <wp:positionV relativeFrom="page">
                <wp:align>bottom</wp:align>
              </wp:positionV>
              <wp:extent cx="443865" cy="443865"/>
              <wp:effectExtent l="0" t="0" r="9525" b="0"/>
              <wp:wrapNone/>
              <wp:docPr id="176585626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F9A0F2" w14:textId="3AA02B3F"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BAF34B"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3F9A0F2" w14:textId="3AA02B3F"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12D5" w14:textId="56697A7B" w:rsidR="008537BE" w:rsidRDefault="008537BE">
    <w:pPr>
      <w:pStyle w:val="Footer"/>
    </w:pPr>
    <w:r>
      <w:rPr>
        <w:noProof/>
      </w:rPr>
      <mc:AlternateContent>
        <mc:Choice Requires="wps">
          <w:drawing>
            <wp:anchor distT="0" distB="0" distL="0" distR="0" simplePos="0" relativeHeight="251660288" behindDoc="0" locked="0" layoutInCell="1" allowOverlap="1" wp14:anchorId="278C9E6C" wp14:editId="1C8DB0CD">
              <wp:simplePos x="914400" y="9429750"/>
              <wp:positionH relativeFrom="page">
                <wp:align>left</wp:align>
              </wp:positionH>
              <wp:positionV relativeFrom="page">
                <wp:align>bottom</wp:align>
              </wp:positionV>
              <wp:extent cx="443865" cy="443865"/>
              <wp:effectExtent l="0" t="0" r="9525" b="0"/>
              <wp:wrapNone/>
              <wp:docPr id="23264729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973AC3" w14:textId="78B61F48"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8C9E6C"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4973AC3" w14:textId="78B61F48"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C566" w14:textId="7A40FF79" w:rsidR="008537BE" w:rsidRDefault="008537BE">
    <w:pPr>
      <w:pStyle w:val="Footer"/>
    </w:pPr>
    <w:r>
      <w:rPr>
        <w:noProof/>
      </w:rPr>
      <mc:AlternateContent>
        <mc:Choice Requires="wps">
          <w:drawing>
            <wp:anchor distT="0" distB="0" distL="0" distR="0" simplePos="0" relativeHeight="251658240" behindDoc="0" locked="0" layoutInCell="1" allowOverlap="1" wp14:anchorId="2A95B7C0" wp14:editId="74A7D78D">
              <wp:simplePos x="635" y="635"/>
              <wp:positionH relativeFrom="page">
                <wp:align>left</wp:align>
              </wp:positionH>
              <wp:positionV relativeFrom="page">
                <wp:align>bottom</wp:align>
              </wp:positionV>
              <wp:extent cx="443865" cy="443865"/>
              <wp:effectExtent l="0" t="0" r="9525" b="0"/>
              <wp:wrapNone/>
              <wp:docPr id="124197749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91091B" w14:textId="16172D20"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95B7C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B91091B" w14:textId="16172D20" w:rsidR="008537BE" w:rsidRPr="008537BE" w:rsidRDefault="008537BE" w:rsidP="008537BE">
                    <w:pPr>
                      <w:spacing w:after="0"/>
                      <w:rPr>
                        <w:rFonts w:ascii="Rockwell" w:eastAsia="Rockwell" w:hAnsi="Rockwell" w:cs="Rockwell"/>
                        <w:noProof/>
                        <w:color w:val="0078D7"/>
                        <w:sz w:val="18"/>
                        <w:szCs w:val="18"/>
                      </w:rPr>
                    </w:pPr>
                    <w:r w:rsidRPr="008537B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61DD" w14:textId="77777777" w:rsidR="00AC3E17" w:rsidRDefault="00AC3E17">
      <w:pPr>
        <w:spacing w:after="0" w:line="240" w:lineRule="auto"/>
      </w:pPr>
      <w:r>
        <w:separator/>
      </w:r>
    </w:p>
  </w:footnote>
  <w:footnote w:type="continuationSeparator" w:id="0">
    <w:p w14:paraId="797A6F5D" w14:textId="77777777" w:rsidR="00AC3E17" w:rsidRDefault="00AC3E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33773"/>
    <w:multiLevelType w:val="hybridMultilevel"/>
    <w:tmpl w:val="CE088A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13EDF"/>
    <w:multiLevelType w:val="hybridMultilevel"/>
    <w:tmpl w:val="424C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6A6DCD"/>
    <w:multiLevelType w:val="hybridMultilevel"/>
    <w:tmpl w:val="1312D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63042B"/>
    <w:multiLevelType w:val="hybridMultilevel"/>
    <w:tmpl w:val="27D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800865">
    <w:abstractNumId w:val="0"/>
  </w:num>
  <w:num w:numId="2" w16cid:durableId="75979172">
    <w:abstractNumId w:val="3"/>
  </w:num>
  <w:num w:numId="3" w16cid:durableId="1099254890">
    <w:abstractNumId w:val="1"/>
  </w:num>
  <w:num w:numId="4" w16cid:durableId="106025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1C"/>
    <w:rsid w:val="000078B9"/>
    <w:rsid w:val="000118A2"/>
    <w:rsid w:val="00013490"/>
    <w:rsid w:val="00026910"/>
    <w:rsid w:val="00034CA9"/>
    <w:rsid w:val="000373AB"/>
    <w:rsid w:val="00047B48"/>
    <w:rsid w:val="00056D59"/>
    <w:rsid w:val="000A5C42"/>
    <w:rsid w:val="000E623A"/>
    <w:rsid w:val="00153377"/>
    <w:rsid w:val="001B65A5"/>
    <w:rsid w:val="00201F12"/>
    <w:rsid w:val="002169B1"/>
    <w:rsid w:val="00231796"/>
    <w:rsid w:val="00235F5D"/>
    <w:rsid w:val="00274955"/>
    <w:rsid w:val="00276CE3"/>
    <w:rsid w:val="002D7180"/>
    <w:rsid w:val="002E182C"/>
    <w:rsid w:val="002F48C6"/>
    <w:rsid w:val="002F5AA4"/>
    <w:rsid w:val="00306177"/>
    <w:rsid w:val="00333CEE"/>
    <w:rsid w:val="00357DF4"/>
    <w:rsid w:val="00357FC7"/>
    <w:rsid w:val="00367DDF"/>
    <w:rsid w:val="003D058C"/>
    <w:rsid w:val="003D25C4"/>
    <w:rsid w:val="00415FD0"/>
    <w:rsid w:val="00485892"/>
    <w:rsid w:val="004C3CE9"/>
    <w:rsid w:val="00505E41"/>
    <w:rsid w:val="0057272A"/>
    <w:rsid w:val="00580520"/>
    <w:rsid w:val="00586154"/>
    <w:rsid w:val="00591E3E"/>
    <w:rsid w:val="005B4B48"/>
    <w:rsid w:val="005E4964"/>
    <w:rsid w:val="005F1B61"/>
    <w:rsid w:val="005F71EA"/>
    <w:rsid w:val="00663E1D"/>
    <w:rsid w:val="006F17AD"/>
    <w:rsid w:val="00726D92"/>
    <w:rsid w:val="0072735E"/>
    <w:rsid w:val="007543A8"/>
    <w:rsid w:val="007638C0"/>
    <w:rsid w:val="007E07DD"/>
    <w:rsid w:val="00822DD1"/>
    <w:rsid w:val="008537BE"/>
    <w:rsid w:val="00857907"/>
    <w:rsid w:val="00876BA2"/>
    <w:rsid w:val="0088729D"/>
    <w:rsid w:val="008B3001"/>
    <w:rsid w:val="008B5783"/>
    <w:rsid w:val="008B7F0E"/>
    <w:rsid w:val="008D3CBA"/>
    <w:rsid w:val="00981CB4"/>
    <w:rsid w:val="00987AAD"/>
    <w:rsid w:val="009A3F91"/>
    <w:rsid w:val="009B1FC4"/>
    <w:rsid w:val="009D3057"/>
    <w:rsid w:val="009F631C"/>
    <w:rsid w:val="00A20C4F"/>
    <w:rsid w:val="00A25764"/>
    <w:rsid w:val="00A41B3C"/>
    <w:rsid w:val="00A45D0A"/>
    <w:rsid w:val="00A759B0"/>
    <w:rsid w:val="00A92257"/>
    <w:rsid w:val="00A960E5"/>
    <w:rsid w:val="00AC3E17"/>
    <w:rsid w:val="00AE6BE9"/>
    <w:rsid w:val="00B076DF"/>
    <w:rsid w:val="00B82650"/>
    <w:rsid w:val="00BA2F49"/>
    <w:rsid w:val="00C001ED"/>
    <w:rsid w:val="00C27F28"/>
    <w:rsid w:val="00C67827"/>
    <w:rsid w:val="00CC5F1C"/>
    <w:rsid w:val="00D233C8"/>
    <w:rsid w:val="00D30E03"/>
    <w:rsid w:val="00D44929"/>
    <w:rsid w:val="00DF1B75"/>
    <w:rsid w:val="00E02C84"/>
    <w:rsid w:val="00E85A2E"/>
    <w:rsid w:val="00E92CD1"/>
    <w:rsid w:val="00EE2621"/>
    <w:rsid w:val="00EF0579"/>
    <w:rsid w:val="00F31BEE"/>
    <w:rsid w:val="00F435BD"/>
    <w:rsid w:val="00F44246"/>
    <w:rsid w:val="00FB5AA2"/>
    <w:rsid w:val="00FE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4C17D"/>
  <w15:chartTrackingRefBased/>
  <w15:docId w15:val="{C77A3C67-FC81-4D27-A492-94984A4B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1C"/>
    <w:pPr>
      <w:ind w:left="720"/>
      <w:contextualSpacing/>
    </w:pPr>
  </w:style>
  <w:style w:type="table" w:styleId="TableGrid">
    <w:name w:val="Table Grid"/>
    <w:basedOn w:val="TableNormal"/>
    <w:uiPriority w:val="39"/>
    <w:rsid w:val="009F6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63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631C"/>
    <w:rPr>
      <w:color w:val="0563C1" w:themeColor="hyperlink"/>
      <w:u w:val="single"/>
    </w:rPr>
  </w:style>
  <w:style w:type="character" w:styleId="CommentReference">
    <w:name w:val="annotation reference"/>
    <w:basedOn w:val="DefaultParagraphFont"/>
    <w:uiPriority w:val="99"/>
    <w:semiHidden/>
    <w:unhideWhenUsed/>
    <w:rsid w:val="00A960E5"/>
    <w:rPr>
      <w:sz w:val="16"/>
      <w:szCs w:val="16"/>
    </w:rPr>
  </w:style>
  <w:style w:type="paragraph" w:styleId="CommentText">
    <w:name w:val="annotation text"/>
    <w:basedOn w:val="Normal"/>
    <w:link w:val="CommentTextChar"/>
    <w:uiPriority w:val="99"/>
    <w:unhideWhenUsed/>
    <w:rsid w:val="00A960E5"/>
    <w:pPr>
      <w:spacing w:line="240" w:lineRule="auto"/>
    </w:pPr>
    <w:rPr>
      <w:sz w:val="20"/>
      <w:szCs w:val="20"/>
    </w:rPr>
  </w:style>
  <w:style w:type="character" w:customStyle="1" w:styleId="CommentTextChar">
    <w:name w:val="Comment Text Char"/>
    <w:basedOn w:val="DefaultParagraphFont"/>
    <w:link w:val="CommentText"/>
    <w:uiPriority w:val="99"/>
    <w:rsid w:val="00A960E5"/>
    <w:rPr>
      <w:sz w:val="20"/>
      <w:szCs w:val="20"/>
    </w:rPr>
  </w:style>
  <w:style w:type="paragraph" w:styleId="CommentSubject">
    <w:name w:val="annotation subject"/>
    <w:basedOn w:val="CommentText"/>
    <w:next w:val="CommentText"/>
    <w:link w:val="CommentSubjectChar"/>
    <w:uiPriority w:val="99"/>
    <w:semiHidden/>
    <w:unhideWhenUsed/>
    <w:rsid w:val="00A41B3C"/>
    <w:rPr>
      <w:b/>
      <w:bCs/>
    </w:rPr>
  </w:style>
  <w:style w:type="character" w:customStyle="1" w:styleId="CommentSubjectChar">
    <w:name w:val="Comment Subject Char"/>
    <w:basedOn w:val="CommentTextChar"/>
    <w:link w:val="CommentSubject"/>
    <w:uiPriority w:val="99"/>
    <w:semiHidden/>
    <w:rsid w:val="00A41B3C"/>
    <w:rPr>
      <w:b/>
      <w:bCs/>
      <w:sz w:val="20"/>
      <w:szCs w:val="20"/>
    </w:rPr>
  </w:style>
  <w:style w:type="character" w:styleId="UnresolvedMention">
    <w:name w:val="Unresolved Mention"/>
    <w:basedOn w:val="DefaultParagraphFont"/>
    <w:uiPriority w:val="99"/>
    <w:semiHidden/>
    <w:unhideWhenUsed/>
    <w:rsid w:val="00663E1D"/>
    <w:rPr>
      <w:color w:val="605E5C"/>
      <w:shd w:val="clear" w:color="auto" w:fill="E1DFDD"/>
    </w:rPr>
  </w:style>
  <w:style w:type="paragraph" w:styleId="Revision">
    <w:name w:val="Revision"/>
    <w:hidden/>
    <w:uiPriority w:val="99"/>
    <w:semiHidden/>
    <w:rsid w:val="00201F12"/>
    <w:pPr>
      <w:spacing w:after="0" w:line="240" w:lineRule="auto"/>
    </w:pPr>
  </w:style>
  <w:style w:type="paragraph" w:styleId="Footer">
    <w:name w:val="footer"/>
    <w:basedOn w:val="Normal"/>
    <w:link w:val="FooterChar"/>
    <w:uiPriority w:val="99"/>
    <w:unhideWhenUsed/>
    <w:rsid w:val="008537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dcrossblood.org/content/dam/redcrossblood/hospital-page-documents/Shipping_Red_Cells_PJP_Edit_Feb2022.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italant.org/Doc-Control/Return-Red-Blood-Cells-CF-45-CF-8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talanthealth.org/getattachment/09607f12-efa8-4925-bf9d-32e35a9b03c2/BS_515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talanthealth.org/getattachment/09607f12-efa8-4925-bf9d-32e35a9b03c2/BS_5150.pdf" TargetMode="External"/><Relationship Id="rId5" Type="http://schemas.openxmlformats.org/officeDocument/2006/relationships/styles" Target="styles.xml"/><Relationship Id="rId15" Type="http://schemas.openxmlformats.org/officeDocument/2006/relationships/hyperlink" Target="https://www.redcrossblood.org/content/dam/redcrossblood/hospital-page-documents/HospitalCustomerTransferAccountingForm.pdf?cid=hospital_partner_resource_guide&amp;med=direct&amp;source=RCB_HS" TargetMode="External"/><Relationship Id="rId10" Type="http://schemas.openxmlformats.org/officeDocument/2006/relationships/hyperlink" Target="https://www.redcrossblood.org/content/dam/redcrossblood/hospital-page-documents/HPRG_2022.pdf"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talanthealth.org/getattachment/2d815da8-5180-402d-b516-162606478b94/Return-Red-Blood-Cells-CF-45-CF-8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FE35A6DA20E4AAF5D6867D2457E8B" ma:contentTypeVersion="18" ma:contentTypeDescription="Create a new document." ma:contentTypeScope="" ma:versionID="dd34500afd719415d191853cee5f4c2f">
  <xsd:schema xmlns:xsd="http://www.w3.org/2001/XMLSchema" xmlns:xs="http://www.w3.org/2001/XMLSchema" xmlns:p="http://schemas.microsoft.com/office/2006/metadata/properties" xmlns:ns3="2b854abb-fab1-46e4-880f-c560ff7b3743" xmlns:ns4="743647c8-b05f-431a-8471-673f48d7d95e" targetNamespace="http://schemas.microsoft.com/office/2006/metadata/properties" ma:root="true" ma:fieldsID="5aa74c58b84d65a7279b701715ffffa4" ns3:_="" ns4:_="">
    <xsd:import namespace="2b854abb-fab1-46e4-880f-c560ff7b3743"/>
    <xsd:import namespace="743647c8-b05f-431a-8471-673f48d7d9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54abb-fab1-46e4-880f-c560ff7b374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647c8-b05f-431a-8471-673f48d7d9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b854abb-fab1-46e4-880f-c560ff7b37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CE5E4-D89F-4603-B777-E3454070E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54abb-fab1-46e4-880f-c560ff7b3743"/>
    <ds:schemaRef ds:uri="743647c8-b05f-431a-8471-673f48d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1DD71-6935-4882-8B6D-6DB6A5CF4AA4}">
  <ds:schemaRefs>
    <ds:schemaRef ds:uri="http://schemas.microsoft.com/office/2006/metadata/properties"/>
    <ds:schemaRef ds:uri="http://schemas.microsoft.com/office/infopath/2007/PartnerControls"/>
    <ds:schemaRef ds:uri="2b854abb-fab1-46e4-880f-c560ff7b3743"/>
  </ds:schemaRefs>
</ds:datastoreItem>
</file>

<file path=customXml/itemProps3.xml><?xml version="1.0" encoding="utf-8"?>
<ds:datastoreItem xmlns:ds="http://schemas.openxmlformats.org/officeDocument/2006/customXml" ds:itemID="{0835E5D2-6BA6-4807-BB27-07446FD4C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1071</Words>
  <Characters>6368</Characters>
  <Application>Microsoft Office Word</Application>
  <DocSecurity>0</DocSecurity>
  <Lines>129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Simon</dc:creator>
  <cp:keywords/>
  <dc:description/>
  <cp:lastModifiedBy>Khanapur, Soumya</cp:lastModifiedBy>
  <cp:revision>2</cp:revision>
  <dcterms:created xsi:type="dcterms:W3CDTF">2024-02-23T23:04:00Z</dcterms:created>
  <dcterms:modified xsi:type="dcterms:W3CDTF">2024-02-23T23:04:00Z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0x0101003F8FE35A6DA20E4AAF5D6867D2457E8B</vt:lpwstr>
  </property>
  <property fmtid="{D5CDD505-2E9C-101B-9397-08002B2CF9AE}" pid="3" name="ClassificationContentMarkingFooterShapeIds">
    <vt:lpwstr>4a071299,6940d406,dddea83</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2024-02-22T03:37:58Z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21f20d67-e87b-4376-9336-7b7bfd9631fe</vt:lpwstr>
  </property>
  <property fmtid="{D5CDD505-2E9C-101B-9397-08002B2CF9AE}" pid="12" name="MSIP_Label_2bbab825-a111-45e4-86a1-18cee0005896_ContentBits">
    <vt:lpwstr>2</vt:lpwstr>
  </property>
</Properties>
</file>