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B6A6E" w14:textId="09F22DC9" w:rsidR="00FD3000" w:rsidRPr="0087018E" w:rsidRDefault="00234291" w:rsidP="00FD3000">
      <w:pPr>
        <w:rPr>
          <w:color w:val="000000"/>
          <w:lang w:val="en-US"/>
        </w:rPr>
      </w:pPr>
      <w:r w:rsidRPr="0087018E">
        <w:rPr>
          <w:rFonts w:ascii="TimesNewRomanPSMT" w:hAnsi="TimesNewRomanPSMT" w:cs="TimesNewRomanPSMT"/>
          <w:color w:val="000000"/>
          <w:kern w:val="0"/>
          <w:sz w:val="23"/>
          <w:szCs w:val="23"/>
          <w:lang w:val="en-US"/>
        </w:rPr>
        <w:t xml:space="preserve">Appendix 1. </w:t>
      </w:r>
      <w:bookmarkStart w:id="0" w:name="_Hlk154819367"/>
      <w:r w:rsidR="00FD3000" w:rsidRPr="0087018E">
        <w:rPr>
          <w:rFonts w:ascii="TimesNewRomanPSMT" w:hAnsi="TimesNewRomanPSMT" w:cs="TimesNewRomanPSMT"/>
          <w:color w:val="000000"/>
          <w:kern w:val="0"/>
          <w:sz w:val="23"/>
          <w:szCs w:val="23"/>
          <w:lang w:val="en-US"/>
        </w:rPr>
        <w:t>Operation of Advance Health Directive. Power of Attorney Act 1998 (Qld), s36</w:t>
      </w:r>
      <w:bookmarkEnd w:id="0"/>
      <w:r w:rsidR="00FD3000" w:rsidRPr="0087018E">
        <w:rPr>
          <w:rFonts w:ascii="TimesNewRomanPSMT" w:hAnsi="TimesNewRomanPSMT" w:cs="TimesNewRomanPSMT"/>
          <w:color w:val="000000"/>
          <w:kern w:val="0"/>
          <w:sz w:val="23"/>
          <w:szCs w:val="23"/>
          <w:lang w:val="en-US"/>
        </w:rPr>
        <w:t>.</w:t>
      </w:r>
    </w:p>
    <w:p w14:paraId="65688B0D" w14:textId="77777777" w:rsidR="00FD3000" w:rsidRPr="0087018E" w:rsidRDefault="00FD3000" w:rsidP="00FD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  <w:lang w:val="en-US"/>
        </w:rPr>
      </w:pPr>
    </w:p>
    <w:p w14:paraId="07FF2985" w14:textId="248D8D0A" w:rsidR="00FD3000" w:rsidRPr="0087018E" w:rsidRDefault="00FD3000" w:rsidP="00FD300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  <w:lang w:val="en-US"/>
        </w:rPr>
      </w:pPr>
      <w:r w:rsidRPr="0087018E">
        <w:rPr>
          <w:rFonts w:ascii="Times New Roman" w:hAnsi="Times New Roman" w:cs="Times New Roman"/>
          <w:color w:val="000000"/>
          <w:kern w:val="0"/>
          <w:sz w:val="23"/>
          <w:szCs w:val="23"/>
          <w:lang w:val="en-US"/>
        </w:rPr>
        <w:t>(1)A direction in an advance health directive</w:t>
      </w:r>
      <w:r w:rsidRPr="0087018E">
        <w:rPr>
          <w:rFonts w:ascii="TimesNewRomanPSMT" w:hAnsi="TimesNewRomanPSMT" w:cs="TimesNewRomanPSMT"/>
          <w:color w:val="000000"/>
          <w:kern w:val="0"/>
          <w:sz w:val="23"/>
          <w:szCs w:val="23"/>
          <w:lang w:val="en-US"/>
        </w:rPr>
        <w:t>—</w:t>
      </w:r>
    </w:p>
    <w:p w14:paraId="62E885BE" w14:textId="77777777" w:rsidR="00FD3000" w:rsidRPr="0087018E" w:rsidRDefault="00FD3000" w:rsidP="00FD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  <w:lang w:val="en-US"/>
        </w:rPr>
      </w:pPr>
      <w:r w:rsidRPr="0087018E">
        <w:rPr>
          <w:rFonts w:ascii="Times New Roman" w:hAnsi="Times New Roman" w:cs="Times New Roman"/>
          <w:color w:val="000000"/>
          <w:kern w:val="0"/>
          <w:sz w:val="23"/>
          <w:szCs w:val="23"/>
          <w:lang w:val="en-US"/>
        </w:rPr>
        <w:t>(a)operates only while the principal has impaired capacity for the matter covered by the direction; and</w:t>
      </w:r>
    </w:p>
    <w:p w14:paraId="0D5FAD3B" w14:textId="77777777" w:rsidR="00FD3000" w:rsidRPr="0087018E" w:rsidRDefault="00FD3000" w:rsidP="00FD300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  <w:lang w:val="en-US"/>
        </w:rPr>
      </w:pPr>
      <w:r w:rsidRPr="0087018E">
        <w:rPr>
          <w:rFonts w:ascii="Times New Roman" w:hAnsi="Times New Roman" w:cs="Times New Roman"/>
          <w:color w:val="000000"/>
          <w:kern w:val="0"/>
          <w:sz w:val="23"/>
          <w:szCs w:val="23"/>
          <w:lang w:val="en-US"/>
        </w:rPr>
        <w:t>(b)is as effective as if</w:t>
      </w:r>
      <w:r w:rsidRPr="0087018E">
        <w:rPr>
          <w:rFonts w:ascii="TimesNewRomanPSMT" w:hAnsi="TimesNewRomanPSMT" w:cs="TimesNewRomanPSMT"/>
          <w:color w:val="000000"/>
          <w:kern w:val="0"/>
          <w:sz w:val="23"/>
          <w:szCs w:val="23"/>
          <w:lang w:val="en-US"/>
        </w:rPr>
        <w:t>—</w:t>
      </w:r>
    </w:p>
    <w:p w14:paraId="2A8576CB" w14:textId="77777777" w:rsidR="00FD3000" w:rsidRPr="0087018E" w:rsidRDefault="00FD3000" w:rsidP="00FD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  <w:lang w:val="en-US"/>
        </w:rPr>
      </w:pPr>
      <w:r w:rsidRPr="0087018E">
        <w:rPr>
          <w:rFonts w:ascii="Times New Roman" w:hAnsi="Times New Roman" w:cs="Times New Roman"/>
          <w:color w:val="000000"/>
          <w:kern w:val="0"/>
          <w:sz w:val="23"/>
          <w:szCs w:val="23"/>
          <w:lang w:val="en-US"/>
        </w:rPr>
        <w:t>(i)the principal gave the direction when decisions about the matter needed to be made; and</w:t>
      </w:r>
    </w:p>
    <w:p w14:paraId="5D2B12BA" w14:textId="77777777" w:rsidR="00FD3000" w:rsidRPr="0087018E" w:rsidRDefault="00FD3000" w:rsidP="00FD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  <w:lang w:val="en-US"/>
        </w:rPr>
      </w:pPr>
      <w:r w:rsidRPr="0087018E">
        <w:rPr>
          <w:rFonts w:ascii="Times New Roman" w:hAnsi="Times New Roman" w:cs="Times New Roman"/>
          <w:color w:val="000000"/>
          <w:kern w:val="0"/>
          <w:sz w:val="23"/>
          <w:szCs w:val="23"/>
          <w:lang w:val="en-US"/>
        </w:rPr>
        <w:t>(ii)the principal then had capacity for the matter.</w:t>
      </w:r>
    </w:p>
    <w:p w14:paraId="587A4043" w14:textId="77777777" w:rsidR="00FD3000" w:rsidRPr="0087018E" w:rsidRDefault="00FD3000" w:rsidP="00FD3000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kern w:val="0"/>
          <w:sz w:val="20"/>
          <w:szCs w:val="20"/>
          <w:lang w:val="en-US"/>
        </w:rPr>
      </w:pPr>
      <w:r w:rsidRPr="0087018E"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  <w:lang w:val="en-US"/>
        </w:rPr>
        <w:t>Note</w:t>
      </w:r>
      <w:r w:rsidRPr="0087018E">
        <w:rPr>
          <w:rFonts w:ascii="TimesNewRomanPS-ItalicMT" w:hAnsi="TimesNewRomanPS-ItalicMT" w:cs="TimesNewRomanPS-ItalicMT"/>
          <w:i/>
          <w:iCs/>
          <w:color w:val="000000"/>
          <w:kern w:val="0"/>
          <w:sz w:val="20"/>
          <w:szCs w:val="20"/>
          <w:lang w:val="en-US"/>
        </w:rPr>
        <w:t>—</w:t>
      </w:r>
    </w:p>
    <w:p w14:paraId="65002A3F" w14:textId="77777777" w:rsidR="00FD3000" w:rsidRPr="0087018E" w:rsidRDefault="00FD3000" w:rsidP="00FD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lang w:val="en-US"/>
        </w:rPr>
      </w:pPr>
      <w:r w:rsidRPr="0087018E">
        <w:rPr>
          <w:rFonts w:ascii="Times New Roman" w:hAnsi="Times New Roman" w:cs="Times New Roman"/>
          <w:color w:val="000000"/>
          <w:kern w:val="0"/>
          <w:sz w:val="20"/>
          <w:szCs w:val="20"/>
          <w:lang w:val="en-US"/>
        </w:rPr>
        <w:t>See also section 101 (No less protection than if adult gave health consent).</w:t>
      </w:r>
    </w:p>
    <w:p w14:paraId="52619FE8" w14:textId="77777777" w:rsidR="00FD3000" w:rsidRPr="0087018E" w:rsidRDefault="00FD3000" w:rsidP="00FD300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  <w:lang w:val="en-US"/>
        </w:rPr>
      </w:pPr>
      <w:r w:rsidRPr="0087018E">
        <w:rPr>
          <w:rFonts w:ascii="Times New Roman" w:hAnsi="Times New Roman" w:cs="Times New Roman"/>
          <w:color w:val="000000"/>
          <w:kern w:val="0"/>
          <w:sz w:val="23"/>
          <w:szCs w:val="23"/>
          <w:lang w:val="en-US"/>
        </w:rPr>
        <w:t>(2)A direction to withhold or withdraw a life-sustaining measure can not operate unless</w:t>
      </w:r>
      <w:r w:rsidRPr="0087018E">
        <w:rPr>
          <w:rFonts w:ascii="TimesNewRomanPSMT" w:hAnsi="TimesNewRomanPSMT" w:cs="TimesNewRomanPSMT"/>
          <w:color w:val="000000"/>
          <w:kern w:val="0"/>
          <w:sz w:val="23"/>
          <w:szCs w:val="23"/>
          <w:lang w:val="en-US"/>
        </w:rPr>
        <w:t>—</w:t>
      </w:r>
    </w:p>
    <w:p w14:paraId="06406C23" w14:textId="77777777" w:rsidR="00FD3000" w:rsidRPr="0087018E" w:rsidRDefault="00FD3000" w:rsidP="00FD300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  <w:lang w:val="en-US"/>
        </w:rPr>
      </w:pPr>
      <w:r w:rsidRPr="0087018E">
        <w:rPr>
          <w:rFonts w:ascii="Times New Roman" w:hAnsi="Times New Roman" w:cs="Times New Roman"/>
          <w:color w:val="000000"/>
          <w:kern w:val="0"/>
          <w:sz w:val="23"/>
          <w:szCs w:val="23"/>
          <w:lang w:val="en-US"/>
        </w:rPr>
        <w:t>(a)1 of the following applies</w:t>
      </w:r>
      <w:r w:rsidRPr="0087018E">
        <w:rPr>
          <w:rFonts w:ascii="TimesNewRomanPSMT" w:hAnsi="TimesNewRomanPSMT" w:cs="TimesNewRomanPSMT"/>
          <w:color w:val="000000"/>
          <w:kern w:val="0"/>
          <w:sz w:val="23"/>
          <w:szCs w:val="23"/>
          <w:lang w:val="en-US"/>
        </w:rPr>
        <w:t>—</w:t>
      </w:r>
    </w:p>
    <w:p w14:paraId="708140EC" w14:textId="77777777" w:rsidR="00FD3000" w:rsidRPr="0087018E" w:rsidRDefault="00FD3000" w:rsidP="00FD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  <w:lang w:val="en-US"/>
        </w:rPr>
      </w:pPr>
      <w:r w:rsidRPr="0087018E">
        <w:rPr>
          <w:rFonts w:ascii="Times New Roman" w:hAnsi="Times New Roman" w:cs="Times New Roman"/>
          <w:color w:val="000000"/>
          <w:kern w:val="0"/>
          <w:sz w:val="23"/>
          <w:szCs w:val="23"/>
          <w:lang w:val="en-US"/>
        </w:rPr>
        <w:t>(i)the principal has a terminal illness or condition that is incurable or irreversible and as a result of</w:t>
      </w:r>
    </w:p>
    <w:p w14:paraId="29A47F25" w14:textId="77777777" w:rsidR="00FD3000" w:rsidRPr="0087018E" w:rsidRDefault="00FD3000" w:rsidP="00FD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  <w:lang w:val="en-US"/>
        </w:rPr>
      </w:pPr>
      <w:r w:rsidRPr="0087018E">
        <w:rPr>
          <w:rFonts w:ascii="Times New Roman" w:hAnsi="Times New Roman" w:cs="Times New Roman"/>
          <w:color w:val="000000"/>
          <w:kern w:val="0"/>
          <w:sz w:val="23"/>
          <w:szCs w:val="23"/>
          <w:lang w:val="en-US"/>
        </w:rPr>
        <w:t>which, in the opinion of a doctor treating the principal and another doctor, the principal may</w:t>
      </w:r>
    </w:p>
    <w:p w14:paraId="26AE6704" w14:textId="77777777" w:rsidR="00FD3000" w:rsidRPr="0087018E" w:rsidRDefault="00FD3000" w:rsidP="00FD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  <w:lang w:val="en-US"/>
        </w:rPr>
      </w:pPr>
      <w:r w:rsidRPr="0087018E">
        <w:rPr>
          <w:rFonts w:ascii="Times New Roman" w:hAnsi="Times New Roman" w:cs="Times New Roman"/>
          <w:color w:val="000000"/>
          <w:kern w:val="0"/>
          <w:sz w:val="23"/>
          <w:szCs w:val="23"/>
          <w:lang w:val="en-US"/>
        </w:rPr>
        <w:t>reasonably be expected to die within 1 year;</w:t>
      </w:r>
    </w:p>
    <w:p w14:paraId="0BB2BD41" w14:textId="77777777" w:rsidR="00FD3000" w:rsidRPr="0087018E" w:rsidRDefault="00FD3000" w:rsidP="00FD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  <w:lang w:val="en-US"/>
        </w:rPr>
      </w:pPr>
      <w:r w:rsidRPr="0087018E">
        <w:rPr>
          <w:rFonts w:ascii="Times New Roman" w:hAnsi="Times New Roman" w:cs="Times New Roman"/>
          <w:color w:val="000000"/>
          <w:kern w:val="0"/>
          <w:sz w:val="23"/>
          <w:szCs w:val="23"/>
          <w:lang w:val="en-US"/>
        </w:rPr>
        <w:t>(ii)the principal is in a persistent vegetative state, that is, the principal has a condition involving severe</w:t>
      </w:r>
    </w:p>
    <w:p w14:paraId="63130DF3" w14:textId="77777777" w:rsidR="00FD3000" w:rsidRPr="0087018E" w:rsidRDefault="00FD3000" w:rsidP="00FD300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  <w:lang w:val="en-US"/>
        </w:rPr>
      </w:pPr>
      <w:r w:rsidRPr="0087018E">
        <w:rPr>
          <w:rFonts w:ascii="TimesNewRomanPSMT" w:hAnsi="TimesNewRomanPSMT" w:cs="TimesNewRomanPSMT"/>
          <w:color w:val="000000"/>
          <w:kern w:val="0"/>
          <w:sz w:val="23"/>
          <w:szCs w:val="23"/>
          <w:lang w:val="en-US"/>
        </w:rPr>
        <w:t>and irreversible brain damage which, however, allows some or all of the principal’s vital bodily</w:t>
      </w:r>
    </w:p>
    <w:p w14:paraId="6D0B0AFA" w14:textId="77777777" w:rsidR="00FD3000" w:rsidRPr="0087018E" w:rsidRDefault="00FD3000" w:rsidP="00FD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  <w:lang w:val="en-US"/>
        </w:rPr>
      </w:pPr>
      <w:r w:rsidRPr="0087018E">
        <w:rPr>
          <w:rFonts w:ascii="Times New Roman" w:hAnsi="Times New Roman" w:cs="Times New Roman"/>
          <w:color w:val="000000"/>
          <w:kern w:val="0"/>
          <w:sz w:val="23"/>
          <w:szCs w:val="23"/>
          <w:lang w:val="en-US"/>
        </w:rPr>
        <w:t>functions to continue, including, for example, heart beat or breathing;</w:t>
      </w:r>
    </w:p>
    <w:p w14:paraId="5BB101A5" w14:textId="77777777" w:rsidR="00FD3000" w:rsidRPr="0087018E" w:rsidRDefault="00FD3000" w:rsidP="00FD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  <w:lang w:val="en-US"/>
        </w:rPr>
      </w:pPr>
      <w:r w:rsidRPr="0087018E">
        <w:rPr>
          <w:rFonts w:ascii="Times New Roman" w:hAnsi="Times New Roman" w:cs="Times New Roman"/>
          <w:color w:val="000000"/>
          <w:kern w:val="0"/>
          <w:sz w:val="23"/>
          <w:szCs w:val="23"/>
          <w:lang w:val="en-US"/>
        </w:rPr>
        <w:t>(iii)the principal is permanently unconscious, that is, the principal has a condition involving brain</w:t>
      </w:r>
    </w:p>
    <w:p w14:paraId="3098F547" w14:textId="77777777" w:rsidR="00FD3000" w:rsidRPr="0087018E" w:rsidRDefault="00FD3000" w:rsidP="00FD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  <w:lang w:val="en-US"/>
        </w:rPr>
      </w:pPr>
      <w:r w:rsidRPr="0087018E">
        <w:rPr>
          <w:rFonts w:ascii="Times New Roman" w:hAnsi="Times New Roman" w:cs="Times New Roman"/>
          <w:color w:val="000000"/>
          <w:kern w:val="0"/>
          <w:sz w:val="23"/>
          <w:szCs w:val="23"/>
          <w:lang w:val="en-US"/>
        </w:rPr>
        <w:t>damage so severe that there is no reasonable prospect of the principal regaining consciousness;</w:t>
      </w:r>
    </w:p>
    <w:p w14:paraId="77067291" w14:textId="77777777" w:rsidR="00FD3000" w:rsidRPr="0087018E" w:rsidRDefault="00FD3000" w:rsidP="00FD3000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kern w:val="0"/>
          <w:sz w:val="20"/>
          <w:szCs w:val="20"/>
          <w:lang w:val="en-US"/>
        </w:rPr>
      </w:pPr>
      <w:r w:rsidRPr="0087018E"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  <w:lang w:val="en-US"/>
        </w:rPr>
        <w:t>Note</w:t>
      </w:r>
      <w:r w:rsidRPr="0087018E">
        <w:rPr>
          <w:rFonts w:ascii="TimesNewRomanPS-ItalicMT" w:hAnsi="TimesNewRomanPS-ItalicMT" w:cs="TimesNewRomanPS-ItalicMT"/>
          <w:i/>
          <w:iCs/>
          <w:color w:val="000000"/>
          <w:kern w:val="0"/>
          <w:sz w:val="20"/>
          <w:szCs w:val="20"/>
          <w:lang w:val="en-US"/>
        </w:rPr>
        <w:t>—</w:t>
      </w:r>
    </w:p>
    <w:p w14:paraId="4D661358" w14:textId="77777777" w:rsidR="00FD3000" w:rsidRPr="0087018E" w:rsidRDefault="00FD3000" w:rsidP="00FD300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0"/>
          <w:szCs w:val="20"/>
          <w:lang w:val="en-US"/>
        </w:rPr>
      </w:pPr>
      <w:r w:rsidRPr="0087018E">
        <w:rPr>
          <w:rFonts w:ascii="TimesNewRomanPSMT" w:hAnsi="TimesNewRomanPSMT" w:cs="TimesNewRomanPSMT"/>
          <w:color w:val="000000"/>
          <w:kern w:val="0"/>
          <w:sz w:val="20"/>
          <w:szCs w:val="20"/>
          <w:lang w:val="en-US"/>
        </w:rPr>
        <w:t>This is sometimes referred to as ‘a coma’.</w:t>
      </w:r>
    </w:p>
    <w:p w14:paraId="6000FBBF" w14:textId="77777777" w:rsidR="00FD3000" w:rsidRPr="0087018E" w:rsidRDefault="00FD3000" w:rsidP="00FD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  <w:lang w:val="en-US"/>
        </w:rPr>
      </w:pPr>
      <w:r w:rsidRPr="0087018E">
        <w:rPr>
          <w:rFonts w:ascii="Times New Roman" w:hAnsi="Times New Roman" w:cs="Times New Roman"/>
          <w:color w:val="000000"/>
          <w:kern w:val="0"/>
          <w:sz w:val="23"/>
          <w:szCs w:val="23"/>
          <w:lang w:val="en-US"/>
        </w:rPr>
        <w:t>(iv)the principal has an illness or injury of such severity that there is no reasonable prospect that the</w:t>
      </w:r>
    </w:p>
    <w:p w14:paraId="20C6B3FE" w14:textId="77777777" w:rsidR="00FD3000" w:rsidRPr="0087018E" w:rsidRDefault="00FD3000" w:rsidP="00FD300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  <w:lang w:val="en-US"/>
        </w:rPr>
      </w:pPr>
      <w:r w:rsidRPr="0087018E">
        <w:rPr>
          <w:rFonts w:ascii="TimesNewRomanPSMT" w:hAnsi="TimesNewRomanPSMT" w:cs="TimesNewRomanPSMT"/>
          <w:color w:val="000000"/>
          <w:kern w:val="0"/>
          <w:sz w:val="23"/>
          <w:szCs w:val="23"/>
          <w:lang w:val="en-US"/>
        </w:rPr>
        <w:t>principal will recover to the extent that the principal’s life can be sustained without the continued</w:t>
      </w:r>
    </w:p>
    <w:p w14:paraId="01F3D671" w14:textId="77777777" w:rsidR="00FD3000" w:rsidRPr="0087018E" w:rsidRDefault="00FD3000" w:rsidP="00FD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  <w:lang w:val="en-US"/>
        </w:rPr>
      </w:pPr>
      <w:r w:rsidRPr="0087018E">
        <w:rPr>
          <w:rFonts w:ascii="Times New Roman" w:hAnsi="Times New Roman" w:cs="Times New Roman"/>
          <w:color w:val="000000"/>
          <w:kern w:val="0"/>
          <w:sz w:val="23"/>
          <w:szCs w:val="23"/>
          <w:lang w:val="en-US"/>
        </w:rPr>
        <w:t>application of life-sustaining measures; and</w:t>
      </w:r>
    </w:p>
    <w:p w14:paraId="02766540" w14:textId="77777777" w:rsidR="00FD3000" w:rsidRPr="0087018E" w:rsidRDefault="00FD3000" w:rsidP="00FD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  <w:lang w:val="en-US"/>
        </w:rPr>
      </w:pPr>
      <w:r w:rsidRPr="0087018E">
        <w:rPr>
          <w:rFonts w:ascii="Times New Roman" w:hAnsi="Times New Roman" w:cs="Times New Roman"/>
          <w:color w:val="000000"/>
          <w:kern w:val="0"/>
          <w:sz w:val="23"/>
          <w:szCs w:val="23"/>
          <w:lang w:val="en-US"/>
        </w:rPr>
        <w:t>(b)for a direction to withhold or withdraw artificial nutrition or artificial hydration</w:t>
      </w:r>
      <w:r w:rsidRPr="0087018E">
        <w:rPr>
          <w:rFonts w:ascii="TimesNewRomanPSMT" w:hAnsi="TimesNewRomanPSMT" w:cs="TimesNewRomanPSMT"/>
          <w:color w:val="000000"/>
          <w:kern w:val="0"/>
          <w:sz w:val="23"/>
          <w:szCs w:val="23"/>
          <w:lang w:val="en-US"/>
        </w:rPr>
        <w:t>—</w:t>
      </w:r>
      <w:r w:rsidRPr="0087018E">
        <w:rPr>
          <w:rFonts w:ascii="Times New Roman" w:hAnsi="Times New Roman" w:cs="Times New Roman"/>
          <w:color w:val="000000"/>
          <w:kern w:val="0"/>
          <w:sz w:val="23"/>
          <w:szCs w:val="23"/>
          <w:lang w:val="en-US"/>
        </w:rPr>
        <w:t>the commencement</w:t>
      </w:r>
    </w:p>
    <w:p w14:paraId="13170493" w14:textId="77777777" w:rsidR="00FD3000" w:rsidRPr="0087018E" w:rsidRDefault="00FD3000" w:rsidP="00FD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  <w:lang w:val="en-US"/>
        </w:rPr>
      </w:pPr>
      <w:r w:rsidRPr="0087018E">
        <w:rPr>
          <w:rFonts w:ascii="Times New Roman" w:hAnsi="Times New Roman" w:cs="Times New Roman"/>
          <w:color w:val="000000"/>
          <w:kern w:val="0"/>
          <w:sz w:val="23"/>
          <w:szCs w:val="23"/>
          <w:lang w:val="en-US"/>
        </w:rPr>
        <w:t>or continuation of the measure would be inconsistent with good medical practice; and</w:t>
      </w:r>
    </w:p>
    <w:p w14:paraId="751727FA" w14:textId="77777777" w:rsidR="00FD3000" w:rsidRPr="0087018E" w:rsidRDefault="00FD3000" w:rsidP="00FD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  <w:lang w:val="en-US"/>
        </w:rPr>
      </w:pPr>
      <w:r w:rsidRPr="0087018E">
        <w:rPr>
          <w:rFonts w:ascii="Times New Roman" w:hAnsi="Times New Roman" w:cs="Times New Roman"/>
          <w:color w:val="000000"/>
          <w:kern w:val="0"/>
          <w:sz w:val="23"/>
          <w:szCs w:val="23"/>
          <w:lang w:val="en-US"/>
        </w:rPr>
        <w:t>(c)the principal has no reasonable prospect of regaining capacity for health matters.</w:t>
      </w:r>
    </w:p>
    <w:p w14:paraId="14659D53" w14:textId="77777777" w:rsidR="00FD3000" w:rsidRPr="0087018E" w:rsidRDefault="00FD3000" w:rsidP="00FD3000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kern w:val="0"/>
          <w:sz w:val="20"/>
          <w:szCs w:val="20"/>
          <w:lang w:val="en-US"/>
        </w:rPr>
      </w:pPr>
      <w:r w:rsidRPr="0087018E"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  <w:lang w:val="en-US"/>
        </w:rPr>
        <w:t>Note</w:t>
      </w:r>
      <w:r w:rsidRPr="0087018E">
        <w:rPr>
          <w:rFonts w:ascii="TimesNewRomanPS-ItalicMT" w:hAnsi="TimesNewRomanPS-ItalicMT" w:cs="TimesNewRomanPS-ItalicMT"/>
          <w:i/>
          <w:iCs/>
          <w:color w:val="000000"/>
          <w:kern w:val="0"/>
          <w:sz w:val="20"/>
          <w:szCs w:val="20"/>
          <w:lang w:val="en-US"/>
        </w:rPr>
        <w:t>—</w:t>
      </w:r>
    </w:p>
    <w:p w14:paraId="19513207" w14:textId="77777777" w:rsidR="00FD3000" w:rsidRPr="0087018E" w:rsidRDefault="00FD3000" w:rsidP="00FD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lang w:val="en-US"/>
        </w:rPr>
      </w:pPr>
      <w:r w:rsidRPr="0087018E"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  <w:lang w:val="en-US"/>
        </w:rPr>
        <w:t xml:space="preserve">life-sustaining measure </w:t>
      </w:r>
      <w:r w:rsidRPr="0087018E">
        <w:rPr>
          <w:rFonts w:ascii="Times New Roman" w:hAnsi="Times New Roman" w:cs="Times New Roman"/>
          <w:color w:val="000000"/>
          <w:kern w:val="0"/>
          <w:sz w:val="20"/>
          <w:szCs w:val="20"/>
          <w:lang w:val="en-US"/>
        </w:rPr>
        <w:t>is defined in schedule 2, section 5A.</w:t>
      </w:r>
    </w:p>
    <w:p w14:paraId="5AF8E4D9" w14:textId="77777777" w:rsidR="00FD3000" w:rsidRPr="0087018E" w:rsidRDefault="00FD3000" w:rsidP="00FD300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  <w:lang w:val="en-US"/>
        </w:rPr>
      </w:pPr>
      <w:r w:rsidRPr="0087018E">
        <w:rPr>
          <w:rFonts w:ascii="TimesNewRomanPSMT" w:hAnsi="TimesNewRomanPSMT" w:cs="TimesNewRomanPSMT"/>
          <w:color w:val="000000"/>
          <w:kern w:val="0"/>
          <w:sz w:val="23"/>
          <w:szCs w:val="23"/>
          <w:lang w:val="en-US"/>
        </w:rPr>
        <w:t>(3)An attorney’s power for a health matter under an advance health directive is exercisable during any</w:t>
      </w:r>
    </w:p>
    <w:p w14:paraId="19703C6A" w14:textId="77777777" w:rsidR="00FD3000" w:rsidRPr="0087018E" w:rsidRDefault="00FD3000" w:rsidP="00FD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  <w:lang w:val="en-US"/>
        </w:rPr>
      </w:pPr>
      <w:r w:rsidRPr="0087018E">
        <w:rPr>
          <w:rFonts w:ascii="Times New Roman" w:hAnsi="Times New Roman" w:cs="Times New Roman"/>
          <w:color w:val="000000"/>
          <w:kern w:val="0"/>
          <w:sz w:val="23"/>
          <w:szCs w:val="23"/>
          <w:lang w:val="en-US"/>
        </w:rPr>
        <w:t>or every period the principal has impaired capacity for the matter and not otherwise.</w:t>
      </w:r>
    </w:p>
    <w:p w14:paraId="01CA7159" w14:textId="77777777" w:rsidR="00FD3000" w:rsidRPr="0087018E" w:rsidRDefault="00FD3000" w:rsidP="00FD3000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kern w:val="0"/>
          <w:sz w:val="20"/>
          <w:szCs w:val="20"/>
          <w:lang w:val="en-US"/>
        </w:rPr>
      </w:pPr>
      <w:r w:rsidRPr="0087018E"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  <w:lang w:val="en-US"/>
        </w:rPr>
        <w:t>Note</w:t>
      </w:r>
      <w:r w:rsidRPr="0087018E">
        <w:rPr>
          <w:rFonts w:ascii="TimesNewRomanPS-ItalicMT" w:hAnsi="TimesNewRomanPS-ItalicMT" w:cs="TimesNewRomanPS-ItalicMT"/>
          <w:i/>
          <w:iCs/>
          <w:color w:val="000000"/>
          <w:kern w:val="0"/>
          <w:sz w:val="20"/>
          <w:szCs w:val="20"/>
          <w:lang w:val="en-US"/>
        </w:rPr>
        <w:t>—</w:t>
      </w:r>
    </w:p>
    <w:p w14:paraId="4E6B17B5" w14:textId="77777777" w:rsidR="00FD3000" w:rsidRPr="0087018E" w:rsidRDefault="00FD3000" w:rsidP="00FD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  <w:lang w:val="en-US"/>
        </w:rPr>
      </w:pPr>
      <w:r w:rsidRPr="0087018E">
        <w:rPr>
          <w:rFonts w:ascii="TimesNewRomanPSMT" w:hAnsi="TimesNewRomanPSMT" w:cs="TimesNewRomanPSMT"/>
          <w:color w:val="000000"/>
          <w:kern w:val="0"/>
          <w:sz w:val="20"/>
          <w:szCs w:val="20"/>
          <w:lang w:val="en-US"/>
        </w:rPr>
        <w:t xml:space="preserve">However, the priority of an attorney’s power for </w:t>
      </w:r>
      <w:r w:rsidRPr="0087018E">
        <w:rPr>
          <w:rFonts w:ascii="Times New Roman" w:hAnsi="Times New Roman" w:cs="Times New Roman"/>
          <w:color w:val="000000"/>
          <w:kern w:val="0"/>
          <w:sz w:val="20"/>
          <w:szCs w:val="20"/>
          <w:lang w:val="en-US"/>
        </w:rPr>
        <w:t xml:space="preserve">a health matter is decided by the </w:t>
      </w:r>
      <w:r w:rsidRPr="0087018E"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  <w:lang w:val="en-US"/>
        </w:rPr>
        <w:t>Guardianship and</w:t>
      </w:r>
    </w:p>
    <w:p w14:paraId="7D795351" w14:textId="77777777" w:rsidR="00FD3000" w:rsidRPr="0087018E" w:rsidRDefault="00FD3000" w:rsidP="00FD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lang w:val="en-US"/>
        </w:rPr>
      </w:pPr>
      <w:r w:rsidRPr="0087018E"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  <w:lang w:val="en-US"/>
        </w:rPr>
        <w:t xml:space="preserve">Administration Act 2000 </w:t>
      </w:r>
      <w:r w:rsidRPr="0087018E">
        <w:rPr>
          <w:rFonts w:ascii="Times New Roman" w:hAnsi="Times New Roman" w:cs="Times New Roman"/>
          <w:color w:val="000000"/>
          <w:kern w:val="0"/>
          <w:sz w:val="20"/>
          <w:szCs w:val="20"/>
          <w:lang w:val="en-US"/>
        </w:rPr>
        <w:t>, section 66 (Adult with impaired capacity</w:t>
      </w:r>
      <w:r w:rsidRPr="0087018E">
        <w:rPr>
          <w:rFonts w:ascii="TimesNewRomanPSMT" w:hAnsi="TimesNewRomanPSMT" w:cs="TimesNewRomanPSMT"/>
          <w:color w:val="000000"/>
          <w:kern w:val="0"/>
          <w:sz w:val="20"/>
          <w:szCs w:val="20"/>
          <w:lang w:val="en-US"/>
        </w:rPr>
        <w:t>—</w:t>
      </w:r>
      <w:r w:rsidRPr="0087018E">
        <w:rPr>
          <w:rFonts w:ascii="Times New Roman" w:hAnsi="Times New Roman" w:cs="Times New Roman"/>
          <w:color w:val="000000"/>
          <w:kern w:val="0"/>
          <w:sz w:val="20"/>
          <w:szCs w:val="20"/>
          <w:lang w:val="en-US"/>
        </w:rPr>
        <w:t>order of priority in dealing with health</w:t>
      </w:r>
    </w:p>
    <w:p w14:paraId="327E5618" w14:textId="77777777" w:rsidR="00FD3000" w:rsidRPr="0087018E" w:rsidRDefault="00FD3000" w:rsidP="00FD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lang w:val="en-US"/>
        </w:rPr>
      </w:pPr>
      <w:r w:rsidRPr="0087018E">
        <w:rPr>
          <w:rFonts w:ascii="Times New Roman" w:hAnsi="Times New Roman" w:cs="Times New Roman"/>
          <w:color w:val="000000"/>
          <w:kern w:val="0"/>
          <w:sz w:val="20"/>
          <w:szCs w:val="20"/>
          <w:lang w:val="en-US"/>
        </w:rPr>
        <w:t>matter). See, in particular, section 66 (4).</w:t>
      </w:r>
    </w:p>
    <w:p w14:paraId="33B9A060" w14:textId="77777777" w:rsidR="00FD3000" w:rsidRPr="0087018E" w:rsidRDefault="00FD3000" w:rsidP="00FD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  <w:lang w:val="en-US"/>
        </w:rPr>
      </w:pPr>
      <w:r w:rsidRPr="0087018E">
        <w:rPr>
          <w:rFonts w:ascii="Times New Roman" w:hAnsi="Times New Roman" w:cs="Times New Roman"/>
          <w:color w:val="000000"/>
          <w:kern w:val="0"/>
          <w:sz w:val="23"/>
          <w:szCs w:val="23"/>
          <w:lang w:val="en-US"/>
        </w:rPr>
        <w:t>(4)While power for a health matter is exercisable under an advance health directive, the directive gives</w:t>
      </w:r>
    </w:p>
    <w:p w14:paraId="734A4B8D" w14:textId="77777777" w:rsidR="00FD3000" w:rsidRPr="0087018E" w:rsidRDefault="00FD3000" w:rsidP="00FD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  <w:lang w:val="en-US"/>
        </w:rPr>
      </w:pPr>
      <w:r w:rsidRPr="0087018E">
        <w:rPr>
          <w:rFonts w:ascii="Times New Roman" w:hAnsi="Times New Roman" w:cs="Times New Roman"/>
          <w:color w:val="000000"/>
          <w:kern w:val="0"/>
          <w:sz w:val="23"/>
          <w:szCs w:val="23"/>
          <w:lang w:val="en-US"/>
        </w:rPr>
        <w:t>the attorney for the matter power to do, for the principal, anything in relation to the matter the</w:t>
      </w:r>
    </w:p>
    <w:p w14:paraId="044167C6" w14:textId="77777777" w:rsidR="00FD3000" w:rsidRPr="0087018E" w:rsidRDefault="00FD3000" w:rsidP="00FD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  <w:lang w:val="en-US"/>
        </w:rPr>
      </w:pPr>
      <w:r w:rsidRPr="0087018E">
        <w:rPr>
          <w:rFonts w:ascii="Times New Roman" w:hAnsi="Times New Roman" w:cs="Times New Roman"/>
          <w:color w:val="000000"/>
          <w:kern w:val="0"/>
          <w:sz w:val="23"/>
          <w:szCs w:val="23"/>
          <w:lang w:val="en-US"/>
        </w:rPr>
        <w:t>principal could lawfully do if the principal had capacity for the matter.</w:t>
      </w:r>
    </w:p>
    <w:p w14:paraId="5C36BAAB" w14:textId="77777777" w:rsidR="00FD3000" w:rsidRPr="0087018E" w:rsidRDefault="00FD3000" w:rsidP="00FD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  <w:lang w:val="en-US"/>
        </w:rPr>
      </w:pPr>
      <w:r w:rsidRPr="0087018E">
        <w:rPr>
          <w:rFonts w:ascii="Times New Roman" w:hAnsi="Times New Roman" w:cs="Times New Roman"/>
          <w:color w:val="000000"/>
          <w:kern w:val="0"/>
          <w:sz w:val="23"/>
          <w:szCs w:val="23"/>
          <w:lang w:val="en-US"/>
        </w:rPr>
        <w:t>(5)However, the power given is subject to the terms of the advance health directive and this Act.</w:t>
      </w:r>
    </w:p>
    <w:p w14:paraId="3AA4249D" w14:textId="77777777" w:rsidR="00FD3000" w:rsidRPr="0087018E" w:rsidRDefault="00FD3000" w:rsidP="00FD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  <w:lang w:val="en-US"/>
        </w:rPr>
      </w:pPr>
      <w:r w:rsidRPr="0087018E">
        <w:rPr>
          <w:rFonts w:ascii="Times New Roman" w:hAnsi="Times New Roman" w:cs="Times New Roman"/>
          <w:color w:val="000000"/>
          <w:kern w:val="0"/>
          <w:sz w:val="23"/>
          <w:szCs w:val="23"/>
          <w:lang w:val="en-US"/>
        </w:rPr>
        <w:t>(6)A person dealing with the attorney may ask for evidence, for example, a medical certificate, to</w:t>
      </w:r>
    </w:p>
    <w:p w14:paraId="461D637E" w14:textId="77777777" w:rsidR="00FD3000" w:rsidRPr="0087018E" w:rsidRDefault="00FD3000" w:rsidP="00FD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  <w:lang w:val="en-US"/>
        </w:rPr>
      </w:pPr>
      <w:r w:rsidRPr="0087018E">
        <w:rPr>
          <w:rFonts w:ascii="Times New Roman" w:hAnsi="Times New Roman" w:cs="Times New Roman"/>
          <w:color w:val="000000"/>
          <w:kern w:val="0"/>
          <w:sz w:val="23"/>
          <w:szCs w:val="23"/>
          <w:lang w:val="en-US"/>
        </w:rPr>
        <w:t>establish that the principal has impaired capacity for the matter.</w:t>
      </w:r>
    </w:p>
    <w:p w14:paraId="7168D7E9" w14:textId="77777777" w:rsidR="00FD3000" w:rsidRPr="0087018E" w:rsidRDefault="00FD3000" w:rsidP="00FD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  <w:lang w:val="en-US"/>
        </w:rPr>
      </w:pPr>
    </w:p>
    <w:p w14:paraId="70DF0449" w14:textId="77777777" w:rsidR="00FD3000" w:rsidRPr="0087018E" w:rsidRDefault="00FD3000" w:rsidP="00FD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  <w:lang w:val="en-US"/>
        </w:rPr>
      </w:pPr>
    </w:p>
    <w:sectPr w:rsidR="00FD3000" w:rsidRPr="0087018E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4F20A" w14:textId="77777777" w:rsidR="0087018E" w:rsidRDefault="0087018E" w:rsidP="0087018E">
      <w:pPr>
        <w:spacing w:after="0" w:line="240" w:lineRule="auto"/>
      </w:pPr>
      <w:r>
        <w:separator/>
      </w:r>
    </w:p>
  </w:endnote>
  <w:endnote w:type="continuationSeparator" w:id="0">
    <w:p w14:paraId="33774E75" w14:textId="77777777" w:rsidR="0087018E" w:rsidRDefault="0087018E" w:rsidP="00870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67A12" w14:textId="417694DA" w:rsidR="0087018E" w:rsidRDefault="0087018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D3957B8" wp14:editId="19D7BB5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75863936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38D843" w14:textId="55CD4626" w:rsidR="0087018E" w:rsidRPr="0087018E" w:rsidRDefault="0087018E" w:rsidP="0087018E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7018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3957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2E38D843" w14:textId="55CD4626" w:rsidR="0087018E" w:rsidRPr="0087018E" w:rsidRDefault="0087018E" w:rsidP="0087018E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7018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9B554" w14:textId="4D46A4CB" w:rsidR="0087018E" w:rsidRDefault="0087018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A2CD35E" wp14:editId="65803E19">
              <wp:simplePos x="914400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79578228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EEAAB2" w14:textId="02177889" w:rsidR="0087018E" w:rsidRPr="0087018E" w:rsidRDefault="0087018E" w:rsidP="0087018E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7018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2CD35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7FEEAAB2" w14:textId="02177889" w:rsidR="0087018E" w:rsidRPr="0087018E" w:rsidRDefault="0087018E" w:rsidP="0087018E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7018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F2548" w14:textId="0B436652" w:rsidR="0087018E" w:rsidRDefault="0087018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B90439" wp14:editId="240C175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97201962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9E20DF" w14:textId="495FC887" w:rsidR="0087018E" w:rsidRPr="0087018E" w:rsidRDefault="0087018E" w:rsidP="0087018E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7018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B904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2C9E20DF" w14:textId="495FC887" w:rsidR="0087018E" w:rsidRPr="0087018E" w:rsidRDefault="0087018E" w:rsidP="0087018E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7018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20A23" w14:textId="77777777" w:rsidR="0087018E" w:rsidRDefault="0087018E" w:rsidP="0087018E">
      <w:pPr>
        <w:spacing w:after="0" w:line="240" w:lineRule="auto"/>
      </w:pPr>
      <w:r>
        <w:separator/>
      </w:r>
    </w:p>
  </w:footnote>
  <w:footnote w:type="continuationSeparator" w:id="0">
    <w:p w14:paraId="2CCA2481" w14:textId="77777777" w:rsidR="0087018E" w:rsidRDefault="0087018E" w:rsidP="008701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814"/>
    <w:rsid w:val="000C34CA"/>
    <w:rsid w:val="00234291"/>
    <w:rsid w:val="0026376F"/>
    <w:rsid w:val="00774EBB"/>
    <w:rsid w:val="0087018E"/>
    <w:rsid w:val="009A74DE"/>
    <w:rsid w:val="00E42635"/>
    <w:rsid w:val="00EB1814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804FE"/>
  <w15:chartTrackingRefBased/>
  <w15:docId w15:val="{6629578C-9C1A-445E-BBA8-5222606E5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70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Craig</dc:creator>
  <cp:keywords/>
  <dc:description/>
  <cp:lastModifiedBy>Khanapur, Soumya</cp:lastModifiedBy>
  <cp:revision>2</cp:revision>
  <dcterms:created xsi:type="dcterms:W3CDTF">2024-01-11T03:23:00Z</dcterms:created>
  <dcterms:modified xsi:type="dcterms:W3CDTF">2024-01-11T03:23:00Z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758aa1ac,68d2b505,6b09768b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2024-01-11T03:23:25Z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7d7c3f67-f31a-4af3-aa4a-a02af48726e8</vt:lpwstr>
  </property>
  <property fmtid="{D5CDD505-2E9C-101B-9397-08002B2CF9AE}" pid="11" name="MSIP_Label_2bbab825-a111-45e4-86a1-18cee0005896_ContentBits">
    <vt:lpwstr>2</vt:lpwstr>
  </property>
</Properties>
</file>