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426C6A" w14:textId="77777777" w:rsidR="00F54054" w:rsidRPr="00F26CF8" w:rsidRDefault="00F26CF8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F26CF8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 wp14:anchorId="601DBECF" wp14:editId="702DE52F">
            <wp:extent cx="4441190" cy="5433060"/>
            <wp:effectExtent l="0" t="0" r="7620" b="0"/>
            <wp:docPr id="16438565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856586" name="图片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b="7411"/>
                    <a:stretch>
                      <a:fillRect/>
                    </a:stretch>
                  </pic:blipFill>
                  <pic:spPr>
                    <a:xfrm>
                      <a:off x="0" y="0"/>
                      <a:ext cx="4441190" cy="543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5D163" w14:textId="77777777" w:rsidR="00F54054" w:rsidRPr="00F26CF8" w:rsidRDefault="00F54054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</w:p>
    <w:p w14:paraId="047E8342" w14:textId="50442475" w:rsidR="00F54054" w:rsidRPr="00F26CF8" w:rsidRDefault="00F26CF8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F26CF8">
        <w:rPr>
          <w:rFonts w:ascii="Arial" w:hAnsi="Arial" w:cs="Arial"/>
          <w:b/>
          <w:bCs/>
          <w:color w:val="000000"/>
          <w:sz w:val="20"/>
          <w:szCs w:val="20"/>
        </w:rPr>
        <w:t>Supplementary Figure 1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 Evaluation for the predictive ability of prognosis by receiver operating characteristic curves (ROC) </w:t>
      </w:r>
      <w:proofErr w:type="gramStart"/>
      <w:r w:rsidRPr="00F26CF8">
        <w:rPr>
          <w:rFonts w:ascii="Arial" w:hAnsi="Arial" w:cs="Arial"/>
          <w:color w:val="000000"/>
          <w:sz w:val="20"/>
          <w:szCs w:val="20"/>
        </w:rPr>
        <w:t>analysis</w:t>
      </w:r>
      <w:r w:rsidR="000756A9" w:rsidRPr="00F26CF8">
        <w:rPr>
          <w:rFonts w:ascii="Arial" w:hAnsi="Arial" w:cs="Arial"/>
          <w:color w:val="000000"/>
          <w:sz w:val="20"/>
          <w:szCs w:val="20"/>
        </w:rPr>
        <w:t>, and</w:t>
      </w:r>
      <w:proofErr w:type="gramEnd"/>
      <w:r w:rsidR="000756A9" w:rsidRPr="00F26CF8">
        <w:rPr>
          <w:rFonts w:ascii="Arial" w:hAnsi="Arial" w:cs="Arial"/>
          <w:color w:val="000000"/>
          <w:sz w:val="20"/>
          <w:szCs w:val="20"/>
        </w:rPr>
        <w:t xml:space="preserve"> evaluate the factors influencing the prognosis in the resection group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. The ROC of our model for predicting 12, 24, 36 months overall survival rates in TACE group </w:t>
      </w:r>
      <w:r w:rsidRPr="00F26CF8">
        <w:rPr>
          <w:rFonts w:ascii="Arial" w:hAnsi="Arial" w:cs="Arial"/>
          <w:b/>
          <w:bCs/>
          <w:color w:val="000000"/>
          <w:sz w:val="20"/>
          <w:szCs w:val="20"/>
        </w:rPr>
        <w:t>(A)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 and 12, 24, 36 months progression-free survival rates in adjuvant set </w:t>
      </w:r>
      <w:r w:rsidRPr="00F26CF8">
        <w:rPr>
          <w:rFonts w:ascii="Arial" w:hAnsi="Arial" w:cs="Arial"/>
          <w:b/>
          <w:bCs/>
          <w:color w:val="000000"/>
          <w:sz w:val="20"/>
          <w:szCs w:val="20"/>
        </w:rPr>
        <w:t>(B)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. </w:t>
      </w:r>
      <w:r w:rsidR="000756A9" w:rsidRPr="00F26CF8">
        <w:rPr>
          <w:rFonts w:ascii="Arial" w:hAnsi="Arial" w:cs="Arial"/>
          <w:color w:val="000000"/>
          <w:sz w:val="20"/>
          <w:szCs w:val="20"/>
        </w:rPr>
        <w:t xml:space="preserve">Univariate </w:t>
      </w:r>
      <w:r w:rsidR="000756A9" w:rsidRPr="00F26CF8">
        <w:rPr>
          <w:rFonts w:ascii="Arial" w:hAnsi="Arial" w:cs="Arial"/>
          <w:b/>
          <w:bCs/>
          <w:color w:val="000000"/>
          <w:sz w:val="20"/>
          <w:szCs w:val="20"/>
        </w:rPr>
        <w:t>(C)</w:t>
      </w:r>
      <w:r w:rsidR="000756A9" w:rsidRPr="00F26CF8">
        <w:rPr>
          <w:rFonts w:ascii="Arial" w:hAnsi="Arial" w:cs="Arial"/>
          <w:color w:val="000000"/>
          <w:sz w:val="20"/>
          <w:szCs w:val="20"/>
        </w:rPr>
        <w:t xml:space="preserve"> and multivariate </w:t>
      </w:r>
      <w:r w:rsidR="000756A9" w:rsidRPr="00F26CF8">
        <w:rPr>
          <w:rFonts w:ascii="Arial" w:hAnsi="Arial" w:cs="Arial"/>
          <w:b/>
          <w:bCs/>
          <w:color w:val="000000"/>
          <w:sz w:val="20"/>
          <w:szCs w:val="20"/>
        </w:rPr>
        <w:t>(D)</w:t>
      </w:r>
      <w:r w:rsidR="000756A9" w:rsidRPr="00F26CF8">
        <w:rPr>
          <w:rFonts w:ascii="Arial" w:hAnsi="Arial" w:cs="Arial"/>
          <w:color w:val="000000"/>
          <w:sz w:val="20"/>
          <w:szCs w:val="20"/>
        </w:rPr>
        <w:t xml:space="preserve"> analysis to evaluate the factors influencing the OS of patients in the resection group. Univariate </w:t>
      </w:r>
      <w:r w:rsidR="000756A9" w:rsidRPr="00F26CF8">
        <w:rPr>
          <w:rFonts w:ascii="Arial" w:hAnsi="Arial" w:cs="Arial"/>
          <w:b/>
          <w:bCs/>
          <w:color w:val="000000"/>
          <w:sz w:val="20"/>
          <w:szCs w:val="20"/>
        </w:rPr>
        <w:t>(E)</w:t>
      </w:r>
      <w:r w:rsidR="000756A9" w:rsidRPr="00F26CF8">
        <w:rPr>
          <w:rFonts w:ascii="Arial" w:hAnsi="Arial" w:cs="Arial"/>
          <w:color w:val="000000"/>
          <w:sz w:val="20"/>
          <w:szCs w:val="20"/>
        </w:rPr>
        <w:t xml:space="preserve"> and multivariate </w:t>
      </w:r>
      <w:r w:rsidR="000756A9" w:rsidRPr="00F26CF8">
        <w:rPr>
          <w:rFonts w:ascii="Arial" w:hAnsi="Arial" w:cs="Arial"/>
          <w:b/>
          <w:bCs/>
          <w:color w:val="000000"/>
          <w:sz w:val="20"/>
          <w:szCs w:val="20"/>
        </w:rPr>
        <w:t xml:space="preserve">(F) </w:t>
      </w:r>
      <w:r w:rsidR="000756A9" w:rsidRPr="00F26CF8">
        <w:rPr>
          <w:rFonts w:ascii="Arial" w:hAnsi="Arial" w:cs="Arial"/>
          <w:color w:val="000000"/>
          <w:sz w:val="20"/>
          <w:szCs w:val="20"/>
        </w:rPr>
        <w:t xml:space="preserve">analysis to evaluate the factors influencing the DFS of patients in the resection group. 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TACE, </w:t>
      </w:r>
      <w:proofErr w:type="spellStart"/>
      <w:r w:rsidRPr="00F26CF8">
        <w:rPr>
          <w:rFonts w:ascii="Arial" w:hAnsi="Arial" w:cs="Arial"/>
          <w:color w:val="000000"/>
          <w:sz w:val="20"/>
          <w:szCs w:val="20"/>
        </w:rPr>
        <w:t>transarterial</w:t>
      </w:r>
      <w:proofErr w:type="spellEnd"/>
      <w:r w:rsidRPr="00F26CF8">
        <w:rPr>
          <w:rFonts w:ascii="Arial" w:hAnsi="Arial" w:cs="Arial"/>
          <w:color w:val="000000"/>
          <w:sz w:val="20"/>
          <w:szCs w:val="20"/>
        </w:rPr>
        <w:t xml:space="preserve"> chemoembolization</w:t>
      </w:r>
      <w:r w:rsidRPr="00F26CF8">
        <w:rPr>
          <w:rFonts w:ascii="Arial" w:hAnsi="Arial" w:cs="Arial" w:hint="eastAsia"/>
          <w:color w:val="000000"/>
          <w:sz w:val="20"/>
          <w:szCs w:val="20"/>
        </w:rPr>
        <w:t>;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 AUC, area under curve; OS, overall survival; DFS, disease free survival; LE, low effectiveness; HE, high effectiveness; AFP, alpha fetoprotein; BCLC, Barcelona Clinic Liver Cancer; ECOG, Eastern Cooperative Oncology Group; TBIL, total bilirubin; ALT, alanine aminotransferase; AST, aspartate aminotransferase; ALB, albumin; CLIP, Cancer of the Liver Italian Program; CI, confidence interval.</w:t>
      </w:r>
      <w:r w:rsidR="00BA3483" w:rsidRPr="00F26CF8">
        <w:rPr>
          <w:rFonts w:ascii="Arial" w:hAnsi="Arial" w:cs="Arial"/>
          <w:color w:val="000000"/>
          <w:sz w:val="20"/>
          <w:szCs w:val="20"/>
        </w:rPr>
        <w:t xml:space="preserve"> Bolded text indicates statistical significance (</w:t>
      </w:r>
      <w:r w:rsidR="00BA3483" w:rsidRPr="00F26CF8">
        <w:rPr>
          <w:rFonts w:ascii="Arial" w:hAnsi="Arial" w:cs="Arial"/>
          <w:i/>
          <w:iCs/>
          <w:color w:val="000000"/>
          <w:sz w:val="20"/>
          <w:szCs w:val="20"/>
        </w:rPr>
        <w:t>p</w:t>
      </w:r>
      <w:r w:rsidR="00BA3483" w:rsidRPr="00F26CF8">
        <w:rPr>
          <w:rFonts w:ascii="Arial" w:hAnsi="Arial" w:cs="Arial"/>
          <w:color w:val="000000"/>
          <w:sz w:val="20"/>
          <w:szCs w:val="20"/>
        </w:rPr>
        <w:t xml:space="preserve"> &lt; 0.05).</w:t>
      </w:r>
    </w:p>
    <w:p w14:paraId="047E36FB" w14:textId="77777777" w:rsidR="00F54054" w:rsidRPr="00F26CF8" w:rsidRDefault="00F26CF8">
      <w:pPr>
        <w:widowControl/>
        <w:jc w:val="left"/>
        <w:rPr>
          <w:rFonts w:ascii="Arial" w:hAnsi="Arial" w:cs="Arial"/>
          <w:color w:val="000000"/>
          <w:sz w:val="20"/>
          <w:szCs w:val="20"/>
        </w:rPr>
      </w:pPr>
      <w:r w:rsidRPr="00F26CF8">
        <w:rPr>
          <w:rFonts w:ascii="Arial" w:hAnsi="Arial" w:cs="Arial"/>
          <w:color w:val="000000"/>
          <w:sz w:val="20"/>
          <w:szCs w:val="20"/>
        </w:rPr>
        <w:br w:type="page"/>
      </w:r>
    </w:p>
    <w:p w14:paraId="790FE319" w14:textId="77777777" w:rsidR="00F54054" w:rsidRPr="00F26CF8" w:rsidRDefault="00F54054">
      <w:pPr>
        <w:spacing w:line="480" w:lineRule="auto"/>
        <w:rPr>
          <w:rFonts w:ascii="Arial" w:hAnsi="Arial" w:cs="Arial"/>
          <w:color w:val="000000"/>
          <w:sz w:val="20"/>
          <w:szCs w:val="20"/>
        </w:rPr>
        <w:sectPr w:rsidR="00F54054" w:rsidRPr="00F26CF8">
          <w:footerReference w:type="even" r:id="rId7"/>
          <w:footerReference w:type="default" r:id="rId8"/>
          <w:footerReference w:type="first" r:id="rId9"/>
          <w:pgSz w:w="16838" w:h="11906" w:orient="landscape"/>
          <w:pgMar w:top="1797" w:right="1440" w:bottom="1797" w:left="1440" w:header="851" w:footer="992" w:gutter="0"/>
          <w:cols w:space="425"/>
          <w:docGrid w:linePitch="312"/>
        </w:sectPr>
      </w:pPr>
    </w:p>
    <w:p w14:paraId="71883703" w14:textId="77777777" w:rsidR="00F54054" w:rsidRPr="00F26CF8" w:rsidRDefault="00F26CF8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F26CF8">
        <w:rPr>
          <w:rFonts w:ascii="Arial" w:hAnsi="Arial" w:cs="Arial"/>
          <w:noProof/>
          <w:color w:val="000000"/>
          <w:sz w:val="20"/>
          <w:szCs w:val="20"/>
        </w:rPr>
        <w:lastRenderedPageBreak/>
        <w:drawing>
          <wp:inline distT="0" distB="0" distL="0" distR="0" wp14:anchorId="2BBE420C" wp14:editId="3CF89782">
            <wp:extent cx="5278120" cy="6314440"/>
            <wp:effectExtent l="0" t="0" r="0" b="0"/>
            <wp:docPr id="90907649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076498" name="图片 1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631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366F4" w14:textId="77777777" w:rsidR="00F54054" w:rsidRPr="00F26CF8" w:rsidRDefault="00F54054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</w:p>
    <w:p w14:paraId="2A8151AB" w14:textId="3ABAE229" w:rsidR="00F54054" w:rsidRPr="00F26CF8" w:rsidRDefault="00F26CF8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F26CF8">
        <w:rPr>
          <w:rFonts w:ascii="Arial" w:hAnsi="Arial" w:cs="Arial"/>
          <w:b/>
          <w:bCs/>
          <w:color w:val="000000"/>
          <w:sz w:val="20"/>
          <w:szCs w:val="20"/>
        </w:rPr>
        <w:t>Supplementary Figure 2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 Univariate analysis to evaluate the factors influencing overall survival</w:t>
      </w:r>
      <w:r w:rsidRPr="00F26CF8">
        <w:rPr>
          <w:rFonts w:ascii="Arial" w:hAnsi="Arial" w:cs="Arial"/>
          <w:b/>
          <w:bCs/>
          <w:color w:val="000000"/>
          <w:sz w:val="20"/>
          <w:szCs w:val="20"/>
        </w:rPr>
        <w:t xml:space="preserve"> (A) 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and progression-free survival </w:t>
      </w:r>
      <w:r w:rsidRPr="00F26CF8">
        <w:rPr>
          <w:rFonts w:ascii="Arial" w:hAnsi="Arial" w:cs="Arial"/>
          <w:b/>
          <w:bCs/>
          <w:color w:val="000000"/>
          <w:sz w:val="20"/>
          <w:szCs w:val="20"/>
        </w:rPr>
        <w:t>(B)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 of patients undergoing TACE in external validation set.</w:t>
      </w:r>
      <w:bookmarkStart w:id="0" w:name="_Hlk151837264"/>
      <w:r w:rsidRPr="00F26CF8">
        <w:rPr>
          <w:rFonts w:ascii="Arial" w:hAnsi="Arial" w:cs="Arial"/>
          <w:color w:val="000000"/>
          <w:sz w:val="20"/>
          <w:szCs w:val="20"/>
        </w:rPr>
        <w:t xml:space="preserve"> </w:t>
      </w:r>
      <w:bookmarkEnd w:id="0"/>
      <w:r w:rsidRPr="00F26CF8">
        <w:rPr>
          <w:rFonts w:ascii="Arial" w:hAnsi="Arial" w:cs="Arial"/>
          <w:color w:val="000000"/>
          <w:sz w:val="20"/>
          <w:szCs w:val="20"/>
        </w:rPr>
        <w:t xml:space="preserve">LE, low effectiveness; HE, high effectiveness; AFP, alpha fetoprotein; BCLC, Barcelona Clinic Liver Cancer; TACE, </w:t>
      </w:r>
      <w:proofErr w:type="spellStart"/>
      <w:r w:rsidRPr="00F26CF8">
        <w:rPr>
          <w:rFonts w:ascii="Arial" w:hAnsi="Arial" w:cs="Arial"/>
          <w:color w:val="000000"/>
          <w:sz w:val="20"/>
          <w:szCs w:val="20"/>
        </w:rPr>
        <w:t>transarterial</w:t>
      </w:r>
      <w:proofErr w:type="spellEnd"/>
      <w:r w:rsidRPr="00F26CF8">
        <w:rPr>
          <w:rFonts w:ascii="Arial" w:hAnsi="Arial" w:cs="Arial"/>
          <w:color w:val="000000"/>
          <w:sz w:val="20"/>
          <w:szCs w:val="20"/>
        </w:rPr>
        <w:t xml:space="preserve"> chemoembolization; TBIL, total bilirubin; ALT, alanine aminotransferase; AST, aspartate aminotransferase; ALB, albumin; OS, overall survival; DFS, </w:t>
      </w:r>
      <w:r w:rsidRPr="00F26CF8">
        <w:rPr>
          <w:rFonts w:ascii="Arial" w:hAnsi="Arial" w:cs="Arial"/>
          <w:color w:val="000000"/>
          <w:sz w:val="20"/>
          <w:szCs w:val="20"/>
        </w:rPr>
        <w:lastRenderedPageBreak/>
        <w:t>disease free survival; CI, confidence interval.</w:t>
      </w:r>
      <w:r w:rsidR="00665EF0" w:rsidRPr="00F26CF8">
        <w:rPr>
          <w:rFonts w:ascii="Arial" w:hAnsi="Arial" w:cs="Arial"/>
          <w:color w:val="000000"/>
          <w:sz w:val="20"/>
          <w:szCs w:val="20"/>
        </w:rPr>
        <w:t xml:space="preserve"> Bolded text indicates statistical significance (</w:t>
      </w:r>
      <w:r w:rsidR="00665EF0" w:rsidRPr="00F26CF8">
        <w:rPr>
          <w:rFonts w:ascii="Arial" w:hAnsi="Arial" w:cs="Arial"/>
          <w:i/>
          <w:iCs/>
          <w:color w:val="000000"/>
          <w:sz w:val="20"/>
          <w:szCs w:val="20"/>
        </w:rPr>
        <w:t>p</w:t>
      </w:r>
      <w:r w:rsidR="00665EF0" w:rsidRPr="00F26CF8">
        <w:rPr>
          <w:rFonts w:ascii="Arial" w:hAnsi="Arial" w:cs="Arial"/>
          <w:color w:val="000000"/>
          <w:sz w:val="20"/>
          <w:szCs w:val="20"/>
        </w:rPr>
        <w:t xml:space="preserve"> &lt; 0.05).</w:t>
      </w:r>
    </w:p>
    <w:p w14:paraId="3E26DB59" w14:textId="77777777" w:rsidR="00F54054" w:rsidRPr="00F26CF8" w:rsidRDefault="00F26CF8">
      <w:pPr>
        <w:widowControl/>
        <w:jc w:val="left"/>
        <w:rPr>
          <w:rFonts w:ascii="Arial" w:hAnsi="Arial" w:cs="Arial"/>
          <w:color w:val="000000"/>
          <w:sz w:val="20"/>
          <w:szCs w:val="20"/>
        </w:rPr>
      </w:pPr>
      <w:r w:rsidRPr="00F26CF8">
        <w:rPr>
          <w:rFonts w:ascii="Arial" w:hAnsi="Arial" w:cs="Arial"/>
          <w:color w:val="000000"/>
          <w:sz w:val="20"/>
          <w:szCs w:val="20"/>
        </w:rPr>
        <w:br w:type="page"/>
      </w:r>
    </w:p>
    <w:p w14:paraId="73B9B115" w14:textId="77777777" w:rsidR="00F54054" w:rsidRPr="00F26CF8" w:rsidRDefault="00F54054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</w:p>
    <w:p w14:paraId="35CB64F8" w14:textId="77777777" w:rsidR="00F54054" w:rsidRPr="00F26CF8" w:rsidRDefault="00F26CF8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F26CF8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 wp14:anchorId="27D92534" wp14:editId="50750099">
            <wp:extent cx="5273040" cy="2524760"/>
            <wp:effectExtent l="0" t="0" r="3810" b="8890"/>
            <wp:docPr id="214428997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289971" name="图片 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D5F20" w14:textId="77777777" w:rsidR="00F54054" w:rsidRPr="00F26CF8" w:rsidRDefault="00F54054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</w:p>
    <w:p w14:paraId="6B673114" w14:textId="77777777" w:rsidR="00F54054" w:rsidRPr="00F26CF8" w:rsidRDefault="00F26CF8">
      <w:pPr>
        <w:spacing w:line="480" w:lineRule="auto"/>
        <w:rPr>
          <w:rFonts w:ascii="Arial" w:hAnsi="Arial" w:cs="Arial"/>
          <w:color w:val="000000"/>
          <w:sz w:val="20"/>
          <w:szCs w:val="20"/>
        </w:rPr>
      </w:pPr>
      <w:r w:rsidRPr="00F26CF8">
        <w:rPr>
          <w:rFonts w:ascii="Arial" w:hAnsi="Arial" w:cs="Arial"/>
          <w:b/>
          <w:bCs/>
          <w:color w:val="000000"/>
          <w:sz w:val="20"/>
          <w:szCs w:val="20"/>
        </w:rPr>
        <w:t>Supplementary Figure 3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 Correlation analysis to evaluate the relationship between the expression of CD24 and effectiveness score. There was a significant negative correlation between the expression of CD24 and the effectiveness score in </w:t>
      </w:r>
      <w:r w:rsidRPr="00F26CF8">
        <w:rPr>
          <w:rFonts w:ascii="Arial" w:hAnsi="Arial" w:cs="Arial"/>
          <w:b/>
          <w:bCs/>
          <w:color w:val="000000"/>
          <w:sz w:val="20"/>
          <w:szCs w:val="20"/>
        </w:rPr>
        <w:t>(A)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 GSE104580 and </w:t>
      </w:r>
      <w:r w:rsidRPr="00F26CF8">
        <w:rPr>
          <w:rFonts w:ascii="Arial" w:hAnsi="Arial" w:cs="Arial"/>
          <w:b/>
          <w:bCs/>
          <w:color w:val="000000"/>
          <w:sz w:val="20"/>
          <w:szCs w:val="20"/>
        </w:rPr>
        <w:t>(B)</w:t>
      </w:r>
      <w:r w:rsidRPr="00F26CF8">
        <w:rPr>
          <w:rFonts w:ascii="Arial" w:hAnsi="Arial" w:cs="Arial"/>
          <w:color w:val="000000"/>
          <w:sz w:val="20"/>
          <w:szCs w:val="20"/>
        </w:rPr>
        <w:t xml:space="preserve"> GSE14520.</w:t>
      </w:r>
    </w:p>
    <w:p w14:paraId="70D2C007" w14:textId="77777777" w:rsidR="00F54054" w:rsidRPr="00F26CF8" w:rsidRDefault="00F54054">
      <w:pPr>
        <w:rPr>
          <w:rFonts w:ascii="Arial" w:hAnsi="Arial" w:cs="Arial"/>
          <w:color w:val="000000"/>
          <w:sz w:val="20"/>
          <w:szCs w:val="20"/>
        </w:rPr>
      </w:pPr>
    </w:p>
    <w:sectPr w:rsidR="00F54054" w:rsidRPr="00F26CF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A28591" w14:textId="77777777" w:rsidR="005B0013" w:rsidRDefault="005B0013" w:rsidP="001523AB">
      <w:r>
        <w:separator/>
      </w:r>
    </w:p>
  </w:endnote>
  <w:endnote w:type="continuationSeparator" w:id="0">
    <w:p w14:paraId="79DDCED1" w14:textId="77777777" w:rsidR="005B0013" w:rsidRDefault="005B0013" w:rsidP="001523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0C5B4E" w14:textId="782A2A91" w:rsidR="001523AB" w:rsidRDefault="001523A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04AFE880" wp14:editId="65E02AC6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547405659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1D126E2" w14:textId="5FCD84F7" w:rsidR="001523AB" w:rsidRPr="001523AB" w:rsidRDefault="001523AB" w:rsidP="001523A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1523A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4AFE88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34.95pt;height:34.9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87LCwIAABo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" filled="f" stroked="f">
              <v:textbox style="mso-fit-shape-to-text:t" inset="20pt,0,0,15pt">
                <w:txbxContent>
                  <w:p w14:paraId="51D126E2" w14:textId="5FCD84F7" w:rsidR="001523AB" w:rsidRPr="001523AB" w:rsidRDefault="001523AB" w:rsidP="001523A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1523A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2B9E3D" w14:textId="1C19E9CF" w:rsidR="001523AB" w:rsidRDefault="001523A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292B5F53" wp14:editId="579E0101">
              <wp:simplePos x="914400" y="6774342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414311290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F5B1C84" w14:textId="0561C601" w:rsidR="001523AB" w:rsidRPr="001523AB" w:rsidRDefault="001523AB" w:rsidP="001523A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1523A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2B5F53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34.95pt;height:34.9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" filled="f" stroked="f">
              <v:textbox style="mso-fit-shape-to-text:t" inset="20pt,0,0,15pt">
                <w:txbxContent>
                  <w:p w14:paraId="1F5B1C84" w14:textId="0561C601" w:rsidR="001523AB" w:rsidRPr="001523AB" w:rsidRDefault="001523AB" w:rsidP="001523A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1523A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4BDF85" w14:textId="5FD56A7B" w:rsidR="001523AB" w:rsidRDefault="001523A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1962D8E9" wp14:editId="4C086CA2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184874825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1020727" w14:textId="35D92555" w:rsidR="001523AB" w:rsidRPr="001523AB" w:rsidRDefault="001523AB" w:rsidP="001523A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1523A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62D8E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34.95pt;height:34.9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NP/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W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JqDT/w8CAAAhBAAA&#10;DgAAAAAAAAAAAAAAAAAuAgAAZHJzL2Uyb0RvYy54bWxQSwECLQAUAAYACAAAACEA2G08/tcAAAAD&#10;AQAADwAAAAAAAAAAAAAAAABpBAAAZHJzL2Rvd25yZXYueG1sUEsFBgAAAAAEAAQA8wAAAG0FAAAA&#10;AA==&#10;" filled="f" stroked="f">
              <v:textbox style="mso-fit-shape-to-text:t" inset="20pt,0,0,15pt">
                <w:txbxContent>
                  <w:p w14:paraId="31020727" w14:textId="35D92555" w:rsidR="001523AB" w:rsidRPr="001523AB" w:rsidRDefault="001523AB" w:rsidP="001523A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1523A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BE1B16" w14:textId="77777777" w:rsidR="005B0013" w:rsidRDefault="005B0013" w:rsidP="001523AB">
      <w:r>
        <w:separator/>
      </w:r>
    </w:p>
  </w:footnote>
  <w:footnote w:type="continuationSeparator" w:id="0">
    <w:p w14:paraId="5D7A2C8C" w14:textId="77777777" w:rsidR="005B0013" w:rsidRDefault="005B0013" w:rsidP="001523A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oNotTrackFormatting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7C60"/>
    <w:rsid w:val="00025C9A"/>
    <w:rsid w:val="000756A9"/>
    <w:rsid w:val="000F7608"/>
    <w:rsid w:val="001523AB"/>
    <w:rsid w:val="002901F7"/>
    <w:rsid w:val="004822DF"/>
    <w:rsid w:val="00525745"/>
    <w:rsid w:val="005B0013"/>
    <w:rsid w:val="00665EF0"/>
    <w:rsid w:val="007220E3"/>
    <w:rsid w:val="00734EA8"/>
    <w:rsid w:val="00755B4B"/>
    <w:rsid w:val="008A7590"/>
    <w:rsid w:val="00BA3483"/>
    <w:rsid w:val="00BD277F"/>
    <w:rsid w:val="00CE5F25"/>
    <w:rsid w:val="00DD1369"/>
    <w:rsid w:val="00DF3F0B"/>
    <w:rsid w:val="00F26CF8"/>
    <w:rsid w:val="00F54054"/>
    <w:rsid w:val="00F87690"/>
    <w:rsid w:val="00FB7C60"/>
    <w:rsid w:val="6B9C5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C816712"/>
  <w14:defaultImageDpi w14:val="32767"/>
  <w15:docId w15:val="{38E7FA29-F31B-426C-9853-B85D247E62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NZ" w:eastAsia="en-N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2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autoRedefine/>
    <w:uiPriority w:val="99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autoRedefine/>
    <w:uiPriority w:val="99"/>
    <w:qFormat/>
    <w:rPr>
      <w:sz w:val="18"/>
      <w:szCs w:val="18"/>
    </w:rPr>
  </w:style>
  <w:style w:type="paragraph" w:customStyle="1" w:styleId="Revision1">
    <w:name w:val="Revision1"/>
    <w:autoRedefine/>
    <w:hidden/>
    <w:uiPriority w:val="99"/>
    <w:semiHidden/>
    <w:qFormat/>
    <w:rPr>
      <w:kern w:val="2"/>
      <w:sz w:val="21"/>
      <w:szCs w:val="22"/>
      <w:lang w:val="en-US" w:eastAsia="zh-CN"/>
    </w:rPr>
  </w:style>
  <w:style w:type="character" w:styleId="CommentReference">
    <w:name w:val="annotation reference"/>
    <w:basedOn w:val="DefaultParagraphFont"/>
    <w:uiPriority w:val="99"/>
    <w:semiHidden/>
    <w:unhideWhenUsed/>
    <w:rsid w:val="001523A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23A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23AB"/>
    <w:rPr>
      <w:kern w:val="2"/>
      <w:lang w:val="en-US" w:eastAsia="zh-C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23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23AB"/>
    <w:rPr>
      <w:b/>
      <w:bCs/>
      <w:kern w:val="2"/>
      <w:lang w:val="en-US" w:eastAsia="zh-CN"/>
    </w:rPr>
  </w:style>
  <w:style w:type="paragraph" w:styleId="Revision">
    <w:name w:val="Revision"/>
    <w:hidden/>
    <w:uiPriority w:val="99"/>
    <w:unhideWhenUsed/>
    <w:rsid w:val="000756A9"/>
    <w:rPr>
      <w:kern w:val="2"/>
      <w:sz w:val="21"/>
      <w:szCs w:val="22"/>
      <w:lang w:val="en-US" w:eastAsia="zh-CN"/>
    </w:rPr>
  </w:style>
  <w:style w:type="character" w:customStyle="1" w:styleId="cf01">
    <w:name w:val="cf01"/>
    <w:basedOn w:val="DefaultParagraphFont"/>
    <w:rsid w:val="00BA3483"/>
    <w:rPr>
      <w:rFonts w:ascii="Microsoft YaHei UI" w:eastAsia="Microsoft YaHei UI" w:hAnsi="Microsoft YaHei UI" w:hint="eastAsia"/>
      <w:color w:val="12121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839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3.tiff"/><Relationship Id="rId5" Type="http://schemas.openxmlformats.org/officeDocument/2006/relationships/endnotes" Target="endnotes.xml"/><Relationship Id="rId10" Type="http://schemas.openxmlformats.org/officeDocument/2006/relationships/image" Target="media/image2.tiff"/><Relationship Id="rId4" Type="http://schemas.openxmlformats.org/officeDocument/2006/relationships/footnotes" Target="footnotes.xml"/><Relationship Id="rId9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267</Words>
  <Characters>1707</Characters>
  <Application>Microsoft Office Word</Application>
  <DocSecurity>0</DocSecurity>
  <Lines>14</Lines>
  <Paragraphs>3</Paragraphs>
  <ScaleCrop>false</ScaleCrop>
  <Company/>
  <LinksUpToDate>false</LinksUpToDate>
  <CharactersWithSpaces>1971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 c</dc:creator>
  <cp:lastModifiedBy>Olliver, Tania</cp:lastModifiedBy>
  <cp:revision>2</cp:revision>
  <dcterms:created xsi:type="dcterms:W3CDTF">2023-12-27T00:08:00Z</dcterms:created>
  <dcterms:modified xsi:type="dcterms:W3CDTF">2023-12-27T00:08:00Z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2EE000C69C4B46C5BB08B5E419339592_12</vt:lpwstr>
  </property>
  <property fmtid="{D5CDD505-2E9C-101B-9397-08002B2CF9AE}" pid="4" name="ClassificationContentMarkingFooterShapeIds">
    <vt:lpwstr>b04f749,20a0bf5b,544cad7a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2023-12-18T21:04:21Z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17fac26d-2a7d-4ec8-ba1a-2ce3dd6204bd</vt:lpwstr>
  </property>
  <property fmtid="{D5CDD505-2E9C-101B-9397-08002B2CF9AE}" pid="13" name="MSIP_Label_2bbab825-a111-45e4-86a1-18cee0005896_ContentBits">
    <vt:lpwstr>2</vt:lpwstr>
  </property>
  <property fmtid="{D5CDD505-2E9C-101B-9397-08002B2CF9AE}" pid="14" name="GrammarlyDocumentId">
    <vt:lpwstr>36e4d14c1af9eedc6a3cfc956d6d18db597bf24471d66e16ecd1142cf35902a1</vt:lpwstr>
  </property>
</Properties>
</file>