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35139A" w:rsidRPr="00B00B61" w:rsidRDefault="0035139A" w:rsidP="0035139A">
      <w:pPr>
        <w:rPr>
          <w:rFonts w:ascii="Arial" w:hAnsi="Arial" w:cs="Arial"/>
          <w:sz w:val="24"/>
          <w:szCs w:val="24"/>
        </w:rPr>
      </w:pPr>
      <w:r w:rsidRPr="00B00B61">
        <w:rPr>
          <w:rFonts w:ascii="Arial" w:hAnsi="Arial" w:cs="Arial"/>
          <w:sz w:val="24"/>
          <w:szCs w:val="24"/>
        </w:rPr>
        <w:t>Supplemental</w:t>
      </w:r>
      <w:r w:rsidR="00C736AB">
        <w:rPr>
          <w:rFonts w:ascii="Arial" w:hAnsi="Arial" w:cs="Arial" w:hint="eastAsia"/>
          <w:sz w:val="24"/>
          <w:szCs w:val="24"/>
        </w:rPr>
        <w:t xml:space="preserve"> T</w:t>
      </w:r>
      <w:r w:rsidRPr="00B00B61">
        <w:rPr>
          <w:rFonts w:ascii="Arial" w:hAnsi="Arial" w:cs="Arial"/>
          <w:sz w:val="24"/>
          <w:szCs w:val="24"/>
        </w:rPr>
        <w:t>able 1</w:t>
      </w:r>
      <w:r w:rsidR="00C736AB">
        <w:rPr>
          <w:rFonts w:ascii="Arial" w:hAnsi="Arial" w:cs="Arial" w:hint="eastAsia"/>
          <w:sz w:val="24"/>
          <w:szCs w:val="24"/>
        </w:rPr>
        <w:t xml:space="preserve">. </w:t>
      </w:r>
      <w:r w:rsidRPr="00B00B61">
        <w:rPr>
          <w:rFonts w:ascii="Arial" w:hAnsi="Arial" w:cs="Arial"/>
          <w:sz w:val="24"/>
          <w:szCs w:val="24"/>
        </w:rPr>
        <w:t xml:space="preserve"> The odds ratios (ORs</w:t>
      </w:r>
      <w:bookmarkStart w:id="0" w:name="_GoBack"/>
      <w:bookmarkEnd w:id="0"/>
      <w:r w:rsidRPr="00B00B61">
        <w:rPr>
          <w:rFonts w:ascii="Arial" w:hAnsi="Arial" w:cs="Arial"/>
          <w:sz w:val="24"/>
          <w:szCs w:val="24"/>
        </w:rPr>
        <w:t>) for NA with reference to non-NA in logistic regression models for in-hospital complications within matched cohort(n=1072)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0"/>
        <w:gridCol w:w="1780"/>
        <w:gridCol w:w="2623"/>
        <w:gridCol w:w="1639"/>
      </w:tblGrid>
      <w:tr w:rsidR="0035139A" w:rsidRPr="00C736AB" w:rsidTr="006809DE"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In-hospital complications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OR</w:t>
            </w:r>
          </w:p>
        </w:tc>
        <w:tc>
          <w:tcPr>
            <w:tcW w:w="262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95%CI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P </w:t>
            </w:r>
            <w:r w:rsidRPr="00C736AB">
              <w:rPr>
                <w:rFonts w:ascii="Arial" w:hAnsi="Arial" w:cs="Arial"/>
                <w:sz w:val="21"/>
                <w:szCs w:val="21"/>
              </w:rPr>
              <w:t>value</w:t>
            </w:r>
          </w:p>
        </w:tc>
      </w:tr>
      <w:tr w:rsidR="0035139A" w:rsidRPr="00C736AB" w:rsidTr="006809DE">
        <w:trPr>
          <w:trHeight w:val="299"/>
        </w:trPr>
        <w:tc>
          <w:tcPr>
            <w:tcW w:w="2480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Mortality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0.545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0.260,1.144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0.109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Stroke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0.944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0.484,1.841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0.865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MI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1.000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0.062,16.008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1.000</w:t>
            </w:r>
          </w:p>
        </w:tc>
      </w:tr>
      <w:tr w:rsidR="0035139A" w:rsidRPr="00C736AB" w:rsidTr="006809DE">
        <w:trPr>
          <w:trHeight w:val="331"/>
        </w:trPr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Arrhythmia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0.836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0.586,1.192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0.322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Pneumonia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1.076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0.825,1.402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0.589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Respiratory failure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1.303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0.569,2.986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0.531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Urinary tract infection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0.124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0.016,0.995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0.049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AKI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1.238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0.840,1.823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0.280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Wound infection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0.664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0.270,1.631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0.372</w:t>
            </w:r>
          </w:p>
        </w:tc>
      </w:tr>
      <w:tr w:rsidR="0035139A" w:rsidRPr="00C736AB" w:rsidTr="006809DE">
        <w:tc>
          <w:tcPr>
            <w:tcW w:w="248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Anastomotic leakage</w:t>
            </w:r>
          </w:p>
        </w:tc>
        <w:tc>
          <w:tcPr>
            <w:tcW w:w="178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0.832</w:t>
            </w:r>
          </w:p>
        </w:tc>
        <w:tc>
          <w:tcPr>
            <w:tcW w:w="262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0.236,1.933</w:t>
            </w:r>
          </w:p>
        </w:tc>
        <w:tc>
          <w:tcPr>
            <w:tcW w:w="1639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0.669</w:t>
            </w:r>
          </w:p>
        </w:tc>
      </w:tr>
      <w:tr w:rsidR="0035139A" w:rsidRPr="00C736AB" w:rsidTr="006809DE">
        <w:tc>
          <w:tcPr>
            <w:tcW w:w="2480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Thrombosis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1.405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0.922,2.140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0.113</w:t>
            </w:r>
          </w:p>
        </w:tc>
      </w:tr>
    </w:tbl>
    <w:p w:rsidR="0035139A" w:rsidRPr="00C736AB" w:rsidRDefault="0035139A" w:rsidP="0035139A">
      <w:pPr>
        <w:rPr>
          <w:rFonts w:ascii="Arial" w:hAnsi="Arial" w:cs="Arial"/>
          <w:szCs w:val="21"/>
        </w:rPr>
      </w:pPr>
      <w:r w:rsidRPr="00C736AB">
        <w:rPr>
          <w:rFonts w:ascii="Arial" w:hAnsi="Arial" w:cs="Arial"/>
          <w:szCs w:val="21"/>
        </w:rPr>
        <w:t>Notes: NA: noradrenaline; OR: odds ratio; CI: confidence interval; MI: myocardial infarction; AKI: acute kidney injury.</w:t>
      </w:r>
    </w:p>
    <w:p w:rsidR="0035139A" w:rsidRDefault="0035139A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Default="00E23E92" w:rsidP="0035139A">
      <w:pPr>
        <w:rPr>
          <w:rFonts w:ascii="Arial" w:hAnsi="Arial" w:cs="Arial"/>
          <w:sz w:val="24"/>
          <w:szCs w:val="24"/>
        </w:rPr>
      </w:pPr>
    </w:p>
    <w:p w:rsidR="00E23E92" w:rsidRPr="00B00B61" w:rsidRDefault="00E23E92" w:rsidP="0035139A">
      <w:pPr>
        <w:rPr>
          <w:rFonts w:ascii="Arial" w:hAnsi="Arial" w:cs="Arial"/>
          <w:sz w:val="24"/>
          <w:szCs w:val="24"/>
        </w:rPr>
      </w:pPr>
    </w:p>
    <w:p w:rsidR="0035139A" w:rsidRPr="007C6F0B" w:rsidRDefault="0035139A" w:rsidP="0035139A">
      <w:pPr>
        <w:rPr>
          <w:rFonts w:ascii="Arial" w:hAnsi="Arial" w:cs="Arial"/>
          <w:sz w:val="24"/>
          <w:szCs w:val="24"/>
        </w:rPr>
      </w:pPr>
      <w:r w:rsidRPr="007C6F0B">
        <w:rPr>
          <w:rFonts w:ascii="Arial" w:hAnsi="Arial" w:cs="Arial"/>
          <w:sz w:val="24"/>
          <w:szCs w:val="24"/>
        </w:rPr>
        <w:t xml:space="preserve">Supplemental </w:t>
      </w:r>
      <w:r w:rsidR="00C736AB">
        <w:rPr>
          <w:rFonts w:ascii="Arial" w:hAnsi="Arial" w:cs="Arial" w:hint="eastAsia"/>
          <w:sz w:val="24"/>
          <w:szCs w:val="24"/>
        </w:rPr>
        <w:t>T</w:t>
      </w:r>
      <w:r w:rsidRPr="007C6F0B">
        <w:rPr>
          <w:rFonts w:ascii="Arial" w:hAnsi="Arial" w:cs="Arial"/>
          <w:sz w:val="24"/>
          <w:szCs w:val="24"/>
        </w:rPr>
        <w:t>able 2</w:t>
      </w:r>
      <w:r w:rsidR="00C736AB">
        <w:rPr>
          <w:rFonts w:ascii="Arial" w:hAnsi="Arial" w:cs="Arial" w:hint="eastAsia"/>
          <w:sz w:val="24"/>
          <w:szCs w:val="24"/>
        </w:rPr>
        <w:t xml:space="preserve">. 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7C6F0B">
        <w:rPr>
          <w:rFonts w:ascii="Arial" w:hAnsi="Arial" w:cs="Arial"/>
          <w:sz w:val="24"/>
          <w:szCs w:val="24"/>
        </w:rPr>
        <w:t>Descriptive statistics and logistic regression of intra- and post-operative outcomes in NA and non-NA in matched cohort(n=1072)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0"/>
        <w:gridCol w:w="2400"/>
        <w:gridCol w:w="1103"/>
        <w:gridCol w:w="1655"/>
        <w:gridCol w:w="1214"/>
      </w:tblGrid>
      <w:tr w:rsidR="0035139A" w:rsidRPr="00C736AB" w:rsidTr="006809DE"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Median(interquartile range)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OR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95%CI</w:t>
            </w: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i/>
                <w:iCs/>
                <w:sz w:val="21"/>
                <w:szCs w:val="21"/>
              </w:rPr>
              <w:t>P</w:t>
            </w:r>
            <w:r w:rsidRPr="00C736AB">
              <w:rPr>
                <w:rFonts w:ascii="Arial" w:hAnsi="Arial" w:cs="Arial"/>
                <w:sz w:val="21"/>
                <w:szCs w:val="21"/>
              </w:rPr>
              <w:t xml:space="preserve"> value</w:t>
            </w:r>
          </w:p>
        </w:tc>
      </w:tr>
      <w:tr w:rsidR="0035139A" w:rsidRPr="00C736AB" w:rsidTr="006809DE">
        <w:tc>
          <w:tcPr>
            <w:tcW w:w="2150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Crystalloid(ml)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1600(1100,2200)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0.999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0.999,0.999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2600(2000,3200)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Colloid(ml)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500(0,500)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1.000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0.999,1.000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0.030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500(0,500)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Blood loss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100(50,150)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0.998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0.998,0.999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100(50,200)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Urine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300(200,600)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0.999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0.999,0.999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500(300,800)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RBC n(%)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33(3.1%)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0.327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0.218,0.490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95(8.9%)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Lactate level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100" w:firstLine="21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Baseline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0.87(0.72,0.87)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0.888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0.676,1.168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0.396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0.90(0.75,1.11)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100" w:firstLine="21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End of surgery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0.90(0.73,1.18)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1.184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0.955,1.468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0.123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0.89(0.72,1.15)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Lactate production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rPr>
          <w:trHeight w:val="319"/>
        </w:trPr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0.03(-0.14,0.22)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1.354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1.051,1.744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0.019</w:t>
            </w: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0.00(-0.14,0.15)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Hospital stay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5139A" w:rsidRPr="00C736AB" w:rsidTr="006809DE">
        <w:tc>
          <w:tcPr>
            <w:tcW w:w="2150" w:type="dxa"/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NA</w:t>
            </w:r>
          </w:p>
        </w:tc>
        <w:tc>
          <w:tcPr>
            <w:tcW w:w="2400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19(16,25)</w:t>
            </w:r>
          </w:p>
        </w:tc>
        <w:tc>
          <w:tcPr>
            <w:tcW w:w="1103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1.019</w:t>
            </w:r>
          </w:p>
        </w:tc>
        <w:tc>
          <w:tcPr>
            <w:tcW w:w="1655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1.008,1.029</w:t>
            </w:r>
          </w:p>
        </w:tc>
        <w:tc>
          <w:tcPr>
            <w:tcW w:w="1214" w:type="dxa"/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0.000</w:t>
            </w:r>
          </w:p>
        </w:tc>
      </w:tr>
      <w:tr w:rsidR="0035139A" w:rsidRPr="00C736AB" w:rsidTr="006809DE">
        <w:tc>
          <w:tcPr>
            <w:tcW w:w="2150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C736AB">
            <w:pPr>
              <w:ind w:firstLineChars="200" w:firstLine="42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Non-NA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21"/>
                <w:szCs w:val="21"/>
              </w:rPr>
              <w:t>18(14,23)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36AB">
              <w:rPr>
                <w:rFonts w:ascii="Arial" w:hAnsi="Arial" w:cs="Arial"/>
                <w:sz w:val="18"/>
                <w:szCs w:val="18"/>
              </w:rPr>
              <w:t>Reference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noWrap/>
          </w:tcPr>
          <w:p w:rsidR="0035139A" w:rsidRPr="00C736AB" w:rsidRDefault="0035139A" w:rsidP="006809D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35139A" w:rsidRPr="000720B1" w:rsidRDefault="0035139A" w:rsidP="0035139A">
      <w:pPr>
        <w:jc w:val="left"/>
        <w:rPr>
          <w:rFonts w:ascii="Arial" w:hAnsi="Arial" w:cs="Arial"/>
          <w:szCs w:val="21"/>
        </w:rPr>
      </w:pPr>
      <w:r w:rsidRPr="000720B1">
        <w:rPr>
          <w:rFonts w:ascii="Arial" w:hAnsi="Arial" w:cs="Arial"/>
          <w:szCs w:val="21"/>
        </w:rPr>
        <w:t>Notes: Data are median (interquartile range) or frequency (percentage); NA: noradrenaline; OR: odds ratio; CI: confidence interval; RBC: red blood cell.</w:t>
      </w:r>
    </w:p>
    <w:p w:rsidR="00682318" w:rsidRPr="0035139A" w:rsidRDefault="00682318"/>
    <w:sectPr w:rsidR="00682318" w:rsidRPr="0035139A" w:rsidSect="002757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61A" w:rsidRDefault="005C361A" w:rsidP="0035139A">
      <w:r>
        <w:separator/>
      </w:r>
    </w:p>
  </w:endnote>
  <w:endnote w:type="continuationSeparator" w:id="1">
    <w:p w:rsidR="005C361A" w:rsidRDefault="005C361A" w:rsidP="0035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61A" w:rsidRDefault="005C361A" w:rsidP="0035139A">
      <w:r>
        <w:separator/>
      </w:r>
    </w:p>
  </w:footnote>
  <w:footnote w:type="continuationSeparator" w:id="1">
    <w:p w:rsidR="005C361A" w:rsidRDefault="005C361A" w:rsidP="0035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39A"/>
    <w:rsid w:val="000720B1"/>
    <w:rsid w:val="0035139A"/>
    <w:rsid w:val="003A69C2"/>
    <w:rsid w:val="005C361A"/>
    <w:rsid w:val="00682318"/>
    <w:rsid w:val="00786EB4"/>
    <w:rsid w:val="00C736AB"/>
    <w:rsid w:val="00E2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9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3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3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39A"/>
    <w:rPr>
      <w:sz w:val="18"/>
      <w:szCs w:val="18"/>
    </w:rPr>
  </w:style>
  <w:style w:type="table" w:styleId="a5">
    <w:name w:val="Table Grid"/>
    <w:basedOn w:val="a1"/>
    <w:qFormat/>
    <w:rsid w:val="0035139A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1676</Characters>
  <Application>Microsoft Office Word</Application>
  <DocSecurity>0</DocSecurity>
  <Lines>13</Lines>
  <Paragraphs>3</Paragraphs>
  <ScaleCrop>false</ScaleCrop>
  <Company>china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刘红亮</dc:creator>
  <cp:keywords/>
  <dc:description/>
  <cp:lastModifiedBy>刘红亮</cp:lastModifiedBy>
  <cp:revision>6</cp:revision>
  <dcterms:created xsi:type="dcterms:W3CDTF">2024-01-25T00:22:00Z</dcterms:created>
  <dcterms:modified xsi:type="dcterms:W3CDTF">2024-01-25T00:28:00Z</dcterms:modified>
</cp:coreProperties>
</file>