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BBA3" w14:textId="267A2C1D" w:rsidR="00EF4683" w:rsidRPr="00066298" w:rsidRDefault="00893581" w:rsidP="008779B4">
      <w:pPr>
        <w:ind w:rightChars="-170" w:right="-340"/>
        <w:outlineLvl w:val="0"/>
        <w:rPr>
          <w:rFonts w:eastAsia="DFKai-SB" w:cs="Arial"/>
          <w:b/>
          <w:color w:val="000000"/>
        </w:rPr>
      </w:pPr>
      <w:r w:rsidRPr="00066298">
        <w:rPr>
          <w:rFonts w:eastAsia="DFKai-SB" w:cs="Arial"/>
          <w:b/>
          <w:color w:val="000000"/>
        </w:rPr>
        <w:t xml:space="preserve"> Table S1</w:t>
      </w:r>
      <w:r w:rsidRPr="00066298">
        <w:rPr>
          <w:rFonts w:eastAsia="DFKai-SB" w:cs="Arial"/>
          <w:b/>
          <w:color w:val="000000"/>
        </w:rPr>
        <w:tab/>
      </w:r>
      <w:r w:rsidR="00EF4683" w:rsidRPr="00066298">
        <w:rPr>
          <w:rFonts w:eastAsia="DFKai-SB" w:cs="Arial"/>
          <w:b/>
          <w:color w:val="000000"/>
        </w:rPr>
        <w:t>Histopathologic</w:t>
      </w:r>
      <w:r w:rsidR="001E0420" w:rsidRPr="00066298">
        <w:rPr>
          <w:rFonts w:eastAsia="DFKai-SB" w:cs="Arial"/>
          <w:b/>
          <w:color w:val="000000"/>
        </w:rPr>
        <w:t>al</w:t>
      </w:r>
      <w:r w:rsidR="00EF4683" w:rsidRPr="00066298">
        <w:rPr>
          <w:rFonts w:eastAsia="DFKai-SB" w:cs="Arial"/>
          <w:b/>
          <w:color w:val="000000"/>
        </w:rPr>
        <w:t xml:space="preserve"> </w:t>
      </w:r>
      <w:r w:rsidR="001E0420" w:rsidRPr="00066298">
        <w:rPr>
          <w:rFonts w:eastAsia="DFKai-SB" w:cs="Arial"/>
          <w:b/>
          <w:color w:val="000000"/>
        </w:rPr>
        <w:t>Summary</w:t>
      </w:r>
      <w:r w:rsidR="00EF4683" w:rsidRPr="00066298">
        <w:rPr>
          <w:rFonts w:eastAsia="DFKai-SB" w:cs="Arial"/>
          <w:b/>
          <w:color w:val="000000"/>
        </w:rPr>
        <w:t xml:space="preserve"> of Study Animals.</w:t>
      </w:r>
    </w:p>
    <w:tbl>
      <w:tblPr>
        <w:tblW w:w="4882" w:type="pct"/>
        <w:jc w:val="center"/>
        <w:tblLayout w:type="fixed"/>
        <w:tblLook w:val="0000" w:firstRow="0" w:lastRow="0" w:firstColumn="0" w:lastColumn="0" w:noHBand="0" w:noVBand="0"/>
      </w:tblPr>
      <w:tblGrid>
        <w:gridCol w:w="3244"/>
        <w:gridCol w:w="930"/>
        <w:gridCol w:w="52"/>
        <w:gridCol w:w="1014"/>
        <w:gridCol w:w="39"/>
        <w:gridCol w:w="1028"/>
        <w:gridCol w:w="25"/>
        <w:gridCol w:w="1041"/>
        <w:gridCol w:w="12"/>
        <w:gridCol w:w="1051"/>
      </w:tblGrid>
      <w:tr w:rsidR="00EF4683" w:rsidRPr="00066298" w14:paraId="1E60B9EB" w14:textId="77777777" w:rsidTr="00EF4683">
        <w:trPr>
          <w:cantSplit/>
          <w:trHeight w:hRule="exact" w:val="340"/>
          <w:jc w:val="center"/>
        </w:trPr>
        <w:tc>
          <w:tcPr>
            <w:tcW w:w="19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2FCF5" w14:textId="77777777" w:rsidR="00EF4683" w:rsidRPr="00066298" w:rsidRDefault="00EF4683" w:rsidP="00CE6465">
            <w:pPr>
              <w:rPr>
                <w:rFonts w:eastAsia="DFKai-SB" w:cs="Arial"/>
                <w:b/>
                <w:color w:val="000000"/>
                <w:sz w:val="22"/>
              </w:rPr>
            </w:pPr>
            <w:r w:rsidRPr="00066298">
              <w:rPr>
                <w:rFonts w:eastAsia="DFKai-SB" w:cs="Arial"/>
                <w:b/>
                <w:color w:val="000000"/>
                <w:sz w:val="22"/>
              </w:rPr>
              <w:t>Group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F2B4F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D232E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2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B7F5F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3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202F4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82142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5</w:t>
            </w:r>
          </w:p>
        </w:tc>
      </w:tr>
      <w:tr w:rsidR="00EF4683" w:rsidRPr="00066298" w14:paraId="14EABBD8" w14:textId="77777777" w:rsidTr="00EF4683">
        <w:trPr>
          <w:cantSplit/>
          <w:trHeight w:hRule="exact" w:val="340"/>
          <w:jc w:val="center"/>
        </w:trPr>
        <w:tc>
          <w:tcPr>
            <w:tcW w:w="1923" w:type="pct"/>
            <w:shd w:val="clear" w:color="auto" w:fill="auto"/>
            <w:vAlign w:val="center"/>
          </w:tcPr>
          <w:p w14:paraId="7FC93725" w14:textId="77777777" w:rsidR="00EF4683" w:rsidRPr="00066298" w:rsidRDefault="00EF4683" w:rsidP="00CE6465">
            <w:pPr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PMingLiU" w:cs="Arial"/>
                <w:bCs/>
                <w:color w:val="000000"/>
                <w:sz w:val="22"/>
                <w:szCs w:val="23"/>
              </w:rPr>
              <w:t xml:space="preserve"> α-PD-L1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5559148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1EB36754" w14:textId="46FDB822" w:rsidR="00EF4683" w:rsidRPr="00F70565" w:rsidRDefault="00182A65" w:rsidP="00182A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638FB1C5" w14:textId="0E8DD954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1AA3AB82" w14:textId="72D73159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3F76502" w14:textId="448D0843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</w:tr>
      <w:tr w:rsidR="00EF4683" w:rsidRPr="00066298" w14:paraId="037397EC" w14:textId="77777777" w:rsidTr="00EF4683">
        <w:trPr>
          <w:cantSplit/>
          <w:trHeight w:hRule="exact" w:val="340"/>
          <w:jc w:val="center"/>
        </w:trPr>
        <w:tc>
          <w:tcPr>
            <w:tcW w:w="1923" w:type="pct"/>
            <w:shd w:val="clear" w:color="auto" w:fill="auto"/>
            <w:vAlign w:val="center"/>
          </w:tcPr>
          <w:p w14:paraId="0C351734" w14:textId="77777777" w:rsidR="00EF4683" w:rsidRPr="00066298" w:rsidRDefault="00EF4683" w:rsidP="00CE6465">
            <w:pPr>
              <w:rPr>
                <w:rFonts w:eastAsia="PMingLiU" w:cs="Arial"/>
                <w:bCs/>
                <w:color w:val="000000"/>
                <w:sz w:val="22"/>
                <w:szCs w:val="23"/>
              </w:rPr>
            </w:pPr>
            <w:r w:rsidRPr="00066298">
              <w:rPr>
                <w:rFonts w:eastAsia="PMingLiU" w:cs="Arial"/>
                <w:color w:val="000000"/>
                <w:sz w:val="22"/>
              </w:rPr>
              <w:t xml:space="preserve"> Au@SiO</w:t>
            </w:r>
            <w:r w:rsidRPr="00066298">
              <w:rPr>
                <w:rFonts w:eastAsia="PMingLiU" w:cs="Arial"/>
                <w:color w:val="000000"/>
                <w:sz w:val="22"/>
                <w:vertAlign w:val="subscript"/>
              </w:rPr>
              <w:t>2</w:t>
            </w:r>
            <w:r w:rsidRPr="00066298">
              <w:rPr>
                <w:rFonts w:eastAsia="PMingLiU" w:cs="Arial"/>
                <w:color w:val="000000"/>
                <w:sz w:val="22"/>
              </w:rPr>
              <w:t xml:space="preserve"> NPs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BC7CF2C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6B63CE68" w14:textId="7182BF97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6EF25CB2" w14:textId="77777777" w:rsidR="00EF4683" w:rsidRPr="00F70565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62DB0EAD" w14:textId="3FFCE81C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8CEDFFD" w14:textId="77777777" w:rsidR="00EF4683" w:rsidRPr="00F70565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</w:tr>
      <w:tr w:rsidR="00EF4683" w:rsidRPr="00066298" w14:paraId="3B7F8E38" w14:textId="77777777" w:rsidTr="00EF4683">
        <w:trPr>
          <w:cantSplit/>
          <w:trHeight w:hRule="exact" w:val="340"/>
          <w:jc w:val="center"/>
        </w:trPr>
        <w:tc>
          <w:tcPr>
            <w:tcW w:w="192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97F641" w14:textId="77777777" w:rsidR="00EF4683" w:rsidRPr="00066298" w:rsidRDefault="00EF4683" w:rsidP="00CE6465">
            <w:pPr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 xml:space="preserve"> XR</w:t>
            </w:r>
          </w:p>
        </w:tc>
        <w:tc>
          <w:tcPr>
            <w:tcW w:w="58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CED3F5" w14:textId="77777777" w:rsidR="00EF4683" w:rsidRPr="00066298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A64EA0" w14:textId="77777777" w:rsidR="00EF4683" w:rsidRPr="00F70565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2303D4" w14:textId="64615582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569C3B" w14:textId="051A462E" w:rsidR="00EF4683" w:rsidRPr="00F70565" w:rsidRDefault="00182A65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B45075" w14:textId="77777777" w:rsidR="00EF4683" w:rsidRPr="00F70565" w:rsidRDefault="00EF4683" w:rsidP="00CE6465">
            <w:pPr>
              <w:spacing w:line="0" w:lineRule="atLeast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</w:tr>
      <w:tr w:rsidR="00EF4683" w:rsidRPr="00066298" w14:paraId="6A4A2B4B" w14:textId="77777777" w:rsidTr="00CE6465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14:paraId="277FBB88" w14:textId="5C03000B" w:rsidR="00EF4683" w:rsidRPr="00066298" w:rsidRDefault="00182A65" w:rsidP="00182A65">
            <w:pPr>
              <w:ind w:right="110"/>
              <w:rPr>
                <w:rFonts w:eastAsia="DFKai-SB" w:cs="Arial"/>
                <w:b/>
                <w:color w:val="000000"/>
                <w:sz w:val="22"/>
              </w:rPr>
            </w:pPr>
            <w:r w:rsidRPr="00066298">
              <w:rPr>
                <w:rFonts w:eastAsia="DFKai-SB" w:cs="Arial"/>
                <w:b/>
                <w:bCs/>
                <w:color w:val="000000"/>
                <w:sz w:val="22"/>
              </w:rPr>
              <w:t xml:space="preserve">Hematoxylin and eosin (H&amp;E) </w:t>
            </w:r>
            <w:r w:rsidR="00EF4683" w:rsidRPr="00066298">
              <w:rPr>
                <w:rFonts w:eastAsia="DFKai-SB" w:cs="Arial"/>
                <w:b/>
                <w:bCs/>
                <w:color w:val="000000"/>
                <w:sz w:val="22"/>
              </w:rPr>
              <w:t>stains</w:t>
            </w:r>
          </w:p>
        </w:tc>
      </w:tr>
      <w:tr w:rsidR="00EF4683" w:rsidRPr="00066298" w14:paraId="466A8A7F" w14:textId="77777777" w:rsidTr="00CE6465">
        <w:trPr>
          <w:trHeight w:val="680"/>
          <w:jc w:val="center"/>
        </w:trPr>
        <w:tc>
          <w:tcPr>
            <w:tcW w:w="1923" w:type="pct"/>
            <w:vAlign w:val="center"/>
          </w:tcPr>
          <w:p w14:paraId="3A6BC2C0" w14:textId="77777777" w:rsidR="00EF4683" w:rsidRPr="00066298" w:rsidRDefault="00EF4683" w:rsidP="00CE6465">
            <w:pPr>
              <w:wordWrap w:val="0"/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Mitotic GL261 cells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31B05CF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4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4EBAA9AB" w14:textId="23F34DDA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6A0BEC4C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4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6674FE04" w14:textId="37161725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3141DA90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4</w:t>
            </w:r>
          </w:p>
        </w:tc>
      </w:tr>
      <w:tr w:rsidR="00EF4683" w:rsidRPr="00066298" w14:paraId="11E3D02F" w14:textId="77777777" w:rsidTr="00CE6465">
        <w:trPr>
          <w:trHeight w:val="53"/>
          <w:jc w:val="center"/>
        </w:trPr>
        <w:tc>
          <w:tcPr>
            <w:tcW w:w="1923" w:type="pct"/>
            <w:vAlign w:val="center"/>
          </w:tcPr>
          <w:p w14:paraId="00500F38" w14:textId="77777777" w:rsidR="00EF4683" w:rsidRPr="00066298" w:rsidRDefault="00EF4683" w:rsidP="00CE6465">
            <w:pPr>
              <w:wordWrap w:val="0"/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Lysed GL261 cells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A648C19" w14:textId="4F18B572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1E5F49C4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2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489DAC44" w14:textId="3F5D4E9E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63E6845E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3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1D70F7EC" w14:textId="31B94080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</w:tr>
      <w:tr w:rsidR="00EF4683" w:rsidRPr="00066298" w14:paraId="7627F35E" w14:textId="77777777" w:rsidTr="00CE6465">
        <w:trPr>
          <w:trHeight w:val="680"/>
          <w:jc w:val="center"/>
        </w:trPr>
        <w:tc>
          <w:tcPr>
            <w:tcW w:w="1923" w:type="pct"/>
            <w:vAlign w:val="center"/>
          </w:tcPr>
          <w:p w14:paraId="6BB65E6F" w14:textId="77777777" w:rsidR="00EF4683" w:rsidRPr="00066298" w:rsidRDefault="00EF4683" w:rsidP="00CE6465">
            <w:pPr>
              <w:wordWrap w:val="0"/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Inflammatory cell infiltration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E51AD7A" w14:textId="1DC9FC7E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2E79038D" w14:textId="0E5BED2E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738A1714" w14:textId="3DEC0249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13A458D3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2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22F04230" w14:textId="2F5AEBA3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</w:tr>
      <w:tr w:rsidR="00EF4683" w:rsidRPr="00066298" w14:paraId="2630A72F" w14:textId="77777777" w:rsidTr="00CE6465">
        <w:trPr>
          <w:trHeight w:val="53"/>
          <w:jc w:val="center"/>
        </w:trPr>
        <w:tc>
          <w:tcPr>
            <w:tcW w:w="1923" w:type="pct"/>
            <w:vAlign w:val="center"/>
          </w:tcPr>
          <w:p w14:paraId="75B0455F" w14:textId="77777777" w:rsidR="00EF4683" w:rsidRPr="00066298" w:rsidRDefault="00EF4683" w:rsidP="00CE6465">
            <w:pPr>
              <w:wordWrap w:val="0"/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Microgliosis (repair process)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66240D5" w14:textId="79F91821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025DCD7A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1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63A0673B" w14:textId="6219C590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1BA53F32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3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2D7615D7" w14:textId="3F15D28E" w:rsidR="00EF4683" w:rsidRPr="00066298" w:rsidRDefault="00182A65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0</w:t>
            </w:r>
          </w:p>
        </w:tc>
      </w:tr>
      <w:tr w:rsidR="00EF4683" w:rsidRPr="00066298" w14:paraId="1217501D" w14:textId="77777777" w:rsidTr="00CE6465">
        <w:trPr>
          <w:trHeight w:val="680"/>
          <w:jc w:val="center"/>
        </w:trPr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14:paraId="338A73E4" w14:textId="77777777" w:rsidR="00EF4683" w:rsidRPr="00066298" w:rsidRDefault="00EF4683" w:rsidP="00CE6465">
            <w:pPr>
              <w:wordWrap w:val="0"/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Mitotic rate (per 400X)</w:t>
            </w:r>
          </w:p>
        </w:tc>
        <w:tc>
          <w:tcPr>
            <w:tcW w:w="55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8CC60C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&gt;15</w:t>
            </w:r>
          </w:p>
        </w:tc>
        <w:tc>
          <w:tcPr>
            <w:tcW w:w="63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969A7D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3-5</w:t>
            </w:r>
          </w:p>
        </w:tc>
        <w:tc>
          <w:tcPr>
            <w:tcW w:w="63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B1AF56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&gt;15</w:t>
            </w:r>
          </w:p>
        </w:tc>
        <w:tc>
          <w:tcPr>
            <w:tcW w:w="63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A04EE2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3-5</w:t>
            </w:r>
          </w:p>
        </w:tc>
        <w:tc>
          <w:tcPr>
            <w:tcW w:w="630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FF095F" w14:textId="77777777" w:rsidR="00EF4683" w:rsidRPr="00066298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color w:val="000000"/>
                <w:sz w:val="22"/>
              </w:rPr>
              <w:t>&gt;15</w:t>
            </w:r>
          </w:p>
        </w:tc>
      </w:tr>
      <w:tr w:rsidR="00EF4683" w:rsidRPr="00066298" w14:paraId="1580ACF1" w14:textId="77777777" w:rsidTr="00CE6465">
        <w:trPr>
          <w:trHeight w:val="454"/>
          <w:jc w:val="center"/>
        </w:trPr>
        <w:tc>
          <w:tcPr>
            <w:tcW w:w="5000" w:type="pct"/>
            <w:gridSpan w:val="10"/>
            <w:tcBorders>
              <w:top w:val="dotted" w:sz="4" w:space="0" w:color="auto"/>
            </w:tcBorders>
            <w:vAlign w:val="center"/>
          </w:tcPr>
          <w:p w14:paraId="236930C5" w14:textId="7A257BB6" w:rsidR="00EF4683" w:rsidRPr="00066298" w:rsidRDefault="00182A65" w:rsidP="00182A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066298">
              <w:rPr>
                <w:rFonts w:eastAsia="DFKai-SB" w:cs="Arial"/>
                <w:b/>
                <w:bCs/>
                <w:color w:val="000000"/>
                <w:sz w:val="22"/>
              </w:rPr>
              <w:t>Immunohistochemistry (IHC)</w:t>
            </w:r>
            <w:r w:rsidR="00F543F6" w:rsidRPr="00066298">
              <w:rPr>
                <w:rFonts w:eastAsia="DFKai-SB" w:cs="Arial"/>
                <w:b/>
                <w:bCs/>
                <w:color w:val="000000"/>
                <w:sz w:val="22"/>
              </w:rPr>
              <w:t xml:space="preserve"> </w:t>
            </w:r>
            <w:r w:rsidR="00EF4683" w:rsidRPr="00066298">
              <w:rPr>
                <w:rFonts w:eastAsia="DFKai-SB" w:cs="Arial"/>
                <w:b/>
                <w:bCs/>
                <w:color w:val="000000"/>
                <w:sz w:val="22"/>
              </w:rPr>
              <w:t>stains</w:t>
            </w:r>
          </w:p>
        </w:tc>
      </w:tr>
      <w:tr w:rsidR="00EF4683" w:rsidRPr="00066298" w14:paraId="595D500D" w14:textId="77777777" w:rsidTr="00CE6465">
        <w:trPr>
          <w:trHeight w:val="53"/>
          <w:jc w:val="center"/>
        </w:trPr>
        <w:tc>
          <w:tcPr>
            <w:tcW w:w="1923" w:type="pct"/>
            <w:vAlign w:val="center"/>
          </w:tcPr>
          <w:p w14:paraId="047755F2" w14:textId="77777777" w:rsidR="00EF4683" w:rsidRPr="00066298" w:rsidRDefault="00EF4683" w:rsidP="00CE6465">
            <w:pPr>
              <w:tabs>
                <w:tab w:val="num" w:pos="1800"/>
              </w:tabs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PD1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7128E7D3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49526B5C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79ED7CDD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26DC1F53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5AA8280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</w:tr>
      <w:tr w:rsidR="00EF4683" w:rsidRPr="00066298" w14:paraId="38C6F458" w14:textId="77777777" w:rsidTr="00CE6465">
        <w:trPr>
          <w:trHeight w:val="53"/>
          <w:jc w:val="center"/>
        </w:trPr>
        <w:tc>
          <w:tcPr>
            <w:tcW w:w="1923" w:type="pct"/>
            <w:vAlign w:val="center"/>
          </w:tcPr>
          <w:p w14:paraId="6BD4DD9C" w14:textId="77777777" w:rsidR="00EF4683" w:rsidRPr="00066298" w:rsidRDefault="00EF4683" w:rsidP="00CE6465">
            <w:pPr>
              <w:tabs>
                <w:tab w:val="num" w:pos="1800"/>
              </w:tabs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CD8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046902C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0E15D469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76826D40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04A6176E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DD8F14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</w:tr>
      <w:tr w:rsidR="00EF4683" w:rsidRPr="00066298" w14:paraId="2F9FDC33" w14:textId="77777777" w:rsidTr="00CE6465">
        <w:trPr>
          <w:trHeight w:val="53"/>
          <w:jc w:val="center"/>
        </w:trPr>
        <w:tc>
          <w:tcPr>
            <w:tcW w:w="1923" w:type="pct"/>
            <w:tcBorders>
              <w:bottom w:val="single" w:sz="4" w:space="0" w:color="auto"/>
            </w:tcBorders>
            <w:vAlign w:val="center"/>
          </w:tcPr>
          <w:p w14:paraId="43989408" w14:textId="77777777" w:rsidR="00EF4683" w:rsidRPr="00066298" w:rsidRDefault="00EF4683" w:rsidP="00CE6465">
            <w:pPr>
              <w:tabs>
                <w:tab w:val="num" w:pos="1800"/>
              </w:tabs>
              <w:rPr>
                <w:rFonts w:eastAsia="DFKai-SB" w:cs="Arial"/>
                <w:bCs/>
                <w:color w:val="000000"/>
                <w:sz w:val="22"/>
              </w:rPr>
            </w:pPr>
            <w:r w:rsidRPr="00066298">
              <w:rPr>
                <w:rFonts w:eastAsia="DFKai-SB" w:cs="Arial"/>
                <w:bCs/>
                <w:color w:val="000000"/>
                <w:sz w:val="22"/>
              </w:rPr>
              <w:t xml:space="preserve"> CD4</w:t>
            </w:r>
          </w:p>
        </w:tc>
        <w:tc>
          <w:tcPr>
            <w:tcW w:w="5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3DC5C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98D04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392E3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716C2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+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0F9E6" w14:textId="77777777" w:rsidR="00EF4683" w:rsidRPr="00F70565" w:rsidRDefault="00EF4683" w:rsidP="00CE6465">
            <w:pPr>
              <w:ind w:right="110"/>
              <w:rPr>
                <w:rFonts w:eastAsia="DFKai-SB" w:cs="Arial"/>
                <w:color w:val="000000"/>
                <w:sz w:val="22"/>
              </w:rPr>
            </w:pPr>
            <w:r w:rsidRPr="00F70565">
              <w:rPr>
                <w:rFonts w:eastAsia="DFKai-SB" w:cs="Arial"/>
                <w:color w:val="000000"/>
                <w:sz w:val="22"/>
              </w:rPr>
              <w:t>–</w:t>
            </w:r>
          </w:p>
        </w:tc>
      </w:tr>
    </w:tbl>
    <w:p w14:paraId="162CEDBD" w14:textId="0B07ED88" w:rsidR="00F543F6" w:rsidRPr="00066298" w:rsidRDefault="00F543F6" w:rsidP="00066298">
      <w:pPr>
        <w:spacing w:line="360" w:lineRule="auto"/>
        <w:rPr>
          <w:rFonts w:cs="Arial"/>
          <w:color w:val="000000"/>
          <w:szCs w:val="20"/>
        </w:rPr>
      </w:pPr>
      <w:r w:rsidRPr="00066298">
        <w:rPr>
          <w:rFonts w:cs="Arial"/>
          <w:color w:val="000000"/>
          <w:szCs w:val="20"/>
        </w:rPr>
        <w:t xml:space="preserve">+ = present, </w:t>
      </w:r>
      <w:r w:rsidRPr="00066298">
        <w:rPr>
          <w:rFonts w:eastAsia="DFKai-SB" w:cs="Arial"/>
          <w:color w:val="000000"/>
          <w:szCs w:val="20"/>
        </w:rPr>
        <w:t xml:space="preserve">– </w:t>
      </w:r>
      <w:r w:rsidRPr="00066298">
        <w:rPr>
          <w:rFonts w:cs="Arial"/>
          <w:color w:val="000000"/>
          <w:szCs w:val="20"/>
        </w:rPr>
        <w:t xml:space="preserve">= </w:t>
      </w:r>
      <w:proofErr w:type="gramStart"/>
      <w:r w:rsidRPr="00066298">
        <w:rPr>
          <w:rFonts w:cs="Arial"/>
          <w:color w:val="000000"/>
          <w:szCs w:val="20"/>
        </w:rPr>
        <w:t>none;</w:t>
      </w:r>
      <w:proofErr w:type="gramEnd"/>
      <w:r w:rsidRPr="00066298">
        <w:rPr>
          <w:rFonts w:cs="Arial"/>
          <w:color w:val="000000"/>
          <w:szCs w:val="20"/>
        </w:rPr>
        <w:t xml:space="preserve"> </w:t>
      </w:r>
    </w:p>
    <w:p w14:paraId="7F8E091C" w14:textId="1BC1A213" w:rsidR="006A5738" w:rsidRPr="00066298" w:rsidRDefault="00F543F6" w:rsidP="00066298">
      <w:pPr>
        <w:spacing w:line="360" w:lineRule="auto"/>
        <w:rPr>
          <w:rFonts w:eastAsia="DFKai-SB" w:cs="Arial"/>
          <w:color w:val="000000"/>
          <w:szCs w:val="20"/>
        </w:rPr>
      </w:pPr>
      <w:r w:rsidRPr="00066298">
        <w:rPr>
          <w:rFonts w:cs="Arial"/>
          <w:color w:val="000000"/>
          <w:szCs w:val="20"/>
        </w:rPr>
        <w:t xml:space="preserve">severity grading:  </w:t>
      </w:r>
      <w:r w:rsidR="00EF4683" w:rsidRPr="00066298">
        <w:rPr>
          <w:rFonts w:eastAsia="DFKai-SB" w:cs="Arial"/>
          <w:color w:val="000000"/>
          <w:szCs w:val="20"/>
        </w:rPr>
        <w:t>0</w:t>
      </w:r>
      <w:r w:rsidR="00EF4683" w:rsidRPr="00066298">
        <w:rPr>
          <w:rFonts w:cs="Arial"/>
          <w:color w:val="000000"/>
          <w:szCs w:val="20"/>
        </w:rPr>
        <w:t xml:space="preserve"> </w:t>
      </w:r>
      <w:r w:rsidR="00EF4683" w:rsidRPr="00066298">
        <w:rPr>
          <w:rFonts w:eastAsia="DFKai-SB" w:cs="Arial"/>
          <w:color w:val="000000"/>
          <w:szCs w:val="20"/>
        </w:rPr>
        <w:t>= within normal limits, 1</w:t>
      </w:r>
      <w:r w:rsidR="00EF4683" w:rsidRPr="00066298">
        <w:rPr>
          <w:rFonts w:cs="Arial"/>
          <w:color w:val="000000"/>
          <w:szCs w:val="20"/>
        </w:rPr>
        <w:t xml:space="preserve"> </w:t>
      </w:r>
      <w:r w:rsidR="00EF4683" w:rsidRPr="00066298">
        <w:rPr>
          <w:rFonts w:eastAsia="DFKai-SB" w:cs="Arial"/>
          <w:color w:val="000000"/>
          <w:szCs w:val="20"/>
        </w:rPr>
        <w:t>= minimal, 2 = mild, 3 = moderate, 4 = severe.</w:t>
      </w:r>
      <w:r w:rsidR="006A5738" w:rsidRPr="00066298">
        <w:rPr>
          <w:rFonts w:eastAsia="DFKai-SB" w:cs="Arial"/>
          <w:color w:val="000000"/>
          <w:szCs w:val="20"/>
        </w:rPr>
        <w:br w:type="page"/>
      </w:r>
    </w:p>
    <w:p w14:paraId="31357C4D" w14:textId="06548C23" w:rsidR="00B661C4" w:rsidRPr="00066298" w:rsidRDefault="000642F4" w:rsidP="006A5738">
      <w:pPr>
        <w:ind w:rightChars="-170" w:right="-340"/>
        <w:rPr>
          <w:rFonts w:eastAsia="DFKai-SB" w:cs="Arial"/>
          <w:color w:val="000000"/>
          <w:szCs w:val="20"/>
        </w:rPr>
      </w:pPr>
      <w:r w:rsidRPr="00066298">
        <w:rPr>
          <w:rFonts w:eastAsia="DFKai-SB" w:cs="Arial"/>
          <w:noProof/>
          <w:color w:val="000000"/>
          <w:szCs w:val="20"/>
          <w:lang w:eastAsia="zh-TW"/>
        </w:rPr>
        <w:lastRenderedPageBreak/>
        <w:drawing>
          <wp:inline distT="0" distB="0" distL="0" distR="0" wp14:anchorId="0BB65071" wp14:editId="467EF3BA">
            <wp:extent cx="5511596" cy="2488758"/>
            <wp:effectExtent l="0" t="0" r="0" b="6985"/>
            <wp:docPr id="4" name="圖片 4" descr="D:\03 研究資料夾\05 Liu\小敏-AuSiO2 in GBM\20231111submit\Supp 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 研究資料夾\05 Liu\小敏-AuSiO2 in GBM\20231111submit\Supp Figure 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/>
                    <a:stretch/>
                  </pic:blipFill>
                  <pic:spPr bwMode="auto">
                    <a:xfrm>
                      <a:off x="0" y="0"/>
                      <a:ext cx="5514876" cy="249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169A6" w14:textId="6E73634E" w:rsidR="0082729B" w:rsidRPr="00066298" w:rsidRDefault="00B661C4" w:rsidP="00066298">
      <w:pPr>
        <w:jc w:val="both"/>
        <w:rPr>
          <w:rFonts w:eastAsia="PMingLiU" w:cs="Calibri"/>
          <w:iCs/>
          <w:color w:val="000000"/>
        </w:rPr>
      </w:pPr>
      <w:r w:rsidRPr="00066298">
        <w:rPr>
          <w:rFonts w:eastAsia="PMingLiU" w:cs="Calibri"/>
          <w:b/>
          <w:bCs/>
          <w:color w:val="000000"/>
        </w:rPr>
        <w:t>Figure S1</w:t>
      </w:r>
      <w:r w:rsidRPr="00066298">
        <w:rPr>
          <w:rFonts w:eastAsia="PMingLiU" w:cs="Calibri"/>
          <w:b/>
          <w:bCs/>
          <w:color w:val="000000"/>
        </w:rPr>
        <w:tab/>
      </w:r>
      <w:r w:rsidR="00366271" w:rsidRPr="00066298">
        <w:rPr>
          <w:rFonts w:eastAsia="PMingLiU" w:cs="Calibri"/>
          <w:b/>
          <w:iCs/>
          <w:color w:val="000000"/>
        </w:rPr>
        <w:t>Histopathological assessment of brain tissue obtained from mice receiving different treatments.</w:t>
      </w:r>
      <w:r w:rsidR="00366271" w:rsidRPr="00066298">
        <w:rPr>
          <w:rFonts w:eastAsia="PMingLiU" w:cs="Calibri"/>
          <w:iCs/>
          <w:color w:val="000000"/>
        </w:rPr>
        <w:t xml:space="preserve"> </w:t>
      </w:r>
      <w:r w:rsidR="003B7630" w:rsidRPr="00066298">
        <w:rPr>
          <w:rFonts w:eastAsiaTheme="majorEastAsia" w:cstheme="minorHAnsi"/>
          <w:bCs/>
          <w:color w:val="000000"/>
          <w:szCs w:val="20"/>
        </w:rPr>
        <w:t>(a) Control; (b) Au@SiO</w:t>
      </w:r>
      <w:r w:rsidR="003B7630" w:rsidRPr="00066298">
        <w:rPr>
          <w:rFonts w:eastAsiaTheme="majorEastAsia" w:cstheme="minorHAnsi"/>
          <w:bCs/>
          <w:color w:val="000000"/>
          <w:szCs w:val="20"/>
          <w:vertAlign w:val="subscript"/>
        </w:rPr>
        <w:t xml:space="preserve">2 </w:t>
      </w:r>
      <w:r w:rsidR="003B7630" w:rsidRPr="00066298">
        <w:rPr>
          <w:rFonts w:eastAsiaTheme="majorEastAsia" w:cstheme="minorHAnsi"/>
          <w:bCs/>
          <w:color w:val="000000"/>
          <w:szCs w:val="20"/>
        </w:rPr>
        <w:t>NPs + α-PD-L1; (c) XR+ α-PD-L1; (d) Au@SiO</w:t>
      </w:r>
      <w:r w:rsidR="003B7630" w:rsidRPr="00066298">
        <w:rPr>
          <w:rFonts w:eastAsiaTheme="majorEastAsia" w:cstheme="minorHAnsi"/>
          <w:bCs/>
          <w:color w:val="000000"/>
          <w:szCs w:val="20"/>
          <w:vertAlign w:val="subscript"/>
        </w:rPr>
        <w:t>2</w:t>
      </w:r>
      <w:r w:rsidR="003B7630" w:rsidRPr="00066298">
        <w:rPr>
          <w:rFonts w:eastAsiaTheme="majorEastAsia" w:cstheme="minorHAnsi"/>
          <w:bCs/>
          <w:color w:val="000000"/>
          <w:szCs w:val="20"/>
        </w:rPr>
        <w:t xml:space="preserve"> NPs + XR + α-PD-L1; (e) α-PD-L1.</w:t>
      </w:r>
      <w:r w:rsidR="003B7630" w:rsidRPr="00066298">
        <w:rPr>
          <w:rFonts w:eastAsiaTheme="majorEastAsia" w:cstheme="minorHAnsi"/>
          <w:iCs/>
          <w:color w:val="000000"/>
          <w:szCs w:val="20"/>
        </w:rPr>
        <w:t xml:space="preserve"> α</w:t>
      </w:r>
      <w:r w:rsidR="003B7630" w:rsidRPr="00066298">
        <w:rPr>
          <w:rFonts w:eastAsiaTheme="majorEastAsia" w:cstheme="minorHAnsi"/>
          <w:color w:val="000000"/>
          <w:szCs w:val="20"/>
        </w:rPr>
        <w:t>-PD-L1 at a dose of 10 mg/kg, Au@SiO</w:t>
      </w:r>
      <w:r w:rsidR="003B7630" w:rsidRPr="00066298">
        <w:rPr>
          <w:rFonts w:eastAsiaTheme="majorEastAsia" w:cstheme="minorHAnsi"/>
          <w:color w:val="000000"/>
          <w:szCs w:val="20"/>
          <w:vertAlign w:val="subscript"/>
        </w:rPr>
        <w:t>2</w:t>
      </w:r>
      <w:r w:rsidR="003B7630" w:rsidRPr="00066298">
        <w:rPr>
          <w:rFonts w:eastAsiaTheme="majorEastAsia" w:cstheme="minorHAnsi"/>
          <w:color w:val="000000"/>
          <w:szCs w:val="20"/>
        </w:rPr>
        <w:t xml:space="preserve"> NPs at a dose of 1 mg/kg, and X-ray irradiation (XR) with a single fraction of 6 MeV photons at a dose of 2 Gray. </w:t>
      </w:r>
      <w:r w:rsidR="00366271" w:rsidRPr="00066298">
        <w:rPr>
          <w:rFonts w:eastAsia="PMingLiU" w:cs="Calibri"/>
          <w:iCs/>
          <w:color w:val="000000"/>
        </w:rPr>
        <w:t>Rows depict H&amp;E (first row), CD8 (second row), and CD4</w:t>
      </w:r>
      <w:r w:rsidR="00EF71A2" w:rsidRPr="00066298">
        <w:rPr>
          <w:rFonts w:eastAsia="PMingLiU" w:cs="Calibri"/>
          <w:iCs/>
          <w:color w:val="000000"/>
        </w:rPr>
        <w:t xml:space="preserve"> stains</w:t>
      </w:r>
      <w:r w:rsidR="00366271" w:rsidRPr="00066298">
        <w:rPr>
          <w:rFonts w:eastAsia="PMingLiU" w:cs="Calibri"/>
          <w:iCs/>
          <w:color w:val="000000"/>
        </w:rPr>
        <w:t xml:space="preserve"> (third row). Black arrows in each row signify tumor cells with mitotic features, CD8+ cells, and CD4+ cells, respectively. A black circle in the first row marks inflammatory cell infiltration, while a white arrow in the second row denotes Au@SiO2 NPs.</w:t>
      </w:r>
      <w:r w:rsidR="0082729B" w:rsidRPr="00066298">
        <w:rPr>
          <w:rFonts w:eastAsia="PMingLiU" w:cs="Calibri"/>
          <w:iCs/>
          <w:color w:val="000000"/>
        </w:rPr>
        <w:t xml:space="preserve"> </w:t>
      </w:r>
      <w:r w:rsidRPr="00066298">
        <w:rPr>
          <w:rFonts w:eastAsia="DFKai-SB" w:cs="Arial"/>
          <w:color w:val="000000"/>
          <w:szCs w:val="20"/>
        </w:rPr>
        <w:t xml:space="preserve">Scale bar: </w:t>
      </w:r>
      <w:r w:rsidRPr="00066298">
        <w:rPr>
          <w:rFonts w:eastAsiaTheme="majorEastAsia" w:cstheme="minorHAnsi"/>
          <w:bCs/>
          <w:color w:val="000000"/>
        </w:rPr>
        <w:t xml:space="preserve">50 </w:t>
      </w:r>
      <w:r w:rsidRPr="00066298">
        <w:rPr>
          <w:rFonts w:eastAsiaTheme="majorEastAsia" w:cstheme="minorHAnsi"/>
          <w:bCs/>
          <w:color w:val="000000"/>
        </w:rPr>
        <w:sym w:font="Symbol" w:char="F06D"/>
      </w:r>
      <w:r w:rsidRPr="00066298">
        <w:rPr>
          <w:rFonts w:eastAsiaTheme="majorEastAsia" w:cstheme="minorHAnsi"/>
          <w:bCs/>
          <w:color w:val="000000"/>
        </w:rPr>
        <w:t>m</w:t>
      </w:r>
      <w:r w:rsidRPr="00066298">
        <w:rPr>
          <w:rFonts w:eastAsia="DFKai-SB" w:cs="Arial"/>
          <w:color w:val="000000"/>
          <w:szCs w:val="20"/>
        </w:rPr>
        <w:t>.</w:t>
      </w:r>
      <w:r w:rsidR="0082729B" w:rsidRPr="00066298">
        <w:rPr>
          <w:rFonts w:eastAsia="PMingLiU" w:cs="Calibri"/>
          <w:iCs/>
          <w:color w:val="000000"/>
        </w:rPr>
        <w:br w:type="page"/>
      </w:r>
    </w:p>
    <w:p w14:paraId="486A2496" w14:textId="4A391F7B" w:rsidR="00EF4683" w:rsidRPr="00066298" w:rsidRDefault="000642F4" w:rsidP="006A5738">
      <w:pPr>
        <w:ind w:rightChars="-170" w:right="-340"/>
        <w:rPr>
          <w:rFonts w:eastAsia="DFKai-SB" w:cs="Arial"/>
          <w:color w:val="000000"/>
          <w:szCs w:val="20"/>
        </w:rPr>
      </w:pPr>
      <w:r w:rsidRPr="00066298">
        <w:rPr>
          <w:rFonts w:eastAsia="DFKai-SB" w:cs="Arial"/>
          <w:noProof/>
          <w:color w:val="000000"/>
          <w:szCs w:val="20"/>
          <w:lang w:eastAsia="zh-TW"/>
        </w:rPr>
        <w:lastRenderedPageBreak/>
        <w:drawing>
          <wp:inline distT="0" distB="0" distL="0" distR="0" wp14:anchorId="3C98EA5D" wp14:editId="32B09B7C">
            <wp:extent cx="5486400" cy="4520403"/>
            <wp:effectExtent l="0" t="0" r="0" b="0"/>
            <wp:docPr id="25" name="圖片 25" descr="D:\03 研究資料夾\05 Liu\小敏-AuSiO2 in GBM\20231111submit\Supp 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3 研究資料夾\05 Liu\小敏-AuSiO2 in GBM\20231111submit\Supp Figure 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4D9D" w14:textId="5BB58E36" w:rsidR="00B14620" w:rsidRPr="00066298" w:rsidRDefault="0068275E" w:rsidP="0082729B">
      <w:pPr>
        <w:jc w:val="both"/>
        <w:rPr>
          <w:color w:val="000000"/>
        </w:rPr>
      </w:pPr>
      <w:r w:rsidRPr="00066298">
        <w:rPr>
          <w:rFonts w:eastAsia="PMingLiU" w:cs="Calibri"/>
          <w:b/>
          <w:bCs/>
          <w:color w:val="000000"/>
        </w:rPr>
        <w:t>Figure S</w:t>
      </w:r>
      <w:r w:rsidR="001E0420" w:rsidRPr="00066298">
        <w:rPr>
          <w:rFonts w:eastAsia="PMingLiU" w:cs="Calibri"/>
          <w:b/>
          <w:bCs/>
          <w:color w:val="000000"/>
        </w:rPr>
        <w:t>2</w:t>
      </w:r>
      <w:r w:rsidRPr="00066298">
        <w:rPr>
          <w:rFonts w:eastAsia="PMingLiU" w:cs="Calibri"/>
          <w:b/>
          <w:bCs/>
          <w:color w:val="000000"/>
        </w:rPr>
        <w:tab/>
      </w:r>
      <w:r w:rsidR="00EF4683" w:rsidRPr="00066298">
        <w:rPr>
          <w:rFonts w:eastAsia="PMingLiU" w:cs="Calibri"/>
          <w:b/>
          <w:bCs/>
          <w:color w:val="000000"/>
        </w:rPr>
        <w:t>Flow cytometry quantification of splenic CD8</w:t>
      </w:r>
      <w:r w:rsidR="00EF4683" w:rsidRPr="00066298">
        <w:rPr>
          <w:rFonts w:eastAsia="PMingLiU" w:cs="Calibri"/>
          <w:b/>
          <w:color w:val="000000"/>
          <w:vertAlign w:val="superscript"/>
        </w:rPr>
        <w:t>+</w:t>
      </w:r>
      <w:r w:rsidR="00EF4683" w:rsidRPr="00066298">
        <w:rPr>
          <w:rFonts w:eastAsia="PMingLiU" w:cs="Calibri"/>
          <w:b/>
          <w:bCs/>
          <w:color w:val="000000"/>
        </w:rPr>
        <w:t xml:space="preserve"> T Cells in mice receiving different treatments. </w:t>
      </w:r>
      <w:r w:rsidR="00EF4683" w:rsidRPr="00066298">
        <w:rPr>
          <w:rFonts w:eastAsia="PMingLiU" w:cs="Calibri"/>
          <w:iCs/>
          <w:color w:val="000000"/>
        </w:rPr>
        <w:t>α</w:t>
      </w:r>
      <w:r w:rsidR="00EF4683" w:rsidRPr="00066298">
        <w:rPr>
          <w:rFonts w:eastAsia="PMingLiU" w:cs="Calibri"/>
          <w:color w:val="000000"/>
        </w:rPr>
        <w:t>-PD-L1 at a dose of 10 mg/kg, Au@SiO</w:t>
      </w:r>
      <w:r w:rsidR="00EF4683" w:rsidRPr="00066298">
        <w:rPr>
          <w:rFonts w:eastAsia="PMingLiU" w:cs="Calibri"/>
          <w:color w:val="000000"/>
          <w:vertAlign w:val="subscript"/>
        </w:rPr>
        <w:t>2</w:t>
      </w:r>
      <w:r w:rsidR="00EF4683" w:rsidRPr="00066298">
        <w:rPr>
          <w:rFonts w:eastAsia="PMingLiU" w:cs="Calibri"/>
          <w:color w:val="000000"/>
        </w:rPr>
        <w:t xml:space="preserve"> NPs at a dose of 1 mg/kg, and X-ray irradiation (XR) with a single fraction of 6 MeV photons at a dose of 2 Gray.</w:t>
      </w:r>
    </w:p>
    <w:sectPr w:rsidR="00B14620" w:rsidRPr="00066298" w:rsidSect="00C94612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1F23" w14:textId="77777777" w:rsidR="00255CB2" w:rsidRDefault="00255CB2">
      <w:r>
        <w:separator/>
      </w:r>
    </w:p>
  </w:endnote>
  <w:endnote w:type="continuationSeparator" w:id="0">
    <w:p w14:paraId="78121AC0" w14:textId="77777777" w:rsidR="00255CB2" w:rsidRDefault="0025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CE6465" w:rsidRDefault="00CE646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CE6465" w:rsidRDefault="00CE6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7A16EB93" w:rsidR="00CE6465" w:rsidRDefault="00CE646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50F2F9E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CE6465" w:rsidRPr="00740F67" w:rsidRDefault="00CE646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" o:allowincell="f" filled="f" stroked="f">
              <v:textbox inset="20pt,0,,0">
                <w:txbxContent>
                  <w:p w14:paraId="5CBE7705" w14:textId="11E8F27B" w:rsidR="00CE6465" w:rsidRPr="00740F67" w:rsidRDefault="00CE646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2E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E037CD" w14:textId="77777777" w:rsidR="00CE6465" w:rsidRDefault="00CE6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07E01C7F" w:rsidR="00CE6465" w:rsidRDefault="00CE6465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6A5988C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CE6465" w:rsidRPr="00740F67" w:rsidRDefault="00CE646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" o:allowincell="f" filled="f" stroked="f">
              <v:textbox inset="20pt,0,,0">
                <w:txbxContent>
                  <w:p w14:paraId="640858B6" w14:textId="2F40394D" w:rsidR="00CE6465" w:rsidRPr="00740F67" w:rsidRDefault="00CE646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7A36" w14:textId="77777777" w:rsidR="00255CB2" w:rsidRDefault="00255CB2">
      <w:r>
        <w:separator/>
      </w:r>
    </w:p>
  </w:footnote>
  <w:footnote w:type="continuationSeparator" w:id="0">
    <w:p w14:paraId="6D999646" w14:textId="77777777" w:rsidR="00255CB2" w:rsidRDefault="0025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692736">
    <w:abstractNumId w:val="1"/>
  </w:num>
  <w:num w:numId="2" w16cid:durableId="1029601467">
    <w:abstractNumId w:val="2"/>
  </w:num>
  <w:num w:numId="3" w16cid:durableId="1724864936">
    <w:abstractNumId w:val="5"/>
  </w:num>
  <w:num w:numId="4" w16cid:durableId="510682987">
    <w:abstractNumId w:val="3"/>
  </w:num>
  <w:num w:numId="5" w16cid:durableId="255945207">
    <w:abstractNumId w:val="0"/>
  </w:num>
  <w:num w:numId="6" w16cid:durableId="13900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42F4"/>
    <w:rsid w:val="00066298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0312"/>
    <w:rsid w:val="00117777"/>
    <w:rsid w:val="00127CD5"/>
    <w:rsid w:val="00132534"/>
    <w:rsid w:val="00144C1F"/>
    <w:rsid w:val="0017004E"/>
    <w:rsid w:val="00170F20"/>
    <w:rsid w:val="00173279"/>
    <w:rsid w:val="00182A65"/>
    <w:rsid w:val="001836F7"/>
    <w:rsid w:val="00191F49"/>
    <w:rsid w:val="001D78B3"/>
    <w:rsid w:val="001E0420"/>
    <w:rsid w:val="001E661A"/>
    <w:rsid w:val="001E7479"/>
    <w:rsid w:val="001F00B6"/>
    <w:rsid w:val="00203209"/>
    <w:rsid w:val="00203B54"/>
    <w:rsid w:val="00217D65"/>
    <w:rsid w:val="002237D8"/>
    <w:rsid w:val="00225DDC"/>
    <w:rsid w:val="0022632E"/>
    <w:rsid w:val="00240E76"/>
    <w:rsid w:val="00246A32"/>
    <w:rsid w:val="00255CB2"/>
    <w:rsid w:val="00261B1D"/>
    <w:rsid w:val="00263937"/>
    <w:rsid w:val="00270A96"/>
    <w:rsid w:val="00272487"/>
    <w:rsid w:val="00285503"/>
    <w:rsid w:val="00286E82"/>
    <w:rsid w:val="00294CB0"/>
    <w:rsid w:val="002A2D9E"/>
    <w:rsid w:val="002D1A3E"/>
    <w:rsid w:val="002D2CAD"/>
    <w:rsid w:val="002F4012"/>
    <w:rsid w:val="003155A1"/>
    <w:rsid w:val="00320521"/>
    <w:rsid w:val="00324666"/>
    <w:rsid w:val="00366271"/>
    <w:rsid w:val="0037212B"/>
    <w:rsid w:val="0038573C"/>
    <w:rsid w:val="0038598C"/>
    <w:rsid w:val="0039041E"/>
    <w:rsid w:val="003948EC"/>
    <w:rsid w:val="003A6F39"/>
    <w:rsid w:val="003B4083"/>
    <w:rsid w:val="003B7630"/>
    <w:rsid w:val="003D6955"/>
    <w:rsid w:val="003D69BD"/>
    <w:rsid w:val="003E5848"/>
    <w:rsid w:val="00410570"/>
    <w:rsid w:val="00411796"/>
    <w:rsid w:val="00431388"/>
    <w:rsid w:val="0044045D"/>
    <w:rsid w:val="00473BF1"/>
    <w:rsid w:val="004754C9"/>
    <w:rsid w:val="004774F3"/>
    <w:rsid w:val="004B52C5"/>
    <w:rsid w:val="004C5313"/>
    <w:rsid w:val="004C5DB2"/>
    <w:rsid w:val="004E0368"/>
    <w:rsid w:val="004E2F6D"/>
    <w:rsid w:val="004E782D"/>
    <w:rsid w:val="004E7FEB"/>
    <w:rsid w:val="00511DB2"/>
    <w:rsid w:val="00553800"/>
    <w:rsid w:val="00556F09"/>
    <w:rsid w:val="005646FC"/>
    <w:rsid w:val="00565970"/>
    <w:rsid w:val="005A6431"/>
    <w:rsid w:val="005B4A5B"/>
    <w:rsid w:val="005B606B"/>
    <w:rsid w:val="005E1ECB"/>
    <w:rsid w:val="00600B5C"/>
    <w:rsid w:val="0060400B"/>
    <w:rsid w:val="00611C5F"/>
    <w:rsid w:val="00616A5D"/>
    <w:rsid w:val="0062140C"/>
    <w:rsid w:val="00646CF0"/>
    <w:rsid w:val="00660633"/>
    <w:rsid w:val="00661C2D"/>
    <w:rsid w:val="00662E52"/>
    <w:rsid w:val="00664525"/>
    <w:rsid w:val="00667BDF"/>
    <w:rsid w:val="00680193"/>
    <w:rsid w:val="0068275E"/>
    <w:rsid w:val="006A5738"/>
    <w:rsid w:val="006C5368"/>
    <w:rsid w:val="006C58F2"/>
    <w:rsid w:val="006C6E88"/>
    <w:rsid w:val="006D0474"/>
    <w:rsid w:val="006D142F"/>
    <w:rsid w:val="006D4AC5"/>
    <w:rsid w:val="006E4A5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0069"/>
    <w:rsid w:val="0082729B"/>
    <w:rsid w:val="00827FC5"/>
    <w:rsid w:val="00852799"/>
    <w:rsid w:val="00861827"/>
    <w:rsid w:val="008779B4"/>
    <w:rsid w:val="0088598F"/>
    <w:rsid w:val="00887016"/>
    <w:rsid w:val="00893581"/>
    <w:rsid w:val="008A08C0"/>
    <w:rsid w:val="008A4036"/>
    <w:rsid w:val="008A52A5"/>
    <w:rsid w:val="008B1EDB"/>
    <w:rsid w:val="008B697C"/>
    <w:rsid w:val="008B7A3E"/>
    <w:rsid w:val="008B7AD5"/>
    <w:rsid w:val="008C361E"/>
    <w:rsid w:val="008E3EA8"/>
    <w:rsid w:val="00900663"/>
    <w:rsid w:val="00901244"/>
    <w:rsid w:val="0091401F"/>
    <w:rsid w:val="009147B3"/>
    <w:rsid w:val="009206DC"/>
    <w:rsid w:val="00927DE6"/>
    <w:rsid w:val="009345FC"/>
    <w:rsid w:val="00937F3D"/>
    <w:rsid w:val="00946800"/>
    <w:rsid w:val="009563F4"/>
    <w:rsid w:val="009565D0"/>
    <w:rsid w:val="00956C4D"/>
    <w:rsid w:val="00982512"/>
    <w:rsid w:val="009828D3"/>
    <w:rsid w:val="00987285"/>
    <w:rsid w:val="00992CB9"/>
    <w:rsid w:val="009A1F5A"/>
    <w:rsid w:val="009B1D02"/>
    <w:rsid w:val="009B1D49"/>
    <w:rsid w:val="009D3AD0"/>
    <w:rsid w:val="009F31C3"/>
    <w:rsid w:val="00A10913"/>
    <w:rsid w:val="00A20FFB"/>
    <w:rsid w:val="00A353ED"/>
    <w:rsid w:val="00A3756A"/>
    <w:rsid w:val="00A445D7"/>
    <w:rsid w:val="00A6170F"/>
    <w:rsid w:val="00A63CD7"/>
    <w:rsid w:val="00A67475"/>
    <w:rsid w:val="00A70251"/>
    <w:rsid w:val="00A90A5E"/>
    <w:rsid w:val="00AB389E"/>
    <w:rsid w:val="00AB47E4"/>
    <w:rsid w:val="00AB5CA9"/>
    <w:rsid w:val="00AC1F93"/>
    <w:rsid w:val="00AC5480"/>
    <w:rsid w:val="00AC67A4"/>
    <w:rsid w:val="00AD76B0"/>
    <w:rsid w:val="00AE5062"/>
    <w:rsid w:val="00B14620"/>
    <w:rsid w:val="00B26A6E"/>
    <w:rsid w:val="00B30BC3"/>
    <w:rsid w:val="00B57C75"/>
    <w:rsid w:val="00B661C4"/>
    <w:rsid w:val="00B7570E"/>
    <w:rsid w:val="00B82724"/>
    <w:rsid w:val="00B86FEB"/>
    <w:rsid w:val="00B96017"/>
    <w:rsid w:val="00BB027B"/>
    <w:rsid w:val="00C43B3D"/>
    <w:rsid w:val="00C548FC"/>
    <w:rsid w:val="00C701F9"/>
    <w:rsid w:val="00C94612"/>
    <w:rsid w:val="00CB0023"/>
    <w:rsid w:val="00CC1ADF"/>
    <w:rsid w:val="00CD758F"/>
    <w:rsid w:val="00CE6465"/>
    <w:rsid w:val="00CE79D7"/>
    <w:rsid w:val="00CE7DDC"/>
    <w:rsid w:val="00CF34AD"/>
    <w:rsid w:val="00D00B4B"/>
    <w:rsid w:val="00D10823"/>
    <w:rsid w:val="00D20F53"/>
    <w:rsid w:val="00D50641"/>
    <w:rsid w:val="00D51863"/>
    <w:rsid w:val="00D57786"/>
    <w:rsid w:val="00D578A6"/>
    <w:rsid w:val="00D700C3"/>
    <w:rsid w:val="00D7204D"/>
    <w:rsid w:val="00D76203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C0D75"/>
    <w:rsid w:val="00ED4D96"/>
    <w:rsid w:val="00EE0017"/>
    <w:rsid w:val="00EE2FBA"/>
    <w:rsid w:val="00EF2102"/>
    <w:rsid w:val="00EF4683"/>
    <w:rsid w:val="00EF71A2"/>
    <w:rsid w:val="00F03012"/>
    <w:rsid w:val="00F05A9C"/>
    <w:rsid w:val="00F05E46"/>
    <w:rsid w:val="00F0699C"/>
    <w:rsid w:val="00F16121"/>
    <w:rsid w:val="00F210A1"/>
    <w:rsid w:val="00F24210"/>
    <w:rsid w:val="00F41860"/>
    <w:rsid w:val="00F424C5"/>
    <w:rsid w:val="00F543F6"/>
    <w:rsid w:val="00F56A5E"/>
    <w:rsid w:val="00F67733"/>
    <w:rsid w:val="00F70565"/>
    <w:rsid w:val="00F7306D"/>
    <w:rsid w:val="00F82795"/>
    <w:rsid w:val="00F91124"/>
    <w:rsid w:val="00F9503E"/>
    <w:rsid w:val="00FA2EA1"/>
    <w:rsid w:val="00FB32ED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6465"/>
    <w:pPr>
      <w:ind w:left="720"/>
      <w:contextualSpacing/>
    </w:pPr>
  </w:style>
  <w:style w:type="paragraph" w:styleId="Revision">
    <w:name w:val="Revision"/>
    <w:hidden/>
    <w:uiPriority w:val="99"/>
    <w:semiHidden/>
    <w:rsid w:val="009206DC"/>
    <w:rPr>
      <w:rFonts w:ascii="Arial" w:hAnsi="Arial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B763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1513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Shaw, Grace</cp:lastModifiedBy>
  <cp:revision>3</cp:revision>
  <cp:lastPrinted>2009-01-07T21:57:00Z</cp:lastPrinted>
  <dcterms:created xsi:type="dcterms:W3CDTF">2023-11-28T21:59:00Z</dcterms:created>
  <dcterms:modified xsi:type="dcterms:W3CDTF">2023-11-28T21:59:00Z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