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3288" w14:textId="55190CE6" w:rsidR="00AD2C48" w:rsidRPr="00B76970" w:rsidRDefault="005E0B14" w:rsidP="00AD2C48">
      <w:pPr>
        <w:rPr>
          <w:b/>
          <w:bCs/>
        </w:rPr>
      </w:pPr>
      <w:bookmarkStart w:id="0" w:name="_Hlk145582048"/>
      <w:r>
        <w:rPr>
          <w:b/>
          <w:bCs/>
        </w:rPr>
        <w:t xml:space="preserve">Supplemental </w:t>
      </w:r>
      <w:r w:rsidR="00AD2C48" w:rsidRPr="00B76970">
        <w:rPr>
          <w:b/>
          <w:bCs/>
        </w:rPr>
        <w:t xml:space="preserve">Table </w:t>
      </w:r>
      <w:r w:rsidR="006877BB">
        <w:rPr>
          <w:b/>
          <w:bCs/>
        </w:rPr>
        <w:t>1</w:t>
      </w:r>
      <w:r w:rsidR="00AD2C48" w:rsidRPr="00B76970">
        <w:rPr>
          <w:b/>
          <w:bCs/>
        </w:rPr>
        <w:t xml:space="preserve">: </w:t>
      </w:r>
      <w:bookmarkStart w:id="1" w:name="_Hlk94022001"/>
      <w:r w:rsidR="00AD2C48">
        <w:rPr>
          <w:b/>
          <w:bCs/>
        </w:rPr>
        <w:t xml:space="preserve">Codes indicating an </w:t>
      </w:r>
      <w:r w:rsidR="00AD2C48" w:rsidRPr="00B76970">
        <w:rPr>
          <w:b/>
          <w:bCs/>
          <w:color w:val="000000"/>
          <w:sz w:val="22"/>
          <w:szCs w:val="22"/>
          <w:lang w:val="en-US"/>
        </w:rPr>
        <w:t xml:space="preserve">AECOPD </w:t>
      </w:r>
      <w:proofErr w:type="gramStart"/>
      <w:r w:rsidR="00AD2C48" w:rsidRPr="00B76970">
        <w:rPr>
          <w:b/>
          <w:bCs/>
          <w:color w:val="000000"/>
          <w:sz w:val="22"/>
          <w:szCs w:val="22"/>
          <w:lang w:val="en-US"/>
        </w:rPr>
        <w:t>diagnos</w:t>
      </w:r>
      <w:r w:rsidR="0015675D">
        <w:rPr>
          <w:b/>
          <w:bCs/>
          <w:color w:val="000000"/>
          <w:sz w:val="22"/>
          <w:szCs w:val="22"/>
          <w:lang w:val="en-US"/>
        </w:rPr>
        <w:t>i</w:t>
      </w:r>
      <w:r w:rsidR="00AD2C48" w:rsidRPr="00B76970">
        <w:rPr>
          <w:b/>
          <w:bCs/>
          <w:color w:val="000000"/>
          <w:sz w:val="22"/>
          <w:szCs w:val="22"/>
          <w:lang w:val="en-US"/>
        </w:rPr>
        <w:t>s</w:t>
      </w:r>
      <w:proofErr w:type="gramEnd"/>
      <w:r w:rsidR="00AD2C48" w:rsidRPr="00B76970">
        <w:rPr>
          <w:b/>
          <w:bCs/>
          <w:color w:val="000000"/>
          <w:sz w:val="22"/>
          <w:szCs w:val="22"/>
          <w:lang w:val="en-US"/>
        </w:rPr>
        <w:t xml:space="preserve"> </w:t>
      </w:r>
      <w:bookmarkEnd w:id="1"/>
    </w:p>
    <w:tbl>
      <w:tblPr>
        <w:tblW w:w="10350" w:type="dxa"/>
        <w:tblInd w:w="-365" w:type="dxa"/>
        <w:tblLook w:val="04A0" w:firstRow="1" w:lastRow="0" w:firstColumn="1" w:lastColumn="0" w:noHBand="0" w:noVBand="1"/>
      </w:tblPr>
      <w:tblGrid>
        <w:gridCol w:w="1260"/>
        <w:gridCol w:w="3150"/>
        <w:gridCol w:w="5940"/>
      </w:tblGrid>
      <w:tr w:rsidR="00AD2C48" w:rsidRPr="002D38D4" w14:paraId="4BABE7AD" w14:textId="77777777" w:rsidTr="00AD2C48">
        <w:trPr>
          <w:cantSplit/>
          <w:trHeight w:val="256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87C19" w14:textId="75A62681" w:rsidR="00AD2C48" w:rsidRPr="00714716" w:rsidRDefault="00AD2C48" w:rsidP="00AD2C48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Code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04DAC1D" w14:textId="663E4CC4" w:rsidR="00AD2C48" w:rsidRPr="00B76970" w:rsidRDefault="00AD2C48" w:rsidP="00AD2C48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76970">
              <w:rPr>
                <w:b/>
                <w:bCs/>
                <w:color w:val="000000"/>
                <w:sz w:val="22"/>
                <w:szCs w:val="22"/>
                <w:lang w:val="en-US"/>
              </w:rPr>
              <w:t>Condition each code indicate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8FBAD" w14:textId="04E5280E" w:rsidR="00AD2C48" w:rsidRPr="00B76970" w:rsidRDefault="00AD2C48" w:rsidP="00AD2C48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76970">
              <w:rPr>
                <w:b/>
                <w:bCs/>
                <w:color w:val="000000"/>
                <w:sz w:val="22"/>
                <w:szCs w:val="22"/>
                <w:lang w:val="en-US"/>
              </w:rPr>
              <w:t>Description</w:t>
            </w:r>
          </w:p>
        </w:tc>
      </w:tr>
      <w:tr w:rsidR="00AD2C48" w:rsidRPr="002D38D4" w14:paraId="5093C7B3" w14:textId="77777777" w:rsidTr="007C0E3D">
        <w:trPr>
          <w:trHeight w:val="256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B86F54" w14:textId="74E4CA4C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714716">
              <w:rPr>
                <w:b/>
                <w:bCs/>
                <w:color w:val="000000"/>
                <w:sz w:val="22"/>
                <w:szCs w:val="22"/>
                <w:lang w:val="en-US"/>
              </w:rPr>
              <w:t>ICD-9-CM</w:t>
            </w:r>
          </w:p>
        </w:tc>
      </w:tr>
      <w:tr w:rsidR="00AD2C48" w:rsidRPr="002D38D4" w14:paraId="4E146162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E3AACC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491.0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51C0A81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CBF21E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15CE6">
              <w:rPr>
                <w:color w:val="000000"/>
                <w:sz w:val="22"/>
                <w:szCs w:val="22"/>
                <w:lang w:val="en-US"/>
              </w:rPr>
              <w:t>Simple chronic bronchitis</w:t>
            </w:r>
          </w:p>
        </w:tc>
      </w:tr>
      <w:tr w:rsidR="00AD2C48" w:rsidRPr="002D38D4" w14:paraId="0AD6ABAA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E8C96F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491.1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384A98D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69545F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15CE6">
              <w:rPr>
                <w:color w:val="000000"/>
                <w:sz w:val="22"/>
                <w:szCs w:val="22"/>
                <w:lang w:val="en-US"/>
              </w:rPr>
              <w:t>Mucopurulent chronic bronchitis</w:t>
            </w:r>
          </w:p>
        </w:tc>
      </w:tr>
      <w:tr w:rsidR="00AD2C48" w:rsidRPr="002D38D4" w14:paraId="3504DE6A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84427E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491.20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4F7BC48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FEEE33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15CE6">
              <w:rPr>
                <w:color w:val="000000"/>
                <w:sz w:val="22"/>
                <w:szCs w:val="22"/>
                <w:lang w:val="en-US"/>
              </w:rPr>
              <w:t>Obstructive chronic bronchitis without exacerbation</w:t>
            </w:r>
          </w:p>
        </w:tc>
      </w:tr>
      <w:tr w:rsidR="00AD2C48" w:rsidRPr="002D38D4" w14:paraId="5C5B2253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D551B7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491.21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0AC9EB8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51A606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15CE6">
              <w:rPr>
                <w:color w:val="000000"/>
                <w:sz w:val="22"/>
                <w:szCs w:val="22"/>
                <w:lang w:val="en-US"/>
              </w:rPr>
              <w:t>Obstructive chronic bronchitis with (acute) exacerbation</w:t>
            </w:r>
          </w:p>
        </w:tc>
      </w:tr>
      <w:tr w:rsidR="00AD2C48" w:rsidRPr="002D38D4" w14:paraId="68B2C0C7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40A471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491.22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DF1582B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D050A7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15CE6">
              <w:rPr>
                <w:color w:val="000000"/>
                <w:sz w:val="22"/>
                <w:szCs w:val="22"/>
                <w:lang w:val="en-US"/>
              </w:rPr>
              <w:t>Obstructive chronic bronchitis with acute bronchitis</w:t>
            </w:r>
          </w:p>
        </w:tc>
      </w:tr>
      <w:tr w:rsidR="00AD2C48" w:rsidRPr="002D38D4" w14:paraId="1C3710C8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9A6F48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491.8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BABE098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D3ECFA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15CE6">
              <w:rPr>
                <w:color w:val="000000"/>
                <w:sz w:val="22"/>
                <w:szCs w:val="22"/>
                <w:lang w:val="en-US"/>
              </w:rPr>
              <w:t>Other chronic bronchitis</w:t>
            </w:r>
          </w:p>
        </w:tc>
      </w:tr>
      <w:tr w:rsidR="00AD2C48" w:rsidRPr="002D38D4" w14:paraId="7D8BE8F6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8B99F5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491.9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19E028E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D4BE0D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15CE6">
              <w:rPr>
                <w:color w:val="000000"/>
                <w:sz w:val="22"/>
                <w:szCs w:val="22"/>
                <w:lang w:val="en-US"/>
              </w:rPr>
              <w:t>Unspecified chronic bronchitis</w:t>
            </w:r>
          </w:p>
        </w:tc>
      </w:tr>
      <w:tr w:rsidR="00AD2C48" w:rsidRPr="002D38D4" w14:paraId="2DF09BC2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752976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492.0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8C49D0F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CA38C5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15CE6">
              <w:rPr>
                <w:color w:val="000000"/>
                <w:sz w:val="22"/>
                <w:szCs w:val="22"/>
                <w:lang w:val="en-US"/>
              </w:rPr>
              <w:t>Emphysematous bleb</w:t>
            </w:r>
          </w:p>
        </w:tc>
      </w:tr>
      <w:tr w:rsidR="00AD2C48" w:rsidRPr="002D38D4" w14:paraId="4ECE8A70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94322E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492.8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A55B3E1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E275D1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15CE6">
              <w:rPr>
                <w:color w:val="000000"/>
                <w:sz w:val="22"/>
                <w:szCs w:val="22"/>
                <w:lang w:val="en-US"/>
              </w:rPr>
              <w:t>Other emphysema</w:t>
            </w:r>
          </w:p>
        </w:tc>
      </w:tr>
      <w:tr w:rsidR="00AD2C48" w:rsidRPr="002D38D4" w14:paraId="44098BC3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A1CC21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E2103A1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94F1B5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15CE6">
              <w:rPr>
                <w:color w:val="000000"/>
                <w:sz w:val="22"/>
                <w:szCs w:val="22"/>
                <w:lang w:val="en-US"/>
              </w:rPr>
              <w:t>Chronic airway obstruction, not elsewhere classified</w:t>
            </w:r>
          </w:p>
        </w:tc>
      </w:tr>
      <w:tr w:rsidR="00AD2C48" w:rsidRPr="002D38D4" w14:paraId="299C6541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439DF8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493.02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60FFCAC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BE4BEB"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5D3A90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352597">
              <w:rPr>
                <w:color w:val="000000"/>
                <w:sz w:val="22"/>
                <w:szCs w:val="22"/>
                <w:lang w:val="en-US"/>
              </w:rPr>
              <w:t>Extrinsic asthma with (acute) exacerbation</w:t>
            </w:r>
          </w:p>
        </w:tc>
      </w:tr>
      <w:tr w:rsidR="00AD2C48" w:rsidRPr="002D38D4" w14:paraId="058059D0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E53844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493.12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7AC77BF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BE4BEB"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7ABBB8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352597">
              <w:rPr>
                <w:color w:val="000000"/>
                <w:sz w:val="22"/>
                <w:szCs w:val="22"/>
                <w:lang w:val="en-US"/>
              </w:rPr>
              <w:t>Intrinsic asthma with (acute) exacerbation</w:t>
            </w:r>
          </w:p>
        </w:tc>
      </w:tr>
      <w:tr w:rsidR="00AD2C48" w:rsidRPr="002D38D4" w14:paraId="52AD896B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023D7B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493.22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8FD6502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BE4BEB"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18E8F3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352597">
              <w:rPr>
                <w:color w:val="000000"/>
                <w:sz w:val="22"/>
                <w:szCs w:val="22"/>
                <w:lang w:val="en-US"/>
              </w:rPr>
              <w:t>Chronic obstructive asthma with (acute) exacerbatio</w:t>
            </w:r>
            <w:r>
              <w:rPr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AD2C48" w:rsidRPr="002D38D4" w14:paraId="67857BE7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7DB139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493.92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F04D25C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BE4BEB"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0720E2" w14:textId="77777777" w:rsidR="00AD2C48" w:rsidRPr="00D15CE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352597">
              <w:rPr>
                <w:color w:val="000000"/>
                <w:sz w:val="22"/>
                <w:szCs w:val="22"/>
                <w:lang w:val="en-US"/>
              </w:rPr>
              <w:t>Asthma, unspecified type, with (acute) exacerbation</w:t>
            </w:r>
          </w:p>
        </w:tc>
      </w:tr>
      <w:tr w:rsidR="00AD2C48" w:rsidRPr="002D38D4" w14:paraId="4A1332C6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EF4C3A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466.x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54BF17D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7C0686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Acute bronchitis and bronchiolitis</w:t>
            </w:r>
          </w:p>
        </w:tc>
      </w:tr>
      <w:tr w:rsidR="00AD2C48" w:rsidRPr="002D38D4" w14:paraId="4621F6F2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8FA594" w14:textId="77777777" w:rsidR="00AD2C48" w:rsidRPr="00B204C6" w:rsidRDefault="00AD2C48" w:rsidP="001354D7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 w:rsidRPr="00B204C6">
              <w:rPr>
                <w:color w:val="000000"/>
                <w:sz w:val="22"/>
                <w:lang w:val="en-US"/>
              </w:rPr>
              <w:t>494.1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ACFFBD3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FCBE6B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B5061D">
              <w:rPr>
                <w:color w:val="000000"/>
                <w:sz w:val="22"/>
                <w:szCs w:val="22"/>
                <w:lang w:val="en-US"/>
              </w:rPr>
              <w:t>Bronchiectasis with acute exacerbation</w:t>
            </w:r>
          </w:p>
        </w:tc>
      </w:tr>
      <w:tr w:rsidR="00AD2C48" w:rsidRPr="002D38D4" w14:paraId="73C45D8A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0B8738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480.x-488.x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54F38FF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4A7DAD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Pneumonia and influenza</w:t>
            </w:r>
          </w:p>
        </w:tc>
      </w:tr>
      <w:tr w:rsidR="00AD2C48" w:rsidRPr="002D38D4" w14:paraId="2AC4A54E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457589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6BAF318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0CAFE4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Bronchitis, not specified as acute or chronic</w:t>
            </w:r>
          </w:p>
        </w:tc>
      </w:tr>
      <w:tr w:rsidR="00AD2C48" w:rsidRPr="002D38D4" w14:paraId="2D130B9D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067541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518.8x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3CD293C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B3CED9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Other diseases of the lung (including respiratory failure)</w:t>
            </w:r>
          </w:p>
        </w:tc>
      </w:tr>
      <w:tr w:rsidR="00AD2C48" w:rsidRPr="002D38D4" w14:paraId="02667CEA" w14:textId="77777777" w:rsidTr="002455E7">
        <w:trPr>
          <w:trHeight w:val="256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1BF3D8" w14:textId="59682495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714716">
              <w:rPr>
                <w:b/>
                <w:bCs/>
                <w:color w:val="000000"/>
                <w:sz w:val="22"/>
                <w:szCs w:val="22"/>
                <w:lang w:val="en-US"/>
              </w:rPr>
              <w:t>ICD-10-CM</w:t>
            </w:r>
          </w:p>
        </w:tc>
      </w:tr>
      <w:tr w:rsidR="00AD2C48" w:rsidRPr="002D38D4" w14:paraId="3634AACF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D2DB03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J41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2D38D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428D48E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6EFEE0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Simple chronic bronchitis</w:t>
            </w:r>
          </w:p>
        </w:tc>
      </w:tr>
      <w:tr w:rsidR="00AD2C48" w:rsidRPr="002D38D4" w14:paraId="06A80774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8997AD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J41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2D38D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28C7E78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DCAB65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Mucopurulent chronic bronchitis</w:t>
            </w:r>
          </w:p>
        </w:tc>
      </w:tr>
      <w:tr w:rsidR="00AD2C48" w:rsidRPr="002D38D4" w14:paraId="3747E9C9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32A4BC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J41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2D38D4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CE6B7F4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2C0EFD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Mixed simple and mucopurulent chronic bronchitis</w:t>
            </w:r>
          </w:p>
        </w:tc>
      </w:tr>
      <w:tr w:rsidR="00AD2C48" w:rsidRPr="002D38D4" w14:paraId="4D0D5D6A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E090BF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J42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E1DC93A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BD87BE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Unspecified chronic bronchitis</w:t>
            </w:r>
          </w:p>
        </w:tc>
      </w:tr>
      <w:tr w:rsidR="00AD2C48" w:rsidRPr="002D38D4" w14:paraId="235CCF10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C579BC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J43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2D38D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6DBED0C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21D7B3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Unilateral pulmonary emphysema [MacLeod's syndrome]</w:t>
            </w:r>
          </w:p>
        </w:tc>
      </w:tr>
      <w:tr w:rsidR="00AD2C48" w:rsidRPr="002D38D4" w14:paraId="0DDAE092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8054FB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J43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2D38D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848F58D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01104B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D38D4">
              <w:rPr>
                <w:color w:val="000000"/>
                <w:sz w:val="22"/>
                <w:szCs w:val="22"/>
                <w:lang w:val="en-US"/>
              </w:rPr>
              <w:t>Panlobular</w:t>
            </w:r>
            <w:proofErr w:type="spellEnd"/>
            <w:r w:rsidRPr="002D38D4">
              <w:rPr>
                <w:color w:val="000000"/>
                <w:sz w:val="22"/>
                <w:szCs w:val="22"/>
                <w:lang w:val="en-US"/>
              </w:rPr>
              <w:t xml:space="preserve"> emphysema</w:t>
            </w:r>
          </w:p>
        </w:tc>
      </w:tr>
      <w:tr w:rsidR="00AD2C48" w:rsidRPr="002D38D4" w14:paraId="401BA08E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E5F3EB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J43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2D38D4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0CB3EA9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2FAD65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Centrilobular emphysema</w:t>
            </w:r>
          </w:p>
        </w:tc>
      </w:tr>
      <w:tr w:rsidR="00AD2C48" w:rsidRPr="002D38D4" w14:paraId="4599BB99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EB4F82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J43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2D38D4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4563A58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090F39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Other emphysema</w:t>
            </w:r>
          </w:p>
        </w:tc>
      </w:tr>
      <w:tr w:rsidR="00AD2C48" w:rsidRPr="002D38D4" w14:paraId="07CCCF70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BEB7C5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J43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2D38D4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09CDC93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C6F5B4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Emphysema, unspecified</w:t>
            </w:r>
          </w:p>
        </w:tc>
      </w:tr>
      <w:tr w:rsidR="00AD2C48" w:rsidRPr="002D38D4" w14:paraId="6C9B783F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3EB562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J44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2D38D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BC14533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886BC6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Chronic obstructive pulmonary disease with acute lower respiratory infection</w:t>
            </w:r>
          </w:p>
        </w:tc>
      </w:tr>
      <w:tr w:rsidR="00AD2C48" w:rsidRPr="002D38D4" w14:paraId="5BC46640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61099E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J44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2D38D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CBAA845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D64FE8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Chronic obstructive pulmonary disease with (acute) exacerbation</w:t>
            </w:r>
          </w:p>
        </w:tc>
      </w:tr>
      <w:tr w:rsidR="00AD2C48" w:rsidRPr="002D38D4" w14:paraId="74179057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937F8B" w14:textId="77777777" w:rsidR="00AD2C48" w:rsidRPr="00714716" w:rsidRDefault="00AD2C48" w:rsidP="001354D7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J44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2D38D4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D90A640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COPD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46CC46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D38D4">
              <w:rPr>
                <w:color w:val="000000"/>
                <w:sz w:val="22"/>
                <w:szCs w:val="22"/>
                <w:lang w:val="en-US"/>
              </w:rPr>
              <w:t>Chronic obstructive pulmonary disease, unspecified</w:t>
            </w:r>
          </w:p>
        </w:tc>
      </w:tr>
      <w:tr w:rsidR="00AD2C48" w:rsidRPr="002D38D4" w14:paraId="424D6BFB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093D8F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J45.51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88B7CC7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83F8E"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3EB25D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Severe persistent asthma with (acute) exacerbation</w:t>
            </w:r>
          </w:p>
        </w:tc>
      </w:tr>
      <w:tr w:rsidR="00AD2C48" w:rsidRPr="002D38D4" w14:paraId="0AFF44B0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345FFD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J45.902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75344A8" w14:textId="77777777" w:rsidR="00AD2C48" w:rsidRPr="00283F8E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283F8E"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7D890C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Other and unspecified asthma with (acute) exacerbation</w:t>
            </w:r>
          </w:p>
        </w:tc>
      </w:tr>
      <w:tr w:rsidR="00AD2C48" w14:paraId="57EECC8A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FAD7AB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J09.%-J18.%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B30C31E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BA2373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Influenza and pneumonia</w:t>
            </w:r>
          </w:p>
        </w:tc>
      </w:tr>
      <w:tr w:rsidR="00AD2C48" w14:paraId="2ABC1666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29BB32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J45.41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EFF7109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A05A7C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Moderate persistent asthma with (acute) exacerbation</w:t>
            </w:r>
          </w:p>
        </w:tc>
      </w:tr>
      <w:tr w:rsidR="00AD2C48" w14:paraId="6B10B55C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B4083F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J45.31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1AD0D69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E85BA6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AA4E9F">
              <w:rPr>
                <w:color w:val="000000"/>
                <w:sz w:val="22"/>
                <w:szCs w:val="22"/>
                <w:lang w:val="en-US"/>
              </w:rPr>
              <w:t>Mild persistent asthma with (acute) exacerbation</w:t>
            </w:r>
          </w:p>
        </w:tc>
      </w:tr>
      <w:tr w:rsidR="00AD2C48" w14:paraId="7FC80323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0A8441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J45.21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D8098F0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781B9C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AA4E9F">
              <w:rPr>
                <w:color w:val="000000"/>
                <w:sz w:val="22"/>
                <w:szCs w:val="22"/>
                <w:lang w:val="en-US"/>
              </w:rPr>
              <w:t>Mild intermittent asthma with (acute) exacerbation</w:t>
            </w:r>
          </w:p>
        </w:tc>
      </w:tr>
      <w:tr w:rsidR="00AD2C48" w14:paraId="6336AF2C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2D6341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J47.1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3459319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2901CA" w14:textId="77777777" w:rsidR="00AD2C48" w:rsidRPr="00AA4E9F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AA4E9F">
              <w:rPr>
                <w:color w:val="000000"/>
                <w:sz w:val="22"/>
                <w:szCs w:val="22"/>
                <w:lang w:val="en-US"/>
              </w:rPr>
              <w:t>Bronchiectasis with (acute) exacerbation</w:t>
            </w:r>
          </w:p>
        </w:tc>
      </w:tr>
      <w:tr w:rsidR="00AD2C48" w14:paraId="25F30B5B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EB1083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J20.%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BE55027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40A47D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Acute bronchitis</w:t>
            </w:r>
          </w:p>
        </w:tc>
      </w:tr>
      <w:tr w:rsidR="00AD2C48" w:rsidRPr="002D38D4" w14:paraId="64C7CF75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076185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J21.%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E3525C0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F60918" w14:textId="77777777" w:rsidR="00AD2C48" w:rsidRPr="002D38D4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Acute bronchiolitis</w:t>
            </w:r>
          </w:p>
        </w:tc>
      </w:tr>
      <w:tr w:rsidR="00AD2C48" w14:paraId="26081228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6EB15D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J22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1973247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707A13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Unspecified acute lower respiratory infection</w:t>
            </w:r>
          </w:p>
        </w:tc>
      </w:tr>
      <w:tr w:rsidR="00AD2C48" w14:paraId="5697D758" w14:textId="77777777" w:rsidTr="00AD2C48">
        <w:trPr>
          <w:trHeight w:val="2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AD47B3" w14:textId="77777777" w:rsidR="00AD2C48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J96.0% and J96.2%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8A45638" w14:textId="77777777" w:rsidR="00AD2C48" w:rsidRPr="00D30E96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AECOPD if primary diagnosis with COPD secondary diagnosis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8CAB63" w14:textId="77777777" w:rsidR="00AD2C48" w:rsidRPr="00F95EB1" w:rsidRDefault="00AD2C48" w:rsidP="001354D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B76970">
              <w:rPr>
                <w:color w:val="000000"/>
                <w:sz w:val="22"/>
                <w:szCs w:val="22"/>
                <w:lang w:val="en-US"/>
              </w:rPr>
              <w:t>Acute r</w:t>
            </w:r>
            <w:r w:rsidRPr="00F95EB1">
              <w:rPr>
                <w:color w:val="000000"/>
                <w:sz w:val="22"/>
                <w:szCs w:val="22"/>
                <w:lang w:val="en-US"/>
              </w:rPr>
              <w:t>espiratory failure</w:t>
            </w:r>
          </w:p>
        </w:tc>
      </w:tr>
    </w:tbl>
    <w:bookmarkEnd w:id="0"/>
    <w:p w14:paraId="2A831006" w14:textId="51C01A4E" w:rsidR="00AD2C48" w:rsidRDefault="00E2364A">
      <w:pPr>
        <w:spacing w:after="160" w:line="259" w:lineRule="auto"/>
      </w:pPr>
      <w:r w:rsidRPr="007726A8">
        <w:rPr>
          <w:b/>
          <w:bCs/>
          <w:sz w:val="18"/>
          <w:szCs w:val="18"/>
        </w:rPr>
        <w:t>Abbreviations:</w:t>
      </w:r>
      <w:r w:rsidRPr="007726A8">
        <w:rPr>
          <w:sz w:val="18"/>
          <w:szCs w:val="18"/>
        </w:rPr>
        <w:t xml:space="preserve"> </w:t>
      </w:r>
      <w:r w:rsidR="007726A8" w:rsidRPr="007726A8">
        <w:rPr>
          <w:sz w:val="18"/>
          <w:szCs w:val="18"/>
        </w:rPr>
        <w:t>AECOPD, acute exacerbation of chronic obstructive pulmonary disease</w:t>
      </w:r>
      <w:r w:rsidR="007726A8" w:rsidRPr="007726A8">
        <w:rPr>
          <w:sz w:val="18"/>
          <w:szCs w:val="18"/>
        </w:rPr>
        <w:t xml:space="preserve">; </w:t>
      </w:r>
      <w:r w:rsidRPr="007726A8">
        <w:rPr>
          <w:sz w:val="18"/>
          <w:szCs w:val="18"/>
        </w:rPr>
        <w:t>COPD, chronic obstructive pulmonary disease;</w:t>
      </w:r>
      <w:r w:rsidR="007726A8" w:rsidRPr="007726A8">
        <w:rPr>
          <w:sz w:val="18"/>
          <w:szCs w:val="18"/>
        </w:rPr>
        <w:t xml:space="preserve"> ICD-9-CM, International Classification of Diseases, Ninth Revision, Clinical Modification</w:t>
      </w:r>
      <w:r w:rsidRPr="007726A8">
        <w:rPr>
          <w:sz w:val="18"/>
          <w:szCs w:val="18"/>
        </w:rPr>
        <w:t>;</w:t>
      </w:r>
      <w:r w:rsidR="007726A8" w:rsidRPr="007726A8">
        <w:rPr>
          <w:sz w:val="18"/>
          <w:szCs w:val="18"/>
        </w:rPr>
        <w:t xml:space="preserve"> ICD-10-CM, International Classification of Diseases, Tenth Revision, Clinical Modification</w:t>
      </w:r>
      <w:r w:rsidR="00AD2C48">
        <w:br w:type="page"/>
      </w:r>
    </w:p>
    <w:p w14:paraId="62AE0BFC" w14:textId="5376B31F" w:rsidR="00AD2C48" w:rsidRPr="001A2661" w:rsidRDefault="005E0B14" w:rsidP="00AD2C48">
      <w:pPr>
        <w:pStyle w:val="heading2text"/>
        <w:spacing w:after="0"/>
        <w:ind w:left="0"/>
        <w:jc w:val="left"/>
        <w:rPr>
          <w:b/>
          <w:bCs/>
          <w:iCs/>
          <w:szCs w:val="24"/>
        </w:rPr>
      </w:pPr>
      <w:bookmarkStart w:id="2" w:name="Table_5"/>
      <w:bookmarkStart w:id="3" w:name="_Hlk145582113"/>
      <w:r>
        <w:rPr>
          <w:b/>
          <w:bCs/>
          <w:iCs/>
          <w:szCs w:val="24"/>
        </w:rPr>
        <w:lastRenderedPageBreak/>
        <w:t xml:space="preserve">Supplemental </w:t>
      </w:r>
      <w:r w:rsidR="00AD2C48" w:rsidRPr="001A2661">
        <w:rPr>
          <w:b/>
          <w:bCs/>
          <w:iCs/>
          <w:szCs w:val="24"/>
        </w:rPr>
        <w:t xml:space="preserve">Table </w:t>
      </w:r>
      <w:bookmarkEnd w:id="2"/>
      <w:r w:rsidR="006877BB">
        <w:rPr>
          <w:b/>
          <w:bCs/>
          <w:iCs/>
          <w:szCs w:val="24"/>
        </w:rPr>
        <w:t>2</w:t>
      </w:r>
      <w:r w:rsidR="00AD2C48" w:rsidRPr="001A2661">
        <w:rPr>
          <w:b/>
          <w:bCs/>
          <w:iCs/>
          <w:szCs w:val="24"/>
        </w:rPr>
        <w:t xml:space="preserve">: </w:t>
      </w:r>
      <w:bookmarkStart w:id="4" w:name="_Hlk94022042"/>
      <w:r w:rsidR="00AD2C48" w:rsidRPr="001A2661">
        <w:rPr>
          <w:b/>
          <w:bCs/>
          <w:iCs/>
          <w:szCs w:val="24"/>
        </w:rPr>
        <w:t xml:space="preserve">Diagnosis codes used to identify </w:t>
      </w:r>
      <w:r w:rsidR="00AD2C48">
        <w:rPr>
          <w:b/>
          <w:bCs/>
          <w:iCs/>
          <w:szCs w:val="24"/>
        </w:rPr>
        <w:t xml:space="preserve">serious </w:t>
      </w:r>
      <w:r w:rsidR="00AD2C48" w:rsidRPr="001A2661">
        <w:rPr>
          <w:b/>
          <w:bCs/>
          <w:iCs/>
          <w:szCs w:val="24"/>
        </w:rPr>
        <w:t xml:space="preserve">acute CV </w:t>
      </w:r>
      <w:proofErr w:type="gramStart"/>
      <w:r w:rsidR="00AD2C48" w:rsidRPr="001A2661">
        <w:rPr>
          <w:b/>
          <w:bCs/>
          <w:iCs/>
          <w:szCs w:val="24"/>
        </w:rPr>
        <w:t>events</w:t>
      </w:r>
      <w:bookmarkEnd w:id="4"/>
      <w:proofErr w:type="gramEnd"/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1620"/>
        <w:gridCol w:w="1440"/>
        <w:gridCol w:w="1440"/>
        <w:gridCol w:w="5760"/>
      </w:tblGrid>
      <w:tr w:rsidR="00AD2C48" w14:paraId="5C510164" w14:textId="77777777" w:rsidTr="00FA4062">
        <w:trPr>
          <w:cantSplit/>
          <w:tblHeader/>
        </w:trPr>
        <w:tc>
          <w:tcPr>
            <w:tcW w:w="1620" w:type="dxa"/>
            <w:shd w:val="clear" w:color="auto" w:fill="auto"/>
          </w:tcPr>
          <w:p w14:paraId="4A0EBB25" w14:textId="77777777" w:rsidR="00AD2C48" w:rsidRPr="00FA4062" w:rsidRDefault="00AD2C48" w:rsidP="001354D7">
            <w:pPr>
              <w:pStyle w:val="heading2text"/>
              <w:spacing w:after="0"/>
              <w:ind w:left="0"/>
              <w:jc w:val="left"/>
              <w:rPr>
                <w:b/>
                <w:bCs/>
                <w:iCs/>
                <w:szCs w:val="24"/>
              </w:rPr>
            </w:pPr>
            <w:r w:rsidRPr="00FA4062">
              <w:rPr>
                <w:b/>
                <w:bCs/>
                <w:iCs/>
                <w:szCs w:val="24"/>
              </w:rPr>
              <w:t>Condition</w:t>
            </w:r>
          </w:p>
        </w:tc>
        <w:tc>
          <w:tcPr>
            <w:tcW w:w="1440" w:type="dxa"/>
            <w:shd w:val="clear" w:color="auto" w:fill="auto"/>
          </w:tcPr>
          <w:p w14:paraId="322E4E83" w14:textId="77777777" w:rsidR="00AD2C48" w:rsidRPr="00FA4062" w:rsidRDefault="00AD2C48" w:rsidP="001354D7">
            <w:pPr>
              <w:pStyle w:val="heading2text"/>
              <w:spacing w:after="0"/>
              <w:ind w:left="0"/>
              <w:jc w:val="left"/>
              <w:rPr>
                <w:b/>
                <w:bCs/>
                <w:iCs/>
                <w:szCs w:val="24"/>
              </w:rPr>
            </w:pPr>
            <w:r w:rsidRPr="00FA4062">
              <w:rPr>
                <w:b/>
                <w:bCs/>
                <w:iCs/>
                <w:szCs w:val="24"/>
              </w:rPr>
              <w:t>ICD-9-CM codes</w:t>
            </w:r>
          </w:p>
        </w:tc>
        <w:tc>
          <w:tcPr>
            <w:tcW w:w="1440" w:type="dxa"/>
            <w:shd w:val="clear" w:color="auto" w:fill="auto"/>
          </w:tcPr>
          <w:p w14:paraId="3586C9CA" w14:textId="77777777" w:rsidR="00AD2C48" w:rsidRPr="00FA4062" w:rsidRDefault="00AD2C48" w:rsidP="001354D7">
            <w:pPr>
              <w:pStyle w:val="heading2text"/>
              <w:spacing w:after="0"/>
              <w:ind w:left="0"/>
              <w:jc w:val="left"/>
              <w:rPr>
                <w:b/>
                <w:bCs/>
                <w:iCs/>
                <w:szCs w:val="24"/>
              </w:rPr>
            </w:pPr>
            <w:r w:rsidRPr="00FA4062">
              <w:rPr>
                <w:b/>
                <w:bCs/>
                <w:iCs/>
                <w:szCs w:val="24"/>
              </w:rPr>
              <w:t>ICD-10-CM codes</w:t>
            </w:r>
          </w:p>
        </w:tc>
        <w:tc>
          <w:tcPr>
            <w:tcW w:w="5760" w:type="dxa"/>
            <w:shd w:val="clear" w:color="auto" w:fill="auto"/>
          </w:tcPr>
          <w:p w14:paraId="0EF807D4" w14:textId="77777777" w:rsidR="00AD2C48" w:rsidRPr="00FA4062" w:rsidRDefault="00AD2C48" w:rsidP="001354D7">
            <w:pPr>
              <w:pStyle w:val="heading2text"/>
              <w:spacing w:after="0"/>
              <w:ind w:left="0"/>
              <w:jc w:val="left"/>
              <w:rPr>
                <w:b/>
                <w:bCs/>
                <w:iCs/>
                <w:szCs w:val="24"/>
              </w:rPr>
            </w:pPr>
            <w:r w:rsidRPr="00FA4062">
              <w:rPr>
                <w:b/>
                <w:bCs/>
                <w:iCs/>
                <w:szCs w:val="24"/>
              </w:rPr>
              <w:t>Definition</w:t>
            </w:r>
          </w:p>
        </w:tc>
      </w:tr>
      <w:tr w:rsidR="00AD2C48" w14:paraId="45616746" w14:textId="77777777" w:rsidTr="00AD2C48">
        <w:tc>
          <w:tcPr>
            <w:tcW w:w="1620" w:type="dxa"/>
            <w:vMerge w:val="restart"/>
          </w:tcPr>
          <w:p w14:paraId="2AAF4E11" w14:textId="14BA5E8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 xml:space="preserve">Acute </w:t>
            </w:r>
            <w:r w:rsidR="00E2364A">
              <w:rPr>
                <w:iCs/>
                <w:sz w:val="22"/>
                <w:szCs w:val="22"/>
              </w:rPr>
              <w:t>myocardial infarction</w:t>
            </w:r>
          </w:p>
        </w:tc>
        <w:tc>
          <w:tcPr>
            <w:tcW w:w="1440" w:type="dxa"/>
          </w:tcPr>
          <w:p w14:paraId="2252BBD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410.X</w:t>
            </w:r>
          </w:p>
        </w:tc>
        <w:tc>
          <w:tcPr>
            <w:tcW w:w="1440" w:type="dxa"/>
          </w:tcPr>
          <w:p w14:paraId="5AFDF76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I21.%</w:t>
            </w:r>
          </w:p>
        </w:tc>
        <w:tc>
          <w:tcPr>
            <w:tcW w:w="5760" w:type="dxa"/>
          </w:tcPr>
          <w:p w14:paraId="5C084C3B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Acute myocardial infarction</w:t>
            </w:r>
          </w:p>
        </w:tc>
      </w:tr>
      <w:tr w:rsidR="00AD2C48" w14:paraId="7B609757" w14:textId="77777777" w:rsidTr="00AD2C48">
        <w:tc>
          <w:tcPr>
            <w:tcW w:w="1620" w:type="dxa"/>
            <w:vMerge/>
          </w:tcPr>
          <w:p w14:paraId="44C3BB3A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23F26EE6" w14:textId="77777777" w:rsidR="00AD2C48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26952454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I22.%</w:t>
            </w:r>
          </w:p>
        </w:tc>
        <w:tc>
          <w:tcPr>
            <w:tcW w:w="5760" w:type="dxa"/>
          </w:tcPr>
          <w:p w14:paraId="429F7BE3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Subsequent myocardial infarction</w:t>
            </w:r>
          </w:p>
        </w:tc>
      </w:tr>
      <w:tr w:rsidR="00AD2C48" w14:paraId="3C0F13AE" w14:textId="77777777" w:rsidTr="00AD2C48">
        <w:tc>
          <w:tcPr>
            <w:tcW w:w="1620" w:type="dxa"/>
            <w:vMerge w:val="restart"/>
          </w:tcPr>
          <w:p w14:paraId="439AE9A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Unstable angina</w:t>
            </w:r>
          </w:p>
        </w:tc>
        <w:tc>
          <w:tcPr>
            <w:tcW w:w="1440" w:type="dxa"/>
          </w:tcPr>
          <w:p w14:paraId="29038277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411.1</w:t>
            </w:r>
          </w:p>
        </w:tc>
        <w:tc>
          <w:tcPr>
            <w:tcW w:w="1440" w:type="dxa"/>
          </w:tcPr>
          <w:p w14:paraId="06B0E94C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4BF2C8D3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Intermediate coronary syndrome</w:t>
            </w:r>
          </w:p>
        </w:tc>
      </w:tr>
      <w:tr w:rsidR="00AD2C48" w14:paraId="4A8EE0A7" w14:textId="77777777" w:rsidTr="00AD2C48">
        <w:tc>
          <w:tcPr>
            <w:tcW w:w="1620" w:type="dxa"/>
            <w:vMerge/>
          </w:tcPr>
          <w:p w14:paraId="2972C990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3AB5A80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FBBBB63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sz w:val="22"/>
                <w:szCs w:val="22"/>
              </w:rPr>
              <w:t>I20.0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010AB77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Atherosclerosis of autologous artery coronary artery bypass graft(s) with unstable angina pectoris</w:t>
            </w:r>
          </w:p>
        </w:tc>
      </w:tr>
      <w:tr w:rsidR="00AD2C48" w14:paraId="0ED39BD7" w14:textId="77777777" w:rsidTr="00AD2C48">
        <w:tc>
          <w:tcPr>
            <w:tcW w:w="1620" w:type="dxa"/>
            <w:vMerge/>
          </w:tcPr>
          <w:p w14:paraId="664D3A36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BF17C3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414.01</w:t>
            </w:r>
          </w:p>
        </w:tc>
        <w:tc>
          <w:tcPr>
            <w:tcW w:w="1440" w:type="dxa"/>
          </w:tcPr>
          <w:p w14:paraId="2CFF6E21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sz w:val="22"/>
                <w:szCs w:val="22"/>
              </w:rPr>
              <w:t>I25.110</w:t>
            </w:r>
          </w:p>
        </w:tc>
        <w:tc>
          <w:tcPr>
            <w:tcW w:w="5760" w:type="dxa"/>
          </w:tcPr>
          <w:p w14:paraId="5E30BD1B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 xml:space="preserve">Atherosclerotic heart disease of </w:t>
            </w:r>
            <w:r>
              <w:rPr>
                <w:iCs/>
                <w:sz w:val="22"/>
                <w:szCs w:val="22"/>
              </w:rPr>
              <w:t xml:space="preserve">the </w:t>
            </w:r>
            <w:r w:rsidRPr="001A2661">
              <w:rPr>
                <w:iCs/>
                <w:sz w:val="22"/>
                <w:szCs w:val="22"/>
              </w:rPr>
              <w:t>native coronary artery with unstable angina pectoris</w:t>
            </w:r>
          </w:p>
        </w:tc>
      </w:tr>
      <w:tr w:rsidR="00AD2C48" w14:paraId="551AEC38" w14:textId="77777777" w:rsidTr="00AD2C48">
        <w:tc>
          <w:tcPr>
            <w:tcW w:w="1620" w:type="dxa"/>
            <w:vMerge/>
          </w:tcPr>
          <w:p w14:paraId="670E3137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2682E7F8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9763CC">
              <w:rPr>
                <w:sz w:val="22"/>
                <w:szCs w:val="22"/>
              </w:rPr>
              <w:t>414.05</w:t>
            </w:r>
          </w:p>
        </w:tc>
        <w:tc>
          <w:tcPr>
            <w:tcW w:w="1440" w:type="dxa"/>
          </w:tcPr>
          <w:p w14:paraId="0709D888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sz w:val="22"/>
                <w:szCs w:val="22"/>
              </w:rPr>
              <w:t>I25.700</w:t>
            </w:r>
          </w:p>
        </w:tc>
        <w:tc>
          <w:tcPr>
            <w:tcW w:w="5760" w:type="dxa"/>
          </w:tcPr>
          <w:p w14:paraId="1FC49F2B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Atherosclerosis of coronary artery bypass graft(s), unspecified, with unstable angina pectoris</w:t>
            </w:r>
          </w:p>
        </w:tc>
      </w:tr>
      <w:tr w:rsidR="00AD2C48" w14:paraId="11AD9002" w14:textId="77777777" w:rsidTr="00AD2C48">
        <w:tc>
          <w:tcPr>
            <w:tcW w:w="1620" w:type="dxa"/>
            <w:vMerge/>
          </w:tcPr>
          <w:p w14:paraId="04E4F1A5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5E16FD7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414.02</w:t>
            </w:r>
          </w:p>
        </w:tc>
        <w:tc>
          <w:tcPr>
            <w:tcW w:w="1440" w:type="dxa"/>
          </w:tcPr>
          <w:p w14:paraId="3307873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sz w:val="22"/>
                <w:szCs w:val="22"/>
              </w:rPr>
              <w:t>I25.710</w:t>
            </w:r>
          </w:p>
        </w:tc>
        <w:tc>
          <w:tcPr>
            <w:tcW w:w="5760" w:type="dxa"/>
          </w:tcPr>
          <w:p w14:paraId="42DC1F67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Atherosclerosis of autologous vein coronary artery bypass graft(s) with unstable angina pectoris</w:t>
            </w:r>
          </w:p>
        </w:tc>
      </w:tr>
      <w:tr w:rsidR="00AD2C48" w14:paraId="68DC576D" w14:textId="77777777" w:rsidTr="00AD2C48">
        <w:tc>
          <w:tcPr>
            <w:tcW w:w="1620" w:type="dxa"/>
            <w:vMerge/>
          </w:tcPr>
          <w:p w14:paraId="4A7A4B2F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50A3153A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B723308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sz w:val="22"/>
                <w:szCs w:val="22"/>
              </w:rPr>
              <w:t>I25.720</w:t>
            </w:r>
          </w:p>
        </w:tc>
        <w:tc>
          <w:tcPr>
            <w:tcW w:w="5760" w:type="dxa"/>
          </w:tcPr>
          <w:p w14:paraId="071C6F09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Atherosclerosis of autologous artery coronary artery bypass graft(s) with unstable angina pectoris</w:t>
            </w:r>
          </w:p>
        </w:tc>
      </w:tr>
      <w:tr w:rsidR="00AD2C48" w14:paraId="762BDA36" w14:textId="77777777" w:rsidTr="00AD2C48">
        <w:tc>
          <w:tcPr>
            <w:tcW w:w="1620" w:type="dxa"/>
            <w:vMerge/>
          </w:tcPr>
          <w:p w14:paraId="6812E269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784D2FA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9763CC">
              <w:rPr>
                <w:sz w:val="22"/>
                <w:szCs w:val="22"/>
              </w:rPr>
              <w:t>414.03</w:t>
            </w:r>
          </w:p>
        </w:tc>
        <w:tc>
          <w:tcPr>
            <w:tcW w:w="1440" w:type="dxa"/>
          </w:tcPr>
          <w:p w14:paraId="7D9E8BD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sz w:val="22"/>
                <w:szCs w:val="22"/>
              </w:rPr>
              <w:t>I25.730</w:t>
            </w:r>
          </w:p>
        </w:tc>
        <w:tc>
          <w:tcPr>
            <w:tcW w:w="5760" w:type="dxa"/>
          </w:tcPr>
          <w:p w14:paraId="4666F0AC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 xml:space="preserve">Atherosclerosis of </w:t>
            </w:r>
            <w:proofErr w:type="spellStart"/>
            <w:r w:rsidRPr="001A2661">
              <w:rPr>
                <w:iCs/>
                <w:sz w:val="22"/>
                <w:szCs w:val="22"/>
              </w:rPr>
              <w:t>nonautologous</w:t>
            </w:r>
            <w:proofErr w:type="spellEnd"/>
            <w:r w:rsidRPr="001A2661">
              <w:rPr>
                <w:iCs/>
                <w:sz w:val="22"/>
                <w:szCs w:val="22"/>
              </w:rPr>
              <w:t xml:space="preserve"> biological coronary artery bypass graft(s) with unstable angina pectoris</w:t>
            </w:r>
          </w:p>
        </w:tc>
      </w:tr>
      <w:tr w:rsidR="00AD2C48" w14:paraId="77A5E5E6" w14:textId="77777777" w:rsidTr="00AD2C48">
        <w:tc>
          <w:tcPr>
            <w:tcW w:w="1620" w:type="dxa"/>
            <w:vMerge/>
          </w:tcPr>
          <w:p w14:paraId="0B5F40C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043FEC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9763CC">
              <w:rPr>
                <w:sz w:val="22"/>
                <w:szCs w:val="22"/>
              </w:rPr>
              <w:t>414.06</w:t>
            </w:r>
          </w:p>
        </w:tc>
        <w:tc>
          <w:tcPr>
            <w:tcW w:w="1440" w:type="dxa"/>
          </w:tcPr>
          <w:p w14:paraId="2B913FBB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sz w:val="22"/>
                <w:szCs w:val="22"/>
              </w:rPr>
              <w:t>I25.750</w:t>
            </w:r>
          </w:p>
        </w:tc>
        <w:tc>
          <w:tcPr>
            <w:tcW w:w="5760" w:type="dxa"/>
          </w:tcPr>
          <w:p w14:paraId="7E46A7F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Atherosclerosis of native coronary artery of transplanted heart with unstable angina</w:t>
            </w:r>
          </w:p>
        </w:tc>
      </w:tr>
      <w:tr w:rsidR="00AD2C48" w14:paraId="5C22867D" w14:textId="77777777" w:rsidTr="00AD2C48">
        <w:tc>
          <w:tcPr>
            <w:tcW w:w="1620" w:type="dxa"/>
            <w:vMerge/>
          </w:tcPr>
          <w:p w14:paraId="3271937B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4A3390F4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9763CC">
              <w:rPr>
                <w:sz w:val="22"/>
                <w:szCs w:val="22"/>
              </w:rPr>
              <w:t>414.07</w:t>
            </w:r>
          </w:p>
        </w:tc>
        <w:tc>
          <w:tcPr>
            <w:tcW w:w="1440" w:type="dxa"/>
          </w:tcPr>
          <w:p w14:paraId="374CAE1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sz w:val="22"/>
                <w:szCs w:val="22"/>
              </w:rPr>
              <w:t>I25.760</w:t>
            </w:r>
          </w:p>
        </w:tc>
        <w:tc>
          <w:tcPr>
            <w:tcW w:w="5760" w:type="dxa"/>
          </w:tcPr>
          <w:p w14:paraId="13C087B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Atherosclerosis of bypass graft of coronary artery of transplanted heart with unstable angina</w:t>
            </w:r>
          </w:p>
        </w:tc>
      </w:tr>
      <w:tr w:rsidR="00AD2C48" w14:paraId="202FDA0E" w14:textId="77777777" w:rsidTr="00AD2C48">
        <w:tc>
          <w:tcPr>
            <w:tcW w:w="1620" w:type="dxa"/>
            <w:vMerge/>
          </w:tcPr>
          <w:p w14:paraId="338E468C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4353A3B" w14:textId="77777777" w:rsidR="00AD2C48" w:rsidRPr="001A2661" w:rsidRDefault="00AD2C48" w:rsidP="001354D7">
            <w:pPr>
              <w:pStyle w:val="heading2text"/>
              <w:spacing w:after="0"/>
              <w:ind w:left="0"/>
              <w:rPr>
                <w:sz w:val="22"/>
                <w:szCs w:val="22"/>
              </w:rPr>
            </w:pPr>
            <w:r w:rsidRPr="009763CC">
              <w:rPr>
                <w:sz w:val="22"/>
                <w:szCs w:val="22"/>
              </w:rPr>
              <w:t>414.04</w:t>
            </w:r>
          </w:p>
        </w:tc>
        <w:tc>
          <w:tcPr>
            <w:tcW w:w="1440" w:type="dxa"/>
          </w:tcPr>
          <w:p w14:paraId="3907CD50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A2661">
              <w:rPr>
                <w:sz w:val="22"/>
                <w:szCs w:val="22"/>
              </w:rPr>
              <w:t>I25.790</w:t>
            </w:r>
          </w:p>
        </w:tc>
        <w:tc>
          <w:tcPr>
            <w:tcW w:w="5760" w:type="dxa"/>
          </w:tcPr>
          <w:p w14:paraId="7B5C54D8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Atherosclerosis of other coronary artery bypass graft(s) with unstable angina pectoris</w:t>
            </w:r>
          </w:p>
        </w:tc>
      </w:tr>
      <w:tr w:rsidR="00AD2C48" w14:paraId="0B1F1000" w14:textId="77777777" w:rsidTr="00AD2C48">
        <w:tc>
          <w:tcPr>
            <w:tcW w:w="1620" w:type="dxa"/>
            <w:vMerge w:val="restart"/>
          </w:tcPr>
          <w:p w14:paraId="66CD2107" w14:textId="58675806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bookmarkStart w:id="5" w:name="OLE_LINK23"/>
            <w:bookmarkStart w:id="6" w:name="_Hlk84406188"/>
            <w:r w:rsidRPr="001A2661">
              <w:rPr>
                <w:iCs/>
                <w:sz w:val="22"/>
                <w:szCs w:val="22"/>
              </w:rPr>
              <w:t xml:space="preserve">Ischemic </w:t>
            </w:r>
            <w:r w:rsidR="00E2364A">
              <w:rPr>
                <w:iCs/>
                <w:sz w:val="22"/>
                <w:szCs w:val="22"/>
              </w:rPr>
              <w:t>s</w:t>
            </w:r>
            <w:r w:rsidRPr="001A2661">
              <w:rPr>
                <w:iCs/>
                <w:sz w:val="22"/>
                <w:szCs w:val="22"/>
              </w:rPr>
              <w:t>troke</w:t>
            </w:r>
            <w:bookmarkEnd w:id="5"/>
          </w:p>
        </w:tc>
        <w:tc>
          <w:tcPr>
            <w:tcW w:w="1440" w:type="dxa"/>
          </w:tcPr>
          <w:p w14:paraId="6678F07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433.01</w:t>
            </w:r>
          </w:p>
        </w:tc>
        <w:tc>
          <w:tcPr>
            <w:tcW w:w="1440" w:type="dxa"/>
          </w:tcPr>
          <w:p w14:paraId="48AF01A4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7CDED1AF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bookmarkStart w:id="7" w:name="OLE_LINK34"/>
            <w:r>
              <w:rPr>
                <w:sz w:val="22"/>
                <w:szCs w:val="22"/>
              </w:rPr>
              <w:t>Occlusion and stenosis of basilar artery with cerebral infarction</w:t>
            </w:r>
            <w:bookmarkEnd w:id="7"/>
          </w:p>
        </w:tc>
      </w:tr>
      <w:tr w:rsidR="00AD2C48" w14:paraId="792342EA" w14:textId="77777777" w:rsidTr="00AD2C48">
        <w:tc>
          <w:tcPr>
            <w:tcW w:w="1620" w:type="dxa"/>
            <w:vMerge/>
          </w:tcPr>
          <w:p w14:paraId="41B5995B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EC90B3A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433.11</w:t>
            </w:r>
          </w:p>
        </w:tc>
        <w:tc>
          <w:tcPr>
            <w:tcW w:w="1440" w:type="dxa"/>
          </w:tcPr>
          <w:p w14:paraId="31C0A1B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46099844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Occlusion and stenosis of carotid artery with cerebral infarction</w:t>
            </w:r>
          </w:p>
        </w:tc>
      </w:tr>
      <w:tr w:rsidR="00AD2C48" w14:paraId="5AAA022A" w14:textId="77777777" w:rsidTr="00AD2C48">
        <w:tc>
          <w:tcPr>
            <w:tcW w:w="1620" w:type="dxa"/>
            <w:vMerge/>
          </w:tcPr>
          <w:p w14:paraId="58CAFF85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EB97C89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433.21</w:t>
            </w:r>
          </w:p>
        </w:tc>
        <w:tc>
          <w:tcPr>
            <w:tcW w:w="1440" w:type="dxa"/>
          </w:tcPr>
          <w:p w14:paraId="2CEB9133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642E2E10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Occlusion and stenosis of vertebral artery with cerebral infarction</w:t>
            </w:r>
          </w:p>
        </w:tc>
      </w:tr>
      <w:tr w:rsidR="00AD2C48" w14:paraId="365589DB" w14:textId="77777777" w:rsidTr="00AD2C48">
        <w:tc>
          <w:tcPr>
            <w:tcW w:w="1620" w:type="dxa"/>
            <w:vMerge/>
          </w:tcPr>
          <w:p w14:paraId="4721E3B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2ACBBC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433.31</w:t>
            </w:r>
          </w:p>
        </w:tc>
        <w:tc>
          <w:tcPr>
            <w:tcW w:w="1440" w:type="dxa"/>
          </w:tcPr>
          <w:p w14:paraId="56D6D1B9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A388BB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9763CC">
              <w:rPr>
                <w:sz w:val="22"/>
                <w:szCs w:val="22"/>
              </w:rPr>
              <w:t>Occlusion and stenosis of multiple and bilateral precerebral arteries with cerebral infarction</w:t>
            </w:r>
          </w:p>
        </w:tc>
      </w:tr>
      <w:tr w:rsidR="00AD2C48" w14:paraId="2A426184" w14:textId="77777777" w:rsidTr="00AD2C48">
        <w:tc>
          <w:tcPr>
            <w:tcW w:w="1620" w:type="dxa"/>
            <w:vMerge/>
          </w:tcPr>
          <w:p w14:paraId="0A96793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49B5FB77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433.81</w:t>
            </w:r>
          </w:p>
        </w:tc>
        <w:tc>
          <w:tcPr>
            <w:tcW w:w="1440" w:type="dxa"/>
          </w:tcPr>
          <w:p w14:paraId="657CEA0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42C1586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9763CC">
              <w:rPr>
                <w:sz w:val="22"/>
                <w:szCs w:val="22"/>
              </w:rPr>
              <w:t>Occlusion and stenosis of other specified precerebral artery with cerebral infarction</w:t>
            </w:r>
          </w:p>
        </w:tc>
      </w:tr>
      <w:tr w:rsidR="00AD2C48" w14:paraId="0A820695" w14:textId="77777777" w:rsidTr="00AD2C48">
        <w:tc>
          <w:tcPr>
            <w:tcW w:w="1620" w:type="dxa"/>
            <w:vMerge/>
          </w:tcPr>
          <w:p w14:paraId="4FA3C265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5865746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433.91</w:t>
            </w:r>
          </w:p>
        </w:tc>
        <w:tc>
          <w:tcPr>
            <w:tcW w:w="1440" w:type="dxa"/>
          </w:tcPr>
          <w:p w14:paraId="473094B3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2DC570B8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9763CC">
              <w:rPr>
                <w:sz w:val="22"/>
                <w:szCs w:val="22"/>
              </w:rPr>
              <w:t>Occlusion and stenosis of unspecified precerebral artery with cerebral infarction</w:t>
            </w:r>
          </w:p>
        </w:tc>
      </w:tr>
      <w:tr w:rsidR="00AD2C48" w14:paraId="24FBED9E" w14:textId="77777777" w:rsidTr="00AD2C48">
        <w:tc>
          <w:tcPr>
            <w:tcW w:w="1620" w:type="dxa"/>
            <w:vMerge/>
          </w:tcPr>
          <w:p w14:paraId="39433D66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3973F87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434.01</w:t>
            </w:r>
          </w:p>
        </w:tc>
        <w:tc>
          <w:tcPr>
            <w:tcW w:w="1440" w:type="dxa"/>
          </w:tcPr>
          <w:p w14:paraId="3C6D1734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401FF4B7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Cerebral thrombosis with cerebral infarction</w:t>
            </w:r>
          </w:p>
        </w:tc>
      </w:tr>
      <w:tr w:rsidR="00AD2C48" w14:paraId="103E04B2" w14:textId="77777777" w:rsidTr="00AD2C48">
        <w:tc>
          <w:tcPr>
            <w:tcW w:w="1620" w:type="dxa"/>
            <w:vMerge/>
          </w:tcPr>
          <w:p w14:paraId="6FD797C5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CE6447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434.11</w:t>
            </w:r>
          </w:p>
        </w:tc>
        <w:tc>
          <w:tcPr>
            <w:tcW w:w="1440" w:type="dxa"/>
          </w:tcPr>
          <w:p w14:paraId="68DCA83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742D7DBF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9763CC">
              <w:rPr>
                <w:sz w:val="22"/>
                <w:szCs w:val="22"/>
              </w:rPr>
              <w:t>Cerebral embolism with cerebral infarction</w:t>
            </w:r>
          </w:p>
        </w:tc>
      </w:tr>
      <w:tr w:rsidR="00AD2C48" w14:paraId="74960D07" w14:textId="77777777" w:rsidTr="00AD2C48">
        <w:tc>
          <w:tcPr>
            <w:tcW w:w="1620" w:type="dxa"/>
            <w:vMerge/>
          </w:tcPr>
          <w:p w14:paraId="3646E154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583F23F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434.91</w:t>
            </w:r>
          </w:p>
        </w:tc>
        <w:tc>
          <w:tcPr>
            <w:tcW w:w="1440" w:type="dxa"/>
          </w:tcPr>
          <w:p w14:paraId="09547DE6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6EA3F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9763CC">
              <w:rPr>
                <w:sz w:val="22"/>
                <w:szCs w:val="22"/>
              </w:rPr>
              <w:t>Cerebral artery occlusion, unspecified with cerebral infarction</w:t>
            </w:r>
          </w:p>
        </w:tc>
      </w:tr>
      <w:tr w:rsidR="00AD2C48" w14:paraId="26EA7E55" w14:textId="77777777" w:rsidTr="00AD2C48">
        <w:tc>
          <w:tcPr>
            <w:tcW w:w="1620" w:type="dxa"/>
            <w:vMerge/>
          </w:tcPr>
          <w:p w14:paraId="3B7EC9D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0A131B19" w14:textId="77777777" w:rsidR="00AD2C48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346.6X</w:t>
            </w:r>
          </w:p>
        </w:tc>
        <w:tc>
          <w:tcPr>
            <w:tcW w:w="1440" w:type="dxa"/>
          </w:tcPr>
          <w:p w14:paraId="1A03529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C835F44" w14:textId="77777777" w:rsidR="00AD2C48" w:rsidRPr="009763C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Persistent migraine aura with cerebral infarction</w:t>
            </w:r>
          </w:p>
        </w:tc>
      </w:tr>
      <w:bookmarkEnd w:id="6"/>
      <w:tr w:rsidR="00AD2C48" w14:paraId="3AD8E48D" w14:textId="77777777" w:rsidTr="00AD2C48">
        <w:tc>
          <w:tcPr>
            <w:tcW w:w="1620" w:type="dxa"/>
            <w:vMerge/>
          </w:tcPr>
          <w:p w14:paraId="0CFD596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E5C5634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763FE27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I63.%</w:t>
            </w:r>
          </w:p>
        </w:tc>
        <w:tc>
          <w:tcPr>
            <w:tcW w:w="5760" w:type="dxa"/>
          </w:tcPr>
          <w:p w14:paraId="021A025A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A2661">
              <w:rPr>
                <w:sz w:val="22"/>
                <w:szCs w:val="22"/>
              </w:rPr>
              <w:t>Cerebral infarction</w:t>
            </w:r>
          </w:p>
        </w:tc>
      </w:tr>
      <w:tr w:rsidR="00AD2C48" w14:paraId="389BA402" w14:textId="77777777" w:rsidTr="00AD2C48">
        <w:tc>
          <w:tcPr>
            <w:tcW w:w="1620" w:type="dxa"/>
            <w:vMerge/>
          </w:tcPr>
          <w:p w14:paraId="2DC4D55C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339F69F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B7278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bookmarkStart w:id="8" w:name="OLE_LINK20"/>
            <w:r w:rsidRPr="001A2661">
              <w:rPr>
                <w:iCs/>
                <w:sz w:val="22"/>
                <w:szCs w:val="22"/>
              </w:rPr>
              <w:t>G43</w:t>
            </w:r>
            <w:bookmarkEnd w:id="8"/>
            <w:r w:rsidRPr="001A2661">
              <w:rPr>
                <w:iCs/>
                <w:sz w:val="22"/>
                <w:szCs w:val="22"/>
              </w:rPr>
              <w:t>.6</w:t>
            </w:r>
            <w:r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5760" w:type="dxa"/>
          </w:tcPr>
          <w:p w14:paraId="3A751461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Persistent migraine aura with cerebral infarction</w:t>
            </w:r>
          </w:p>
        </w:tc>
      </w:tr>
      <w:tr w:rsidR="00AD2C48" w14:paraId="1F5F9B5C" w14:textId="77777777" w:rsidTr="00AD2C48">
        <w:tc>
          <w:tcPr>
            <w:tcW w:w="1620" w:type="dxa"/>
            <w:vMerge w:val="restart"/>
          </w:tcPr>
          <w:p w14:paraId="45EFA13D" w14:textId="594BEB18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Acute </w:t>
            </w:r>
            <w:r w:rsidR="00E2364A">
              <w:rPr>
                <w:iCs/>
                <w:sz w:val="22"/>
                <w:szCs w:val="22"/>
              </w:rPr>
              <w:t>h</w:t>
            </w:r>
            <w:r>
              <w:rPr>
                <w:iCs/>
                <w:sz w:val="22"/>
                <w:szCs w:val="22"/>
              </w:rPr>
              <w:t>eart failure</w:t>
            </w:r>
          </w:p>
        </w:tc>
        <w:tc>
          <w:tcPr>
            <w:tcW w:w="1440" w:type="dxa"/>
          </w:tcPr>
          <w:p w14:paraId="15098A10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428.X</w:t>
            </w:r>
          </w:p>
        </w:tc>
        <w:tc>
          <w:tcPr>
            <w:tcW w:w="1440" w:type="dxa"/>
          </w:tcPr>
          <w:p w14:paraId="2A0246A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I50.%</w:t>
            </w:r>
          </w:p>
        </w:tc>
        <w:tc>
          <w:tcPr>
            <w:tcW w:w="5760" w:type="dxa"/>
          </w:tcPr>
          <w:p w14:paraId="345E43E6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Heart failure</w:t>
            </w:r>
          </w:p>
        </w:tc>
      </w:tr>
      <w:tr w:rsidR="00AD2C48" w14:paraId="0CB98CDE" w14:textId="77777777" w:rsidTr="00AD2C48">
        <w:tc>
          <w:tcPr>
            <w:tcW w:w="1620" w:type="dxa"/>
            <w:vMerge/>
          </w:tcPr>
          <w:p w14:paraId="31D7D2D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FC15C33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color w:val="000000"/>
              </w:rPr>
              <w:t>402.x1</w:t>
            </w:r>
          </w:p>
        </w:tc>
        <w:tc>
          <w:tcPr>
            <w:tcW w:w="1440" w:type="dxa"/>
          </w:tcPr>
          <w:p w14:paraId="77FAEA4A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I11.0%</w:t>
            </w:r>
          </w:p>
        </w:tc>
        <w:tc>
          <w:tcPr>
            <w:tcW w:w="5760" w:type="dxa"/>
          </w:tcPr>
          <w:p w14:paraId="6FFB09F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34AB6">
              <w:rPr>
                <w:sz w:val="22"/>
                <w:szCs w:val="22"/>
              </w:rPr>
              <w:t>Hypertensive heart disease with heart failure</w:t>
            </w:r>
          </w:p>
        </w:tc>
      </w:tr>
      <w:tr w:rsidR="00AD2C48" w14:paraId="60CFD678" w14:textId="77777777" w:rsidTr="00AD2C48">
        <w:tc>
          <w:tcPr>
            <w:tcW w:w="1620" w:type="dxa"/>
            <w:vMerge/>
          </w:tcPr>
          <w:p w14:paraId="455DCF2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AE1E9D5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07D46D38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I13.0%</w:t>
            </w:r>
          </w:p>
        </w:tc>
        <w:tc>
          <w:tcPr>
            <w:tcW w:w="5760" w:type="dxa"/>
          </w:tcPr>
          <w:p w14:paraId="7B6EB2D7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34AB6">
              <w:rPr>
                <w:sz w:val="22"/>
                <w:szCs w:val="22"/>
              </w:rPr>
              <w:t>Hypertensive heart and chronic kidney disease with heart failure and stage 1 through stage 4 chronic kidney disease, or unspecified chronic kidney disease</w:t>
            </w:r>
          </w:p>
        </w:tc>
      </w:tr>
      <w:tr w:rsidR="00AD2C48" w14:paraId="6038084B" w14:textId="77777777" w:rsidTr="00AD2C48">
        <w:tc>
          <w:tcPr>
            <w:tcW w:w="1620" w:type="dxa"/>
            <w:vMerge/>
          </w:tcPr>
          <w:p w14:paraId="206396E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27A0150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color w:val="000000"/>
              </w:rPr>
              <w:t>404.x1, 404.x3</w:t>
            </w:r>
          </w:p>
        </w:tc>
        <w:tc>
          <w:tcPr>
            <w:tcW w:w="1440" w:type="dxa"/>
          </w:tcPr>
          <w:p w14:paraId="435448FF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I13.2%</w:t>
            </w:r>
          </w:p>
        </w:tc>
        <w:tc>
          <w:tcPr>
            <w:tcW w:w="5760" w:type="dxa"/>
          </w:tcPr>
          <w:p w14:paraId="13813E19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34AB6">
              <w:rPr>
                <w:sz w:val="22"/>
                <w:szCs w:val="22"/>
              </w:rPr>
              <w:t>Hypertensive heart and chronic kidney disease with heart failure and with stage 5 chronic kidney disease, or end stage renal disease</w:t>
            </w:r>
          </w:p>
        </w:tc>
      </w:tr>
      <w:tr w:rsidR="00AD2C48" w14:paraId="2FCAF7BF" w14:textId="77777777" w:rsidTr="00AD2C48">
        <w:tc>
          <w:tcPr>
            <w:tcW w:w="1620" w:type="dxa"/>
            <w:vMerge w:val="restart"/>
          </w:tcPr>
          <w:p w14:paraId="60A2FC76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Pulmonary embolism</w:t>
            </w:r>
            <w:r>
              <w:rPr>
                <w:iCs/>
                <w:sz w:val="22"/>
                <w:szCs w:val="22"/>
              </w:rPr>
              <w:t xml:space="preserve"> and deep vein thrombosis</w:t>
            </w:r>
          </w:p>
        </w:tc>
        <w:tc>
          <w:tcPr>
            <w:tcW w:w="1440" w:type="dxa"/>
          </w:tcPr>
          <w:p w14:paraId="67BC2530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415.1x</w:t>
            </w:r>
          </w:p>
        </w:tc>
        <w:tc>
          <w:tcPr>
            <w:tcW w:w="1440" w:type="dxa"/>
          </w:tcPr>
          <w:p w14:paraId="37EB98FA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64586FE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Acute pulmonary heart disease</w:t>
            </w:r>
          </w:p>
        </w:tc>
      </w:tr>
      <w:tr w:rsidR="00AD2C48" w14:paraId="6A8EFDC7" w14:textId="77777777" w:rsidTr="00AD2C48">
        <w:tc>
          <w:tcPr>
            <w:tcW w:w="1620" w:type="dxa"/>
            <w:vMerge/>
          </w:tcPr>
          <w:p w14:paraId="188F1EA6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45978BF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1E23FE6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1A2661">
              <w:rPr>
                <w:iCs/>
                <w:sz w:val="22"/>
                <w:szCs w:val="22"/>
              </w:rPr>
              <w:t>I26.%</w:t>
            </w:r>
          </w:p>
        </w:tc>
        <w:tc>
          <w:tcPr>
            <w:tcW w:w="5760" w:type="dxa"/>
          </w:tcPr>
          <w:p w14:paraId="3FBA5656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A2661">
              <w:rPr>
                <w:sz w:val="22"/>
                <w:szCs w:val="22"/>
              </w:rPr>
              <w:t>Pulmonary embolism</w:t>
            </w:r>
          </w:p>
        </w:tc>
      </w:tr>
      <w:tr w:rsidR="00AD2C48" w14:paraId="2FC53C14" w14:textId="77777777" w:rsidTr="00AD2C48">
        <w:tc>
          <w:tcPr>
            <w:tcW w:w="1620" w:type="dxa"/>
            <w:vMerge/>
          </w:tcPr>
          <w:p w14:paraId="0AAAA1A6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4F08156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042AD250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7C09AC">
              <w:rPr>
                <w:sz w:val="22"/>
                <w:szCs w:val="22"/>
                <w:lang w:eastAsia="ja-JP"/>
              </w:rPr>
              <w:t>I80.10</w:t>
            </w:r>
          </w:p>
        </w:tc>
        <w:tc>
          <w:tcPr>
            <w:tcW w:w="5760" w:type="dxa"/>
          </w:tcPr>
          <w:p w14:paraId="79D3071F" w14:textId="77777777" w:rsidR="00AD2C48" w:rsidRPr="001A2661" w:rsidRDefault="00AD2C48" w:rsidP="001354D7">
            <w:pPr>
              <w:pStyle w:val="heading2text"/>
              <w:spacing w:after="0"/>
              <w:ind w:left="0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>Phlebitis and thrombophlebitis of femoral vein</w:t>
            </w:r>
          </w:p>
        </w:tc>
      </w:tr>
      <w:tr w:rsidR="00AD2C48" w14:paraId="718F6868" w14:textId="77777777" w:rsidTr="00AD2C48">
        <w:tc>
          <w:tcPr>
            <w:tcW w:w="1620" w:type="dxa"/>
            <w:vMerge/>
          </w:tcPr>
          <w:p w14:paraId="3C9EA30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2CE0521A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BA8923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7C09AC">
              <w:rPr>
                <w:sz w:val="22"/>
                <w:szCs w:val="22"/>
                <w:lang w:eastAsia="ja-JP"/>
              </w:rPr>
              <w:t>I80.209</w:t>
            </w:r>
          </w:p>
        </w:tc>
        <w:tc>
          <w:tcPr>
            <w:tcW w:w="5760" w:type="dxa"/>
          </w:tcPr>
          <w:p w14:paraId="732BC77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>Phlebitis and thrombophlebitis of unspecified deep vessels of unspecified lower extremity</w:t>
            </w:r>
          </w:p>
        </w:tc>
      </w:tr>
      <w:tr w:rsidR="00AD2C48" w14:paraId="06E8C520" w14:textId="77777777" w:rsidTr="00AD2C48">
        <w:tc>
          <w:tcPr>
            <w:tcW w:w="1620" w:type="dxa"/>
            <w:vMerge/>
          </w:tcPr>
          <w:p w14:paraId="25A551B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523BF381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254AEF">
              <w:rPr>
                <w:iCs/>
                <w:sz w:val="22"/>
                <w:szCs w:val="22"/>
              </w:rPr>
              <w:t>451.83</w:t>
            </w:r>
          </w:p>
        </w:tc>
        <w:tc>
          <w:tcPr>
            <w:tcW w:w="1440" w:type="dxa"/>
          </w:tcPr>
          <w:p w14:paraId="60F96D89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5760" w:type="dxa"/>
          </w:tcPr>
          <w:p w14:paraId="5BEBFA28" w14:textId="77777777" w:rsidR="00AD2C48" w:rsidRPr="00057ED3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 xml:space="preserve">Phlebitis and thrombophlebitis of unspecified deep </w:t>
            </w:r>
            <w:r>
              <w:rPr>
                <w:sz w:val="22"/>
                <w:szCs w:val="22"/>
              </w:rPr>
              <w:t>veins of upper extremities</w:t>
            </w:r>
          </w:p>
        </w:tc>
      </w:tr>
      <w:tr w:rsidR="00AD2C48" w14:paraId="020CC08F" w14:textId="77777777" w:rsidTr="00AD2C48">
        <w:tc>
          <w:tcPr>
            <w:tcW w:w="1620" w:type="dxa"/>
            <w:vMerge/>
          </w:tcPr>
          <w:p w14:paraId="2ADF0204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485D1F6E" w14:textId="77777777" w:rsidR="00AD2C48" w:rsidRPr="00254AEF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254AEF">
              <w:rPr>
                <w:iCs/>
                <w:sz w:val="22"/>
                <w:szCs w:val="22"/>
              </w:rPr>
              <w:t>451.84</w:t>
            </w:r>
          </w:p>
        </w:tc>
        <w:tc>
          <w:tcPr>
            <w:tcW w:w="1440" w:type="dxa"/>
          </w:tcPr>
          <w:p w14:paraId="378B9FD8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5760" w:type="dxa"/>
          </w:tcPr>
          <w:p w14:paraId="027FF5FE" w14:textId="77777777" w:rsidR="00AD2C48" w:rsidRPr="00057ED3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 xml:space="preserve">Phlebitis and thrombophlebitis of unspecified deep </w:t>
            </w:r>
            <w:r>
              <w:rPr>
                <w:sz w:val="22"/>
                <w:szCs w:val="22"/>
              </w:rPr>
              <w:t>veins of upper extremities, unspecified</w:t>
            </w:r>
          </w:p>
        </w:tc>
      </w:tr>
      <w:tr w:rsidR="00AD2C48" w14:paraId="3F6EAD60" w14:textId="77777777" w:rsidTr="00AD2C48">
        <w:tc>
          <w:tcPr>
            <w:tcW w:w="1620" w:type="dxa"/>
            <w:vMerge/>
          </w:tcPr>
          <w:p w14:paraId="3E43D2AB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4AF5B4BF" w14:textId="77777777" w:rsidR="00AD2C48" w:rsidRPr="00254AEF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254AEF">
              <w:rPr>
                <w:iCs/>
                <w:sz w:val="22"/>
                <w:szCs w:val="22"/>
              </w:rPr>
              <w:t>451.89</w:t>
            </w:r>
          </w:p>
        </w:tc>
        <w:tc>
          <w:tcPr>
            <w:tcW w:w="1440" w:type="dxa"/>
          </w:tcPr>
          <w:p w14:paraId="4F23D249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5760" w:type="dxa"/>
          </w:tcPr>
          <w:p w14:paraId="2C471EA0" w14:textId="77777777" w:rsidR="00AD2C48" w:rsidRPr="00057ED3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4B68D1">
              <w:rPr>
                <w:sz w:val="22"/>
                <w:szCs w:val="22"/>
              </w:rPr>
              <w:t xml:space="preserve">Phlebitis and thrombophlebitis of </w:t>
            </w:r>
            <w:proofErr w:type="gramStart"/>
            <w:r w:rsidRPr="004B68D1">
              <w:rPr>
                <w:sz w:val="22"/>
                <w:szCs w:val="22"/>
              </w:rPr>
              <w:t>other</w:t>
            </w:r>
            <w:proofErr w:type="gramEnd"/>
            <w:r w:rsidRPr="004B68D1">
              <w:rPr>
                <w:sz w:val="22"/>
                <w:szCs w:val="22"/>
              </w:rPr>
              <w:t xml:space="preserve"> site</w:t>
            </w:r>
          </w:p>
        </w:tc>
      </w:tr>
      <w:tr w:rsidR="00AD2C48" w14:paraId="01359A65" w14:textId="77777777" w:rsidTr="00AD2C48">
        <w:tc>
          <w:tcPr>
            <w:tcW w:w="1620" w:type="dxa"/>
            <w:vMerge/>
          </w:tcPr>
          <w:p w14:paraId="13FE2022" w14:textId="77777777" w:rsidR="00AD2C48" w:rsidRDefault="00AD2C48" w:rsidP="001354D7">
            <w:pPr>
              <w:pStyle w:val="heading2text"/>
              <w:spacing w:after="0"/>
              <w:ind w:left="0"/>
              <w:jc w:val="left"/>
              <w:rPr>
                <w:lang w:eastAsia="ja-JP"/>
              </w:rPr>
            </w:pPr>
          </w:p>
        </w:tc>
        <w:tc>
          <w:tcPr>
            <w:tcW w:w="1440" w:type="dxa"/>
          </w:tcPr>
          <w:p w14:paraId="17236D2E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18"/>
              </w:rPr>
            </w:pPr>
            <w:r w:rsidRPr="007C09AC">
              <w:rPr>
                <w:sz w:val="22"/>
                <w:szCs w:val="18"/>
                <w:lang w:eastAsia="ja-JP"/>
              </w:rPr>
              <w:t>451.9</w:t>
            </w:r>
          </w:p>
        </w:tc>
        <w:tc>
          <w:tcPr>
            <w:tcW w:w="1440" w:type="dxa"/>
          </w:tcPr>
          <w:p w14:paraId="4520335C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5760" w:type="dxa"/>
          </w:tcPr>
          <w:p w14:paraId="7F5F2C5B" w14:textId="77777777" w:rsidR="00AD2C48" w:rsidRPr="004B68D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4B68D1">
              <w:rPr>
                <w:sz w:val="22"/>
                <w:szCs w:val="22"/>
              </w:rPr>
              <w:t xml:space="preserve">Phlebitis and thrombophlebitis of </w:t>
            </w:r>
            <w:r>
              <w:rPr>
                <w:sz w:val="22"/>
                <w:szCs w:val="22"/>
              </w:rPr>
              <w:t>unspecified site</w:t>
            </w:r>
          </w:p>
        </w:tc>
      </w:tr>
      <w:tr w:rsidR="00AD2C48" w14:paraId="6690A23E" w14:textId="77777777" w:rsidTr="00AD2C48">
        <w:tc>
          <w:tcPr>
            <w:tcW w:w="1620" w:type="dxa"/>
            <w:vMerge/>
          </w:tcPr>
          <w:p w14:paraId="0070C79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01A4EC55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18"/>
              </w:rPr>
            </w:pPr>
            <w:r w:rsidRPr="007C09AC">
              <w:rPr>
                <w:sz w:val="22"/>
                <w:szCs w:val="18"/>
                <w:lang w:eastAsia="ja-JP"/>
              </w:rPr>
              <w:t>451.81</w:t>
            </w:r>
          </w:p>
        </w:tc>
        <w:tc>
          <w:tcPr>
            <w:tcW w:w="1440" w:type="dxa"/>
          </w:tcPr>
          <w:p w14:paraId="2F0B3203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I80.219</w:t>
            </w:r>
          </w:p>
        </w:tc>
        <w:tc>
          <w:tcPr>
            <w:tcW w:w="5760" w:type="dxa"/>
          </w:tcPr>
          <w:p w14:paraId="5B8A5FF8" w14:textId="77777777" w:rsidR="00AD2C48" w:rsidRPr="00057ED3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>Phlebitis and thrombophlebitis of unspecified iliac vein</w:t>
            </w:r>
          </w:p>
        </w:tc>
      </w:tr>
      <w:tr w:rsidR="00AD2C48" w14:paraId="6C01FBB8" w14:textId="77777777" w:rsidTr="00AD2C48">
        <w:tc>
          <w:tcPr>
            <w:tcW w:w="1620" w:type="dxa"/>
            <w:vMerge/>
          </w:tcPr>
          <w:p w14:paraId="55AD1151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B7E46BC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18"/>
              </w:rPr>
            </w:pPr>
            <w:r w:rsidRPr="007C09AC">
              <w:rPr>
                <w:sz w:val="22"/>
                <w:szCs w:val="18"/>
                <w:lang w:eastAsia="ja-JP"/>
              </w:rPr>
              <w:t>451.1x, 451.2x</w:t>
            </w:r>
          </w:p>
        </w:tc>
        <w:tc>
          <w:tcPr>
            <w:tcW w:w="1440" w:type="dxa"/>
          </w:tcPr>
          <w:p w14:paraId="666C933B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7C09AC">
              <w:rPr>
                <w:sz w:val="22"/>
                <w:szCs w:val="22"/>
                <w:lang w:eastAsia="ja-JP"/>
              </w:rPr>
              <w:t>I80.3</w:t>
            </w:r>
          </w:p>
        </w:tc>
        <w:tc>
          <w:tcPr>
            <w:tcW w:w="5760" w:type="dxa"/>
          </w:tcPr>
          <w:p w14:paraId="6E591ED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>Phlebitis and thrombophlebitis of lower extremities, unspecified</w:t>
            </w:r>
          </w:p>
        </w:tc>
      </w:tr>
      <w:tr w:rsidR="00AD2C48" w14:paraId="1A4D53B1" w14:textId="77777777" w:rsidTr="00AD2C48">
        <w:tc>
          <w:tcPr>
            <w:tcW w:w="1620" w:type="dxa"/>
            <w:vMerge/>
          </w:tcPr>
          <w:p w14:paraId="2322B05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04D4B6A2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18"/>
              </w:rPr>
            </w:pPr>
          </w:p>
        </w:tc>
        <w:tc>
          <w:tcPr>
            <w:tcW w:w="1440" w:type="dxa"/>
          </w:tcPr>
          <w:p w14:paraId="6F6F05F8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7C09AC">
              <w:rPr>
                <w:sz w:val="22"/>
                <w:szCs w:val="22"/>
                <w:lang w:eastAsia="ja-JP"/>
              </w:rPr>
              <w:t>I80.9</w:t>
            </w:r>
          </w:p>
        </w:tc>
        <w:tc>
          <w:tcPr>
            <w:tcW w:w="5760" w:type="dxa"/>
          </w:tcPr>
          <w:p w14:paraId="1144DFE0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>Phlebitis and thrombophlebitis of unspecified site</w:t>
            </w:r>
          </w:p>
        </w:tc>
      </w:tr>
      <w:tr w:rsidR="00AD2C48" w14:paraId="56FA9CC8" w14:textId="77777777" w:rsidTr="00AD2C48">
        <w:tc>
          <w:tcPr>
            <w:tcW w:w="1620" w:type="dxa"/>
            <w:vMerge/>
          </w:tcPr>
          <w:p w14:paraId="23907370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7A943C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39972E5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I80.8</w:t>
            </w:r>
          </w:p>
        </w:tc>
        <w:tc>
          <w:tcPr>
            <w:tcW w:w="5760" w:type="dxa"/>
          </w:tcPr>
          <w:p w14:paraId="20D99A21" w14:textId="77777777" w:rsidR="00AD2C48" w:rsidRPr="00057ED3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9D71A2">
              <w:rPr>
                <w:sz w:val="22"/>
                <w:szCs w:val="22"/>
              </w:rPr>
              <w:t>Phlebitis and thrombophlebitis of other sites</w:t>
            </w:r>
          </w:p>
        </w:tc>
      </w:tr>
      <w:tr w:rsidR="00AD2C48" w14:paraId="28D42088" w14:textId="77777777" w:rsidTr="00AD2C48">
        <w:tc>
          <w:tcPr>
            <w:tcW w:w="1620" w:type="dxa"/>
            <w:vMerge/>
          </w:tcPr>
          <w:p w14:paraId="675D98B8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0CB8B28C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254AEF">
              <w:rPr>
                <w:iCs/>
                <w:sz w:val="22"/>
                <w:szCs w:val="22"/>
              </w:rPr>
              <w:t>453.82</w:t>
            </w:r>
          </w:p>
        </w:tc>
        <w:tc>
          <w:tcPr>
            <w:tcW w:w="1440" w:type="dxa"/>
          </w:tcPr>
          <w:p w14:paraId="24A66753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I82.4%</w:t>
            </w:r>
          </w:p>
        </w:tc>
        <w:tc>
          <w:tcPr>
            <w:tcW w:w="5760" w:type="dxa"/>
          </w:tcPr>
          <w:p w14:paraId="1ED6930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>Acute embolism and thrombosis of deep veins of lower extremity</w:t>
            </w:r>
          </w:p>
        </w:tc>
      </w:tr>
      <w:tr w:rsidR="00AD2C48" w14:paraId="346058D8" w14:textId="77777777" w:rsidTr="00AD2C48">
        <w:tc>
          <w:tcPr>
            <w:tcW w:w="1620" w:type="dxa"/>
            <w:vMerge/>
          </w:tcPr>
          <w:p w14:paraId="6CF0CDD5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D1548B5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254AEF">
              <w:rPr>
                <w:iCs/>
                <w:sz w:val="22"/>
                <w:szCs w:val="22"/>
              </w:rPr>
              <w:t>453.84</w:t>
            </w:r>
          </w:p>
        </w:tc>
        <w:tc>
          <w:tcPr>
            <w:tcW w:w="1440" w:type="dxa"/>
          </w:tcPr>
          <w:p w14:paraId="649329FC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I82.A1%</w:t>
            </w:r>
          </w:p>
        </w:tc>
        <w:tc>
          <w:tcPr>
            <w:tcW w:w="5760" w:type="dxa"/>
          </w:tcPr>
          <w:p w14:paraId="7CBE877A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>Acute embolism and thrombosis of axillary vein</w:t>
            </w:r>
          </w:p>
        </w:tc>
      </w:tr>
      <w:tr w:rsidR="00AD2C48" w14:paraId="611EC0EF" w14:textId="77777777" w:rsidTr="00AD2C48">
        <w:tc>
          <w:tcPr>
            <w:tcW w:w="1620" w:type="dxa"/>
            <w:vMerge/>
          </w:tcPr>
          <w:p w14:paraId="6F3D2451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17A72D11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03789F8D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I82.62%</w:t>
            </w:r>
          </w:p>
        </w:tc>
        <w:tc>
          <w:tcPr>
            <w:tcW w:w="5760" w:type="dxa"/>
          </w:tcPr>
          <w:p w14:paraId="458D8471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>Acute embolism and thrombosis of deep veins of upper extremity</w:t>
            </w:r>
          </w:p>
        </w:tc>
      </w:tr>
      <w:tr w:rsidR="00AD2C48" w14:paraId="545BAACA" w14:textId="77777777" w:rsidTr="00AD2C48">
        <w:tc>
          <w:tcPr>
            <w:tcW w:w="1620" w:type="dxa"/>
            <w:vMerge/>
          </w:tcPr>
          <w:p w14:paraId="73DC8183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D6185FC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254AEF">
              <w:rPr>
                <w:iCs/>
                <w:sz w:val="22"/>
                <w:szCs w:val="22"/>
              </w:rPr>
              <w:t>453.86</w:t>
            </w:r>
          </w:p>
        </w:tc>
        <w:tc>
          <w:tcPr>
            <w:tcW w:w="1440" w:type="dxa"/>
          </w:tcPr>
          <w:p w14:paraId="515DF714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I82.C1%</w:t>
            </w:r>
          </w:p>
        </w:tc>
        <w:tc>
          <w:tcPr>
            <w:tcW w:w="5760" w:type="dxa"/>
          </w:tcPr>
          <w:p w14:paraId="1CDC8EB6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>Acute embolism and thrombosis of internal jugular vein</w:t>
            </w:r>
          </w:p>
        </w:tc>
      </w:tr>
      <w:tr w:rsidR="00AD2C48" w14:paraId="0DE463C4" w14:textId="77777777" w:rsidTr="00AD2C48">
        <w:tc>
          <w:tcPr>
            <w:tcW w:w="1620" w:type="dxa"/>
            <w:vMerge/>
          </w:tcPr>
          <w:p w14:paraId="5BB3FCF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22FBA988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254AEF">
              <w:rPr>
                <w:iCs/>
                <w:sz w:val="22"/>
                <w:szCs w:val="22"/>
              </w:rPr>
              <w:t>453.85</w:t>
            </w:r>
          </w:p>
        </w:tc>
        <w:tc>
          <w:tcPr>
            <w:tcW w:w="1440" w:type="dxa"/>
          </w:tcPr>
          <w:p w14:paraId="2BA3832D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I82.B1%</w:t>
            </w:r>
          </w:p>
        </w:tc>
        <w:tc>
          <w:tcPr>
            <w:tcW w:w="5760" w:type="dxa"/>
          </w:tcPr>
          <w:p w14:paraId="3AEC14B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>Acute embolism and thrombosis of subclavian vein</w:t>
            </w:r>
          </w:p>
        </w:tc>
      </w:tr>
      <w:tr w:rsidR="00AD2C48" w14:paraId="5F8DAD68" w14:textId="77777777" w:rsidTr="00AD2C48">
        <w:tc>
          <w:tcPr>
            <w:tcW w:w="1620" w:type="dxa"/>
            <w:vMerge/>
          </w:tcPr>
          <w:p w14:paraId="0DD40629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19FD0FF7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254AEF">
              <w:rPr>
                <w:iCs/>
                <w:sz w:val="22"/>
                <w:szCs w:val="22"/>
              </w:rPr>
              <w:t>453.87</w:t>
            </w:r>
          </w:p>
        </w:tc>
        <w:tc>
          <w:tcPr>
            <w:tcW w:w="1440" w:type="dxa"/>
          </w:tcPr>
          <w:p w14:paraId="1C5A2BA2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I82.290</w:t>
            </w:r>
          </w:p>
        </w:tc>
        <w:tc>
          <w:tcPr>
            <w:tcW w:w="5760" w:type="dxa"/>
          </w:tcPr>
          <w:p w14:paraId="4A48A278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4D32F3">
              <w:rPr>
                <w:sz w:val="22"/>
                <w:szCs w:val="22"/>
              </w:rPr>
              <w:t>Acute embolism and thrombosis of other thoracic veins</w:t>
            </w:r>
          </w:p>
        </w:tc>
      </w:tr>
      <w:tr w:rsidR="00AD2C48" w14:paraId="2A05D44B" w14:textId="77777777" w:rsidTr="00AD2C48">
        <w:tc>
          <w:tcPr>
            <w:tcW w:w="1620" w:type="dxa"/>
            <w:vMerge/>
          </w:tcPr>
          <w:p w14:paraId="59426A7D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3FC12FA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5870EB4B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I82.210</w:t>
            </w:r>
          </w:p>
        </w:tc>
        <w:tc>
          <w:tcPr>
            <w:tcW w:w="5760" w:type="dxa"/>
          </w:tcPr>
          <w:p w14:paraId="7EFF7A5A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4D32F3">
              <w:rPr>
                <w:sz w:val="22"/>
                <w:szCs w:val="22"/>
              </w:rPr>
              <w:t>Acute embolism and thrombosis of superior vena cava</w:t>
            </w:r>
          </w:p>
        </w:tc>
      </w:tr>
      <w:tr w:rsidR="00AD2C48" w14:paraId="7267F06F" w14:textId="77777777" w:rsidTr="00AD2C48">
        <w:tc>
          <w:tcPr>
            <w:tcW w:w="1620" w:type="dxa"/>
            <w:vMerge/>
          </w:tcPr>
          <w:p w14:paraId="3CAE15FE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D8E7574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7C09AC">
              <w:rPr>
                <w:iCs/>
                <w:sz w:val="22"/>
                <w:szCs w:val="22"/>
              </w:rPr>
              <w:t>453.83</w:t>
            </w:r>
          </w:p>
        </w:tc>
        <w:tc>
          <w:tcPr>
            <w:tcW w:w="1440" w:type="dxa"/>
          </w:tcPr>
          <w:p w14:paraId="5D3CEE95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I82.60%</w:t>
            </w:r>
          </w:p>
        </w:tc>
        <w:tc>
          <w:tcPr>
            <w:tcW w:w="5760" w:type="dxa"/>
          </w:tcPr>
          <w:p w14:paraId="0599A552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057ED3">
              <w:rPr>
                <w:sz w:val="22"/>
                <w:szCs w:val="22"/>
              </w:rPr>
              <w:t>Acute embolism and thrombosis of unspecified veins of upper extremity</w:t>
            </w:r>
          </w:p>
        </w:tc>
      </w:tr>
      <w:tr w:rsidR="00AD2C48" w14:paraId="07AD1E31" w14:textId="77777777" w:rsidTr="00AD2C48">
        <w:tc>
          <w:tcPr>
            <w:tcW w:w="1620" w:type="dxa"/>
            <w:vMerge/>
          </w:tcPr>
          <w:p w14:paraId="187FD4A1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B0CD32A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7C09AC">
              <w:rPr>
                <w:sz w:val="22"/>
                <w:szCs w:val="22"/>
                <w:lang w:eastAsia="ja-JP"/>
              </w:rPr>
              <w:t>453.89</w:t>
            </w:r>
          </w:p>
        </w:tc>
        <w:tc>
          <w:tcPr>
            <w:tcW w:w="1440" w:type="dxa"/>
          </w:tcPr>
          <w:p w14:paraId="360DF8AE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I82.890</w:t>
            </w:r>
          </w:p>
        </w:tc>
        <w:tc>
          <w:tcPr>
            <w:tcW w:w="5760" w:type="dxa"/>
          </w:tcPr>
          <w:p w14:paraId="5109FFF4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4D32F3">
              <w:rPr>
                <w:sz w:val="22"/>
                <w:szCs w:val="22"/>
              </w:rPr>
              <w:t>Acute embolism and thrombosis of other specified veins</w:t>
            </w:r>
          </w:p>
        </w:tc>
      </w:tr>
      <w:tr w:rsidR="00AD2C48" w14:paraId="04260C2A" w14:textId="77777777" w:rsidTr="00AD2C48">
        <w:tc>
          <w:tcPr>
            <w:tcW w:w="1620" w:type="dxa"/>
            <w:vMerge/>
          </w:tcPr>
          <w:p w14:paraId="176BFC85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24C32F11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7C09AC">
              <w:rPr>
                <w:sz w:val="22"/>
                <w:szCs w:val="22"/>
                <w:lang w:eastAsia="ja-JP"/>
              </w:rPr>
              <w:t>453.9</w:t>
            </w:r>
          </w:p>
        </w:tc>
        <w:tc>
          <w:tcPr>
            <w:tcW w:w="1440" w:type="dxa"/>
          </w:tcPr>
          <w:p w14:paraId="6EF17438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  <w:r w:rsidRPr="007C09AC">
              <w:rPr>
                <w:sz w:val="22"/>
                <w:szCs w:val="22"/>
                <w:lang w:eastAsia="ja-JP"/>
              </w:rPr>
              <w:t>I82.90</w:t>
            </w:r>
          </w:p>
        </w:tc>
        <w:tc>
          <w:tcPr>
            <w:tcW w:w="5760" w:type="dxa"/>
          </w:tcPr>
          <w:p w14:paraId="40046867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4D32F3">
              <w:rPr>
                <w:sz w:val="22"/>
                <w:szCs w:val="22"/>
              </w:rPr>
              <w:t>Acute embolism and thrombosis of unspecified vein</w:t>
            </w:r>
          </w:p>
        </w:tc>
      </w:tr>
      <w:tr w:rsidR="00AD2C48" w14:paraId="6AF8A177" w14:textId="77777777" w:rsidTr="00AD2C48">
        <w:tc>
          <w:tcPr>
            <w:tcW w:w="1620" w:type="dxa"/>
            <w:vMerge/>
          </w:tcPr>
          <w:p w14:paraId="42AD6B71" w14:textId="77777777" w:rsidR="00AD2C48" w:rsidRPr="001A2661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FFB322" w14:textId="77777777" w:rsidR="00AD2C48" w:rsidRDefault="00AD2C48" w:rsidP="001354D7">
            <w:pPr>
              <w:pStyle w:val="heading2text"/>
              <w:spacing w:after="0"/>
              <w:ind w:left="0"/>
              <w:jc w:val="left"/>
              <w:rPr>
                <w:lang w:eastAsia="ja-JP"/>
              </w:rPr>
            </w:pPr>
          </w:p>
        </w:tc>
        <w:tc>
          <w:tcPr>
            <w:tcW w:w="1440" w:type="dxa"/>
          </w:tcPr>
          <w:p w14:paraId="1987D41B" w14:textId="77777777" w:rsidR="00AD2C48" w:rsidRPr="007C09AC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5760" w:type="dxa"/>
          </w:tcPr>
          <w:p w14:paraId="0AE0BE7E" w14:textId="77777777" w:rsidR="00AD2C48" w:rsidRPr="004D32F3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4B68D1">
              <w:rPr>
                <w:sz w:val="22"/>
                <w:szCs w:val="22"/>
              </w:rPr>
              <w:t>Acute venous embolism and thrombosis of deep vessels of lower extremity</w:t>
            </w:r>
          </w:p>
        </w:tc>
      </w:tr>
      <w:tr w:rsidR="00AD2C48" w14:paraId="397AB0B1" w14:textId="77777777" w:rsidTr="00AD2C48">
        <w:tc>
          <w:tcPr>
            <w:tcW w:w="1620" w:type="dxa"/>
            <w:vMerge w:val="restart"/>
          </w:tcPr>
          <w:p w14:paraId="5F574D30" w14:textId="77777777" w:rsidR="00AD2C48" w:rsidRPr="00E764AA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E764AA">
              <w:rPr>
                <w:iCs/>
                <w:sz w:val="22"/>
                <w:szCs w:val="22"/>
              </w:rPr>
              <w:t>Serious cardiac arrhythmia</w:t>
            </w:r>
          </w:p>
        </w:tc>
        <w:tc>
          <w:tcPr>
            <w:tcW w:w="1440" w:type="dxa"/>
          </w:tcPr>
          <w:p w14:paraId="33390720" w14:textId="77777777" w:rsidR="00AD2C48" w:rsidRPr="00E764AA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427.x (except 427.3 and 427.5)</w:t>
            </w:r>
          </w:p>
        </w:tc>
        <w:tc>
          <w:tcPr>
            <w:tcW w:w="1440" w:type="dxa"/>
          </w:tcPr>
          <w:p w14:paraId="2DD3248D" w14:textId="77777777" w:rsidR="00AD2C48" w:rsidRPr="00E764AA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E764AA">
              <w:rPr>
                <w:iCs/>
                <w:sz w:val="22"/>
                <w:szCs w:val="22"/>
              </w:rPr>
              <w:t>I49</w:t>
            </w:r>
            <w:r>
              <w:rPr>
                <w:iCs/>
                <w:sz w:val="22"/>
                <w:szCs w:val="22"/>
              </w:rPr>
              <w:t>.%</w:t>
            </w:r>
          </w:p>
        </w:tc>
        <w:tc>
          <w:tcPr>
            <w:tcW w:w="5760" w:type="dxa"/>
          </w:tcPr>
          <w:p w14:paraId="182E0B78" w14:textId="77777777" w:rsidR="00AD2C48" w:rsidRPr="00EC31C9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Other cardiac arrhythmias</w:t>
            </w:r>
          </w:p>
        </w:tc>
      </w:tr>
      <w:tr w:rsidR="00AD2C48" w14:paraId="73FB7964" w14:textId="77777777" w:rsidTr="00AD2C48">
        <w:tc>
          <w:tcPr>
            <w:tcW w:w="1620" w:type="dxa"/>
            <w:vMerge/>
          </w:tcPr>
          <w:p w14:paraId="32D955B0" w14:textId="77777777" w:rsidR="00AD2C48" w:rsidRPr="007E0F1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</w:tcPr>
          <w:p w14:paraId="56B8FD2E" w14:textId="77777777" w:rsidR="00AD2C48" w:rsidRPr="007E0F1C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</w:tcPr>
          <w:p w14:paraId="11D5A90D" w14:textId="77777777" w:rsidR="00AD2C48" w:rsidRPr="00EC31C9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 w:rsidRPr="00EC31C9">
              <w:rPr>
                <w:iCs/>
                <w:sz w:val="22"/>
                <w:szCs w:val="22"/>
              </w:rPr>
              <w:t>I47</w:t>
            </w:r>
            <w:r>
              <w:rPr>
                <w:iCs/>
                <w:sz w:val="22"/>
                <w:szCs w:val="22"/>
              </w:rPr>
              <w:t>.%</w:t>
            </w:r>
          </w:p>
        </w:tc>
        <w:tc>
          <w:tcPr>
            <w:tcW w:w="5760" w:type="dxa"/>
          </w:tcPr>
          <w:p w14:paraId="4CC31B4F" w14:textId="77777777" w:rsidR="00AD2C48" w:rsidRPr="00E764AA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Paroxysmal tachycardia </w:t>
            </w:r>
          </w:p>
        </w:tc>
      </w:tr>
      <w:tr w:rsidR="00AD2C48" w14:paraId="77E4F16E" w14:textId="77777777" w:rsidTr="00AD2C48">
        <w:tc>
          <w:tcPr>
            <w:tcW w:w="1620" w:type="dxa"/>
            <w:vMerge/>
          </w:tcPr>
          <w:p w14:paraId="116CED6A" w14:textId="77777777" w:rsidR="00AD2C48" w:rsidRPr="00EC31C9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</w:tcPr>
          <w:p w14:paraId="1ADCA732" w14:textId="77777777" w:rsidR="00AD2C48" w:rsidRPr="00EC31C9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  <w:highlight w:val="yellow"/>
              </w:rPr>
            </w:pPr>
            <w:r>
              <w:t>427.3x</w:t>
            </w:r>
          </w:p>
        </w:tc>
        <w:tc>
          <w:tcPr>
            <w:tcW w:w="1440" w:type="dxa"/>
          </w:tcPr>
          <w:p w14:paraId="1E06D8AC" w14:textId="77777777" w:rsidR="00AD2C48" w:rsidRPr="00E764AA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I48.0</w:t>
            </w:r>
          </w:p>
        </w:tc>
        <w:tc>
          <w:tcPr>
            <w:tcW w:w="5760" w:type="dxa"/>
          </w:tcPr>
          <w:p w14:paraId="07B2F81C" w14:textId="77777777" w:rsidR="00AD2C48" w:rsidRPr="00E764AA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Paroxysmal atrial fibrillation</w:t>
            </w:r>
            <w:r w:rsidRPr="00E764AA" w:rsidDel="0056517D">
              <w:rPr>
                <w:sz w:val="22"/>
                <w:szCs w:val="22"/>
              </w:rPr>
              <w:t xml:space="preserve"> </w:t>
            </w:r>
          </w:p>
        </w:tc>
      </w:tr>
      <w:tr w:rsidR="00AD2C48" w14:paraId="7DA46622" w14:textId="77777777" w:rsidTr="00AD2C48">
        <w:tc>
          <w:tcPr>
            <w:tcW w:w="1620" w:type="dxa"/>
            <w:vMerge/>
          </w:tcPr>
          <w:p w14:paraId="250F100F" w14:textId="77777777" w:rsidR="00AD2C48" w:rsidRPr="00EC31C9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</w:tcPr>
          <w:p w14:paraId="4DE7D61B" w14:textId="77777777" w:rsidR="00AD2C48" w:rsidRDefault="00AD2C48" w:rsidP="001354D7">
            <w:pPr>
              <w:pStyle w:val="heading2text"/>
              <w:spacing w:after="0"/>
              <w:ind w:left="0"/>
              <w:jc w:val="left"/>
            </w:pPr>
          </w:p>
        </w:tc>
        <w:tc>
          <w:tcPr>
            <w:tcW w:w="1440" w:type="dxa"/>
          </w:tcPr>
          <w:p w14:paraId="520DAEA9" w14:textId="77777777" w:rsidR="00AD2C48" w:rsidRPr="00E764AA" w:rsidDel="00DA2435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I48.1</w:t>
            </w:r>
          </w:p>
        </w:tc>
        <w:tc>
          <w:tcPr>
            <w:tcW w:w="5760" w:type="dxa"/>
          </w:tcPr>
          <w:p w14:paraId="71F275F7" w14:textId="77777777" w:rsidR="00AD2C48" w:rsidRPr="0056517D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Persistent atrial fibrillation</w:t>
            </w:r>
          </w:p>
        </w:tc>
      </w:tr>
      <w:tr w:rsidR="00AD2C48" w14:paraId="50DB6FEC" w14:textId="77777777" w:rsidTr="00AD2C48">
        <w:tc>
          <w:tcPr>
            <w:tcW w:w="1620" w:type="dxa"/>
            <w:vMerge/>
          </w:tcPr>
          <w:p w14:paraId="26EF2BA7" w14:textId="77777777" w:rsidR="00AD2C48" w:rsidRPr="00EC31C9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</w:tcPr>
          <w:p w14:paraId="406A5E8A" w14:textId="77777777" w:rsidR="00AD2C48" w:rsidRDefault="00AD2C48" w:rsidP="001354D7">
            <w:pPr>
              <w:pStyle w:val="heading2text"/>
              <w:spacing w:after="0"/>
              <w:ind w:left="0"/>
              <w:jc w:val="left"/>
            </w:pPr>
          </w:p>
        </w:tc>
        <w:tc>
          <w:tcPr>
            <w:tcW w:w="1440" w:type="dxa"/>
          </w:tcPr>
          <w:p w14:paraId="4BB9A8CD" w14:textId="77777777" w:rsidR="00AD2C48" w:rsidRPr="00E764AA" w:rsidDel="00DA2435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I48.3</w:t>
            </w:r>
          </w:p>
        </w:tc>
        <w:tc>
          <w:tcPr>
            <w:tcW w:w="5760" w:type="dxa"/>
          </w:tcPr>
          <w:p w14:paraId="2C8DA40E" w14:textId="77777777" w:rsidR="00AD2C48" w:rsidRPr="0056517D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Typical atrial flutter</w:t>
            </w:r>
          </w:p>
        </w:tc>
      </w:tr>
      <w:tr w:rsidR="00AD2C48" w14:paraId="7F248E01" w14:textId="77777777" w:rsidTr="00AD2C48">
        <w:tc>
          <w:tcPr>
            <w:tcW w:w="1620" w:type="dxa"/>
            <w:vMerge/>
          </w:tcPr>
          <w:p w14:paraId="0D618B7A" w14:textId="77777777" w:rsidR="00AD2C48" w:rsidRPr="00EC31C9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</w:tcPr>
          <w:p w14:paraId="72307985" w14:textId="77777777" w:rsidR="00AD2C48" w:rsidRDefault="00AD2C48" w:rsidP="001354D7">
            <w:pPr>
              <w:pStyle w:val="heading2text"/>
              <w:spacing w:after="0"/>
              <w:ind w:left="0"/>
              <w:jc w:val="left"/>
            </w:pPr>
          </w:p>
        </w:tc>
        <w:tc>
          <w:tcPr>
            <w:tcW w:w="1440" w:type="dxa"/>
          </w:tcPr>
          <w:p w14:paraId="48B2D7FB" w14:textId="77777777" w:rsidR="00AD2C48" w:rsidRPr="00E764AA" w:rsidDel="00DA2435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I48.4</w:t>
            </w:r>
          </w:p>
        </w:tc>
        <w:tc>
          <w:tcPr>
            <w:tcW w:w="5760" w:type="dxa"/>
          </w:tcPr>
          <w:p w14:paraId="10148AFC" w14:textId="77777777" w:rsidR="00AD2C48" w:rsidRPr="0056517D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Atypical atrial flutter</w:t>
            </w:r>
          </w:p>
        </w:tc>
      </w:tr>
      <w:tr w:rsidR="00AD2C48" w14:paraId="6B45EC97" w14:textId="77777777" w:rsidTr="00AD2C48">
        <w:tc>
          <w:tcPr>
            <w:tcW w:w="1620" w:type="dxa"/>
            <w:vMerge/>
          </w:tcPr>
          <w:p w14:paraId="3868BFDD" w14:textId="77777777" w:rsidR="00AD2C48" w:rsidRPr="00EC31C9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</w:tcPr>
          <w:p w14:paraId="259552BC" w14:textId="77777777" w:rsidR="00AD2C48" w:rsidRDefault="00AD2C48" w:rsidP="001354D7">
            <w:pPr>
              <w:pStyle w:val="heading2text"/>
              <w:spacing w:after="0"/>
              <w:ind w:left="0"/>
              <w:jc w:val="left"/>
            </w:pPr>
          </w:p>
        </w:tc>
        <w:tc>
          <w:tcPr>
            <w:tcW w:w="1440" w:type="dxa"/>
          </w:tcPr>
          <w:p w14:paraId="6C93BAC7" w14:textId="77777777" w:rsidR="00AD2C48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I48.9%</w:t>
            </w:r>
          </w:p>
        </w:tc>
        <w:tc>
          <w:tcPr>
            <w:tcW w:w="5760" w:type="dxa"/>
          </w:tcPr>
          <w:p w14:paraId="7A71653E" w14:textId="77777777" w:rsidR="00AD2C48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Unspecified atrial fibrillation and atrial flutter</w:t>
            </w:r>
          </w:p>
        </w:tc>
      </w:tr>
      <w:tr w:rsidR="00AD2C48" w14:paraId="3BF15E90" w14:textId="77777777" w:rsidTr="00AD2C48">
        <w:tc>
          <w:tcPr>
            <w:tcW w:w="1620" w:type="dxa"/>
          </w:tcPr>
          <w:p w14:paraId="74923A70" w14:textId="77777777" w:rsidR="00AD2C48" w:rsidRPr="00EC31C9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  <w:highlight w:val="yellow"/>
              </w:rPr>
            </w:pPr>
            <w:r w:rsidRPr="00B76970">
              <w:rPr>
                <w:iCs/>
                <w:sz w:val="22"/>
                <w:szCs w:val="22"/>
              </w:rPr>
              <w:t>Cardiac arrest</w:t>
            </w:r>
          </w:p>
        </w:tc>
        <w:tc>
          <w:tcPr>
            <w:tcW w:w="1440" w:type="dxa"/>
          </w:tcPr>
          <w:p w14:paraId="28D8D5F2" w14:textId="77777777" w:rsidR="00AD2C48" w:rsidRDefault="00AD2C48" w:rsidP="001354D7">
            <w:pPr>
              <w:pStyle w:val="heading2text"/>
              <w:spacing w:after="0"/>
              <w:ind w:left="0"/>
              <w:jc w:val="left"/>
            </w:pPr>
            <w:r>
              <w:t>427.5</w:t>
            </w:r>
          </w:p>
        </w:tc>
        <w:tc>
          <w:tcPr>
            <w:tcW w:w="1440" w:type="dxa"/>
          </w:tcPr>
          <w:p w14:paraId="2194771D" w14:textId="77777777" w:rsidR="00AD2C48" w:rsidRDefault="00AD2C48" w:rsidP="001354D7">
            <w:pPr>
              <w:pStyle w:val="heading2text"/>
              <w:spacing w:after="0"/>
              <w:ind w:left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I46.%</w:t>
            </w:r>
          </w:p>
        </w:tc>
        <w:tc>
          <w:tcPr>
            <w:tcW w:w="5760" w:type="dxa"/>
          </w:tcPr>
          <w:p w14:paraId="57AA50FA" w14:textId="77777777" w:rsidR="00AD2C48" w:rsidRDefault="00AD2C48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Cardiac arrest</w:t>
            </w:r>
          </w:p>
        </w:tc>
      </w:tr>
    </w:tbl>
    <w:p w14:paraId="5D3BF206" w14:textId="1B8B884F" w:rsidR="007726A8" w:rsidRDefault="007726A8" w:rsidP="00AD2C48">
      <w:pPr>
        <w:pStyle w:val="heading2text"/>
        <w:spacing w:after="0"/>
        <w:ind w:left="0"/>
        <w:jc w:val="left"/>
        <w:rPr>
          <w:sz w:val="18"/>
          <w:szCs w:val="18"/>
          <w:lang w:val="en-GB"/>
        </w:rPr>
      </w:pPr>
      <w:bookmarkStart w:id="9" w:name="Table_7"/>
      <w:bookmarkStart w:id="10" w:name="_Hlk145583261"/>
      <w:bookmarkEnd w:id="3"/>
      <w:r w:rsidRPr="007726A8">
        <w:rPr>
          <w:b/>
          <w:bCs/>
          <w:sz w:val="18"/>
          <w:szCs w:val="18"/>
          <w:lang w:val="en-GB"/>
        </w:rPr>
        <w:t>Abbreviations:</w:t>
      </w:r>
      <w:r w:rsidRPr="007726A8">
        <w:rPr>
          <w:sz w:val="18"/>
          <w:szCs w:val="18"/>
          <w:lang w:val="en-GB"/>
        </w:rPr>
        <w:t xml:space="preserve"> AECOPD, acute exacerbation of chronic obstructive pulmonary disease; COPD, chronic obstructive pulmonary disease; </w:t>
      </w:r>
      <w:r>
        <w:rPr>
          <w:sz w:val="18"/>
          <w:szCs w:val="18"/>
          <w:lang w:val="en-GB"/>
        </w:rPr>
        <w:t xml:space="preserve">CV, cardiovascular; </w:t>
      </w:r>
      <w:r w:rsidRPr="007726A8">
        <w:rPr>
          <w:sz w:val="18"/>
          <w:szCs w:val="18"/>
          <w:lang w:val="en-GB"/>
        </w:rPr>
        <w:t>ICD-9-CM, International Classification of Diseases, Ninth Revision, Clinical Modification; ICD-10-CM, International Classification of Diseases, Tenth Revision, Clinical Modification</w:t>
      </w:r>
    </w:p>
    <w:p w14:paraId="7F8BF95C" w14:textId="77777777" w:rsidR="007726A8" w:rsidRDefault="007726A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69FA2AA" w14:textId="5FC0B927" w:rsidR="00AD2C48" w:rsidRPr="00AF5770" w:rsidRDefault="008F0A6E" w:rsidP="00AD2C48">
      <w:pPr>
        <w:pStyle w:val="heading2text"/>
        <w:spacing w:after="0"/>
        <w:ind w:left="0"/>
        <w:jc w:val="left"/>
        <w:rPr>
          <w:b/>
          <w:bCs/>
        </w:rPr>
      </w:pPr>
      <w:r>
        <w:rPr>
          <w:b/>
          <w:bCs/>
        </w:rPr>
        <w:lastRenderedPageBreak/>
        <w:t xml:space="preserve">Supplemental </w:t>
      </w:r>
      <w:r w:rsidR="00AD2C48" w:rsidRPr="00AF5770">
        <w:rPr>
          <w:b/>
          <w:bCs/>
        </w:rPr>
        <w:t xml:space="preserve">Table </w:t>
      </w:r>
      <w:bookmarkEnd w:id="9"/>
      <w:r w:rsidR="006877BB">
        <w:rPr>
          <w:b/>
          <w:bCs/>
        </w:rPr>
        <w:t>3</w:t>
      </w:r>
      <w:r w:rsidR="00AD2C48" w:rsidRPr="00AF5770">
        <w:rPr>
          <w:b/>
          <w:bCs/>
        </w:rPr>
        <w:t xml:space="preserve">: </w:t>
      </w:r>
      <w:bookmarkStart w:id="11" w:name="_Hlk94022240"/>
      <w:r w:rsidR="000B4AE7">
        <w:rPr>
          <w:b/>
          <w:bCs/>
        </w:rPr>
        <w:t xml:space="preserve">Variables included in Cox proportional hazards models to adjust for </w:t>
      </w:r>
      <w:proofErr w:type="gramStart"/>
      <w:r w:rsidR="000B4AE7">
        <w:rPr>
          <w:b/>
          <w:bCs/>
        </w:rPr>
        <w:t>confounding</w:t>
      </w:r>
      <w:bookmarkEnd w:id="11"/>
      <w:proofErr w:type="gramEnd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96"/>
        <w:gridCol w:w="7159"/>
      </w:tblGrid>
      <w:tr w:rsidR="00FA4062" w:rsidRPr="007726A8" w14:paraId="664CE1D6" w14:textId="77777777" w:rsidTr="00FA4062">
        <w:trPr>
          <w:cantSplit/>
          <w:tblHeader/>
        </w:trPr>
        <w:tc>
          <w:tcPr>
            <w:tcW w:w="2196" w:type="dxa"/>
            <w:shd w:val="clear" w:color="auto" w:fill="auto"/>
          </w:tcPr>
          <w:p w14:paraId="053013D3" w14:textId="77777777" w:rsidR="00FA4062" w:rsidRPr="007726A8" w:rsidRDefault="00FA4062" w:rsidP="001354D7">
            <w:pPr>
              <w:pStyle w:val="heading2text"/>
              <w:spacing w:after="0"/>
              <w:ind w:left="0"/>
              <w:jc w:val="left"/>
              <w:rPr>
                <w:b/>
                <w:bCs/>
              </w:rPr>
            </w:pPr>
            <w:bookmarkStart w:id="12" w:name="_Hlk82013546"/>
            <w:r w:rsidRPr="007726A8">
              <w:rPr>
                <w:b/>
                <w:bCs/>
              </w:rPr>
              <w:t>Variable</w:t>
            </w:r>
          </w:p>
        </w:tc>
        <w:tc>
          <w:tcPr>
            <w:tcW w:w="7159" w:type="dxa"/>
            <w:shd w:val="clear" w:color="auto" w:fill="auto"/>
          </w:tcPr>
          <w:p w14:paraId="4DDB049D" w14:textId="77777777" w:rsidR="00FA4062" w:rsidRPr="007726A8" w:rsidRDefault="00FA4062" w:rsidP="001354D7">
            <w:pPr>
              <w:pStyle w:val="heading2text"/>
              <w:spacing w:after="0"/>
              <w:ind w:left="0"/>
              <w:jc w:val="left"/>
              <w:rPr>
                <w:b/>
                <w:bCs/>
              </w:rPr>
            </w:pPr>
            <w:r w:rsidRPr="007726A8">
              <w:rPr>
                <w:b/>
                <w:bCs/>
              </w:rPr>
              <w:t>Operational definition</w:t>
            </w:r>
          </w:p>
        </w:tc>
      </w:tr>
      <w:tr w:rsidR="00FA4062" w14:paraId="1A069FD6" w14:textId="77777777" w:rsidTr="00FA4062">
        <w:tc>
          <w:tcPr>
            <w:tcW w:w="2196" w:type="dxa"/>
            <w:shd w:val="clear" w:color="auto" w:fill="auto"/>
          </w:tcPr>
          <w:p w14:paraId="784DEC66" w14:textId="77777777" w:rsidR="00FA4062" w:rsidRDefault="00FA4062" w:rsidP="001354D7">
            <w:pPr>
              <w:pStyle w:val="heading2text"/>
              <w:spacing w:after="0"/>
              <w:ind w:left="0"/>
              <w:jc w:val="left"/>
            </w:pPr>
          </w:p>
        </w:tc>
        <w:bookmarkEnd w:id="12"/>
        <w:tc>
          <w:tcPr>
            <w:tcW w:w="7159" w:type="dxa"/>
            <w:shd w:val="clear" w:color="auto" w:fill="auto"/>
          </w:tcPr>
          <w:p w14:paraId="2E80B0AD" w14:textId="79B38DA5" w:rsidR="00FA4062" w:rsidRPr="007726A8" w:rsidRDefault="00FA4062" w:rsidP="001354D7">
            <w:pPr>
              <w:pStyle w:val="heading2text"/>
              <w:spacing w:after="0"/>
              <w:ind w:left="0"/>
              <w:jc w:val="left"/>
              <w:rPr>
                <w:i/>
                <w:iCs/>
              </w:rPr>
            </w:pPr>
            <w:r w:rsidRPr="007726A8">
              <w:rPr>
                <w:i/>
                <w:iCs/>
              </w:rPr>
              <w:t>Demographic variables</w:t>
            </w:r>
          </w:p>
        </w:tc>
      </w:tr>
      <w:tr w:rsidR="00FA4062" w14:paraId="5BAFACD7" w14:textId="77777777" w:rsidTr="00FA4062">
        <w:tc>
          <w:tcPr>
            <w:tcW w:w="2196" w:type="dxa"/>
          </w:tcPr>
          <w:p w14:paraId="0B2E970F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Sex</w:t>
            </w:r>
          </w:p>
        </w:tc>
        <w:tc>
          <w:tcPr>
            <w:tcW w:w="7159" w:type="dxa"/>
          </w:tcPr>
          <w:p w14:paraId="7C2CBF31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Male/Female</w:t>
            </w:r>
          </w:p>
        </w:tc>
      </w:tr>
      <w:tr w:rsidR="00FA4062" w14:paraId="4988C0EC" w14:textId="77777777" w:rsidTr="00FA4062">
        <w:tc>
          <w:tcPr>
            <w:tcW w:w="2196" w:type="dxa"/>
          </w:tcPr>
          <w:p w14:paraId="7D869FA0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Urbanicity of home neighborhood</w:t>
            </w:r>
          </w:p>
        </w:tc>
        <w:tc>
          <w:tcPr>
            <w:tcW w:w="7159" w:type="dxa"/>
          </w:tcPr>
          <w:p w14:paraId="05BD483B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Categories: Urban, semi-urban, rural</w:t>
            </w:r>
            <w:r w:rsidRPr="00DB65AA">
              <w:rPr>
                <w:sz w:val="22"/>
                <w:szCs w:val="22"/>
              </w:rPr>
              <w:br/>
              <w:t>This is based on county designations by the National Center for Health Statistics measured during the baseline period as close to the index date as possible.</w:t>
            </w:r>
          </w:p>
        </w:tc>
      </w:tr>
      <w:tr w:rsidR="00FA4062" w14:paraId="7A5D9236" w14:textId="77777777" w:rsidTr="00FA4062">
        <w:tc>
          <w:tcPr>
            <w:tcW w:w="2196" w:type="dxa"/>
          </w:tcPr>
          <w:p w14:paraId="1E5DEE23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Region of residence</w:t>
            </w:r>
          </w:p>
        </w:tc>
        <w:tc>
          <w:tcPr>
            <w:tcW w:w="7159" w:type="dxa"/>
          </w:tcPr>
          <w:p w14:paraId="5C685811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Categories: Northeast, South, Midwest, West</w:t>
            </w:r>
          </w:p>
          <w:p w14:paraId="2A076FED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 xml:space="preserve">Measured </w:t>
            </w:r>
            <w:r>
              <w:rPr>
                <w:sz w:val="22"/>
                <w:szCs w:val="22"/>
              </w:rPr>
              <w:t>during the baseline period</w:t>
            </w:r>
            <w:r w:rsidRPr="00DB65AA">
              <w:rPr>
                <w:sz w:val="22"/>
                <w:szCs w:val="22"/>
              </w:rPr>
              <w:t>.</w:t>
            </w:r>
          </w:p>
        </w:tc>
      </w:tr>
      <w:tr w:rsidR="00FA4062" w14:paraId="316C4538" w14:textId="77777777" w:rsidTr="00FA4062">
        <w:tc>
          <w:tcPr>
            <w:tcW w:w="2196" w:type="dxa"/>
          </w:tcPr>
          <w:p w14:paraId="72BF2DE1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Age at index</w:t>
            </w:r>
          </w:p>
        </w:tc>
        <w:tc>
          <w:tcPr>
            <w:tcW w:w="7159" w:type="dxa"/>
          </w:tcPr>
          <w:p w14:paraId="39D4BD3B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Continuous</w:t>
            </w:r>
            <w:r>
              <w:rPr>
                <w:sz w:val="22"/>
                <w:szCs w:val="22"/>
              </w:rPr>
              <w:t xml:space="preserve"> (years)</w:t>
            </w:r>
            <w:r w:rsidRPr="00DB65AA">
              <w:rPr>
                <w:sz w:val="22"/>
                <w:szCs w:val="22"/>
              </w:rPr>
              <w:t xml:space="preserve">, measured </w:t>
            </w:r>
            <w:r>
              <w:rPr>
                <w:sz w:val="22"/>
                <w:szCs w:val="22"/>
              </w:rPr>
              <w:t xml:space="preserve">the day before </w:t>
            </w:r>
            <w:r w:rsidRPr="00DB65AA">
              <w:rPr>
                <w:sz w:val="22"/>
                <w:szCs w:val="22"/>
              </w:rPr>
              <w:t>the index date. Should be ≥40</w:t>
            </w:r>
          </w:p>
        </w:tc>
      </w:tr>
      <w:tr w:rsidR="00FA4062" w14:paraId="474FC529" w14:textId="77777777" w:rsidTr="00FA4062">
        <w:tc>
          <w:tcPr>
            <w:tcW w:w="2196" w:type="dxa"/>
          </w:tcPr>
          <w:p w14:paraId="21A84572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Insurance payor </w:t>
            </w:r>
          </w:p>
        </w:tc>
        <w:tc>
          <w:tcPr>
            <w:tcW w:w="7159" w:type="dxa"/>
          </w:tcPr>
          <w:p w14:paraId="04BFA5FE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Categories: Commercial, </w:t>
            </w:r>
            <w:proofErr w:type="spellStart"/>
            <w:r>
              <w:rPr>
                <w:sz w:val="22"/>
                <w:szCs w:val="22"/>
              </w:rPr>
              <w:t>medicare</w:t>
            </w:r>
            <w:proofErr w:type="spellEnd"/>
            <w:r>
              <w:rPr>
                <w:sz w:val="22"/>
                <w:szCs w:val="22"/>
              </w:rPr>
              <w:t xml:space="preserve"> advantage, other</w:t>
            </w:r>
          </w:p>
        </w:tc>
      </w:tr>
      <w:tr w:rsidR="00FA4062" w14:paraId="75E606E5" w14:textId="77777777" w:rsidTr="00FA4062">
        <w:tc>
          <w:tcPr>
            <w:tcW w:w="2196" w:type="dxa"/>
          </w:tcPr>
          <w:p w14:paraId="74DE8743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Calendar year of index date</w:t>
            </w:r>
          </w:p>
        </w:tc>
        <w:tc>
          <w:tcPr>
            <w:tcW w:w="7159" w:type="dxa"/>
          </w:tcPr>
          <w:p w14:paraId="22AA2F51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 xml:space="preserve">Continuous, Range: 2012-2019. </w:t>
            </w:r>
          </w:p>
        </w:tc>
      </w:tr>
      <w:tr w:rsidR="00FA4062" w14:paraId="72E098DA" w14:textId="77777777" w:rsidTr="00FA4062">
        <w:tc>
          <w:tcPr>
            <w:tcW w:w="2196" w:type="dxa"/>
          </w:tcPr>
          <w:p w14:paraId="14A3828B" w14:textId="4EB1BDCD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t>S</w:t>
            </w:r>
            <w:r w:rsidR="00790CD0">
              <w:t>ocioeconomic status</w:t>
            </w:r>
          </w:p>
        </w:tc>
        <w:tc>
          <w:tcPr>
            <w:tcW w:w="7159" w:type="dxa"/>
          </w:tcPr>
          <w:p w14:paraId="2DF032FB" w14:textId="668CD4FF" w:rsidR="00FA4062" w:rsidRPr="00DB65AA" w:rsidRDefault="00FA4062" w:rsidP="00994C10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18"/>
              </w:rPr>
              <w:t>Neighborhood</w:t>
            </w:r>
            <w:proofErr w:type="spellEnd"/>
            <w:r>
              <w:rPr>
                <w:sz w:val="22"/>
                <w:szCs w:val="18"/>
              </w:rPr>
              <w:t xml:space="preserve"> (block group) socioeconomic status calculated as laid out in the Agency for Healthcare Research and Quality report. </w:t>
            </w:r>
            <w:r w:rsidRPr="00AF683B">
              <w:rPr>
                <w:sz w:val="22"/>
                <w:szCs w:val="18"/>
              </w:rPr>
              <w:t xml:space="preserve">Defined </w:t>
            </w:r>
            <w:r>
              <w:rPr>
                <w:sz w:val="22"/>
                <w:szCs w:val="18"/>
              </w:rPr>
              <w:t>for 2017 using data from the American Community Survey.</w:t>
            </w:r>
            <w:r>
              <w:rPr>
                <w:sz w:val="22"/>
                <w:szCs w:val="18"/>
              </w:rPr>
              <w:fldChar w:fldCharType="begin"/>
            </w:r>
            <w:r>
              <w:rPr>
                <w:sz w:val="22"/>
                <w:szCs w:val="18"/>
              </w:rPr>
              <w:instrText xml:space="preserve"> ADDIN EN.CITE &lt;EndNote&gt;&lt;Cite&gt;&lt;Year&gt;2012&lt;/Year&gt;&lt;RecNum&gt;48&lt;/RecNum&gt;&lt;DisplayText&gt;&lt;style face="superscript"&gt;24&lt;/style&gt;&lt;/DisplayText&gt;&lt;record&gt;&lt;rec-number&gt;48&lt;/rec-number&gt;&lt;foreign-keys&gt;&lt;key app="EN" db-id="azd2ftfvvxzv53ep0agvxpz2ppwvzveexdd2" timestamp="1636041254"&gt;48&lt;/key&gt;&lt;/foreign-keys&gt;&lt;ref-type name="Dataset"&gt;59&lt;/ref-type&gt;&lt;contributors&gt;&lt;authors&gt;&lt;author&gt; , U.S. Census Bureau&lt;/author&gt;&lt;/authors&gt;&lt;/contributors&gt;&lt;titles&gt;&lt;title&gt;2013-2017 American Community Survey 3-year Public Use Microdata Samples&lt;/title&gt;&lt;/titles&gt;&lt;dates&gt;&lt;year&gt;2012&lt;/year&gt;&lt;pub-dates&gt;&lt;date&gt;2017&lt;/date&gt;&lt;/pub-dates&gt;&lt;/dates&gt;&lt;pub-location&gt;guides.library.duq.edu/c.php?g=753544&amp;amp;p=5401552&lt;/pub-location&gt;&lt;urls&gt;&lt;/urls&gt;&lt;/record&gt;&lt;/Cite&gt;&lt;/EndNote&gt;</w:instrText>
            </w:r>
            <w:r>
              <w:rPr>
                <w:sz w:val="22"/>
                <w:szCs w:val="18"/>
              </w:rPr>
              <w:fldChar w:fldCharType="separate"/>
            </w:r>
            <w:r w:rsidRPr="00AA7C5C">
              <w:rPr>
                <w:noProof/>
                <w:sz w:val="22"/>
                <w:szCs w:val="18"/>
                <w:vertAlign w:val="superscript"/>
              </w:rPr>
              <w:t>24</w:t>
            </w:r>
            <w:r>
              <w:rPr>
                <w:sz w:val="22"/>
                <w:szCs w:val="18"/>
              </w:rPr>
              <w:fldChar w:fldCharType="end"/>
            </w:r>
            <w:r>
              <w:rPr>
                <w:sz w:val="22"/>
                <w:szCs w:val="18"/>
              </w:rPr>
              <w:t xml:space="preserve"> Categorized into </w:t>
            </w:r>
            <w:r w:rsidR="00994C10">
              <w:rPr>
                <w:sz w:val="22"/>
                <w:szCs w:val="18"/>
              </w:rPr>
              <w:t>quartiles.</w:t>
            </w:r>
          </w:p>
        </w:tc>
      </w:tr>
      <w:tr w:rsidR="00FA4062" w14:paraId="05CA0165" w14:textId="77777777" w:rsidTr="00FA4062">
        <w:tc>
          <w:tcPr>
            <w:tcW w:w="2196" w:type="dxa"/>
          </w:tcPr>
          <w:p w14:paraId="556742F6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 xml:space="preserve">Duration of COPD prior to index date </w:t>
            </w:r>
          </w:p>
        </w:tc>
        <w:tc>
          <w:tcPr>
            <w:tcW w:w="7159" w:type="dxa"/>
          </w:tcPr>
          <w:p w14:paraId="63C7DF2F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Continuous; </w:t>
            </w:r>
            <w:r w:rsidRPr="00DB65AA">
              <w:rPr>
                <w:sz w:val="22"/>
                <w:szCs w:val="22"/>
              </w:rPr>
              <w:t xml:space="preserve">Time period from incident COPD diagnosis date to the </w:t>
            </w:r>
            <w:r>
              <w:rPr>
                <w:sz w:val="22"/>
                <w:szCs w:val="22"/>
              </w:rPr>
              <w:t xml:space="preserve">day before the </w:t>
            </w:r>
            <w:r w:rsidRPr="00DB65AA">
              <w:rPr>
                <w:sz w:val="22"/>
                <w:szCs w:val="22"/>
              </w:rPr>
              <w:t>index date.</w:t>
            </w:r>
          </w:p>
        </w:tc>
      </w:tr>
      <w:tr w:rsidR="00FA4062" w14:paraId="00AE086E" w14:textId="77777777" w:rsidTr="00FA4062">
        <w:tc>
          <w:tcPr>
            <w:tcW w:w="2196" w:type="dxa"/>
            <w:shd w:val="clear" w:color="auto" w:fill="auto"/>
          </w:tcPr>
          <w:p w14:paraId="7DA4A18B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7159" w:type="dxa"/>
            <w:shd w:val="clear" w:color="auto" w:fill="auto"/>
          </w:tcPr>
          <w:p w14:paraId="31A421B6" w14:textId="37EC41CA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Comorbid conditions</w:t>
            </w:r>
          </w:p>
        </w:tc>
      </w:tr>
      <w:tr w:rsidR="00FA4062" w14:paraId="611A21BC" w14:textId="77777777" w:rsidTr="00FA4062">
        <w:tc>
          <w:tcPr>
            <w:tcW w:w="2196" w:type="dxa"/>
          </w:tcPr>
          <w:p w14:paraId="2F86181D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Serious lower respiratory infections </w:t>
            </w:r>
          </w:p>
        </w:tc>
        <w:tc>
          <w:tcPr>
            <w:tcW w:w="7159" w:type="dxa"/>
          </w:tcPr>
          <w:p w14:paraId="32746854" w14:textId="618A921A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7726A8">
              <w:rPr>
                <w:sz w:val="22"/>
                <w:szCs w:val="22"/>
              </w:rPr>
              <w:t>umber</w:t>
            </w:r>
            <w:r>
              <w:rPr>
                <w:sz w:val="22"/>
                <w:szCs w:val="22"/>
              </w:rPr>
              <w:t xml:space="preserve"> (%) of subjects with a primary inpatient diagnosis of a lower respiratory infection including pneumonia, influenza, </w:t>
            </w:r>
            <w:proofErr w:type="gramStart"/>
            <w:r>
              <w:rPr>
                <w:sz w:val="22"/>
                <w:szCs w:val="22"/>
              </w:rPr>
              <w:t>tuberculosis</w:t>
            </w:r>
            <w:proofErr w:type="gramEnd"/>
            <w:r>
              <w:rPr>
                <w:sz w:val="22"/>
                <w:szCs w:val="22"/>
              </w:rPr>
              <w:t xml:space="preserve"> or acute bronchitis without a diagnosis of COPD.</w:t>
            </w:r>
          </w:p>
          <w:p w14:paraId="36D33EB9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serious lower respiratory infections in the 1-year prior to index will also be measured. </w:t>
            </w:r>
          </w:p>
        </w:tc>
      </w:tr>
      <w:tr w:rsidR="00FA4062" w14:paraId="2F182C4D" w14:textId="77777777" w:rsidTr="00FA4062">
        <w:tc>
          <w:tcPr>
            <w:tcW w:w="2196" w:type="dxa"/>
          </w:tcPr>
          <w:p w14:paraId="428D2408" w14:textId="5B767508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Congestive heart failure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59" w:type="dxa"/>
            <w:vMerge w:val="restart"/>
          </w:tcPr>
          <w:p w14:paraId="52B9705B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bookmarkStart w:id="13" w:name="OLE_LINK14"/>
            <w:r>
              <w:rPr>
                <w:sz w:val="22"/>
                <w:szCs w:val="22"/>
              </w:rPr>
              <w:t xml:space="preserve">Binary indicator of whether the patient had this diagnosis during the baseline period. </w:t>
            </w:r>
            <w:bookmarkEnd w:id="13"/>
          </w:p>
        </w:tc>
      </w:tr>
      <w:tr w:rsidR="00FA4062" w14:paraId="37DAC585" w14:textId="77777777" w:rsidTr="00FA4062">
        <w:tc>
          <w:tcPr>
            <w:tcW w:w="2196" w:type="dxa"/>
          </w:tcPr>
          <w:p w14:paraId="4D684643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Hyperlipidemia</w:t>
            </w:r>
          </w:p>
        </w:tc>
        <w:tc>
          <w:tcPr>
            <w:tcW w:w="7159" w:type="dxa"/>
            <w:vMerge/>
          </w:tcPr>
          <w:p w14:paraId="53E94A78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A4062" w14:paraId="252FE2B1" w14:textId="77777777" w:rsidTr="00FA4062">
        <w:tc>
          <w:tcPr>
            <w:tcW w:w="2196" w:type="dxa"/>
          </w:tcPr>
          <w:p w14:paraId="5ED856AE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Hypertension</w:t>
            </w:r>
          </w:p>
        </w:tc>
        <w:tc>
          <w:tcPr>
            <w:tcW w:w="7159" w:type="dxa"/>
            <w:vMerge/>
          </w:tcPr>
          <w:p w14:paraId="1D496EE4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A4062" w14:paraId="5242F740" w14:textId="77777777" w:rsidTr="00FA4062">
        <w:tc>
          <w:tcPr>
            <w:tcW w:w="2196" w:type="dxa"/>
          </w:tcPr>
          <w:p w14:paraId="39186D2E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Charlson Comorbidity Index</w:t>
            </w:r>
          </w:p>
        </w:tc>
        <w:tc>
          <w:tcPr>
            <w:tcW w:w="7159" w:type="dxa"/>
          </w:tcPr>
          <w:p w14:paraId="0B7F780F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The Charlson Comorbidity index will be created based on the following two publications Quan et al. 2011 and Quan et al. 2005.</w:t>
            </w:r>
            <w:r>
              <w:rPr>
                <w:sz w:val="22"/>
                <w:szCs w:val="22"/>
              </w:rPr>
              <w:fldChar w:fldCharType="begin">
                <w:fldData xml:space="preserve">PEVuZE5vdGU+PENpdGU+PEF1dGhvcj5RdWFuPC9BdXRob3I+PFllYXI+MjAxMTwvWWVhcj48UmVj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sz w:val="22"/>
                <w:szCs w:val="22"/>
              </w:rPr>
              <w:instrText xml:space="preserve"> ADDIN EN.CITE </w:instrText>
            </w:r>
            <w:r>
              <w:rPr>
                <w:sz w:val="22"/>
                <w:szCs w:val="22"/>
              </w:rPr>
              <w:fldChar w:fldCharType="begin">
                <w:fldData xml:space="preserve">PEVuZE5vdGU+PENpdGU+PEF1dGhvcj5RdWFuPC9BdXRob3I+PFllYXI+MjAxMTwvWWVhcj48UmVj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sz w:val="22"/>
                <w:szCs w:val="22"/>
              </w:rPr>
              <w:instrText xml:space="preserve"> ADDIN EN.CITE.DATA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67082">
              <w:rPr>
                <w:noProof/>
                <w:sz w:val="22"/>
                <w:szCs w:val="22"/>
                <w:vertAlign w:val="superscript"/>
              </w:rPr>
              <w:t>35,36</w:t>
            </w:r>
            <w:r>
              <w:rPr>
                <w:sz w:val="22"/>
                <w:szCs w:val="22"/>
              </w:rPr>
              <w:fldChar w:fldCharType="end"/>
            </w:r>
            <w:r w:rsidRPr="00DB65AA">
              <w:rPr>
                <w:sz w:val="22"/>
                <w:szCs w:val="22"/>
              </w:rPr>
              <w:t xml:space="preserve"> </w:t>
            </w:r>
          </w:p>
          <w:p w14:paraId="342D8B3A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If patients have multiple measures of this information, use the closest measure preceding the index date.</w:t>
            </w:r>
            <w:r>
              <w:rPr>
                <w:sz w:val="22"/>
                <w:szCs w:val="22"/>
              </w:rPr>
              <w:t xml:space="preserve"> Components of this index will be summarized separately. </w:t>
            </w:r>
          </w:p>
        </w:tc>
      </w:tr>
      <w:tr w:rsidR="00FA4062" w14:paraId="593AAA0A" w14:textId="77777777" w:rsidTr="00FA4062">
        <w:tc>
          <w:tcPr>
            <w:tcW w:w="2196" w:type="dxa"/>
          </w:tcPr>
          <w:p w14:paraId="6E144184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Chronic kidney disease</w:t>
            </w:r>
          </w:p>
        </w:tc>
        <w:tc>
          <w:tcPr>
            <w:tcW w:w="7159" w:type="dxa"/>
          </w:tcPr>
          <w:p w14:paraId="330B72AA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bookmarkStart w:id="14" w:name="OLE_LINK37"/>
            <w:r>
              <w:rPr>
                <w:sz w:val="22"/>
                <w:szCs w:val="22"/>
              </w:rPr>
              <w:t>Binary indicator of whether the patient had this diagnosis during the baseline period.</w:t>
            </w:r>
            <w:bookmarkEnd w:id="14"/>
          </w:p>
        </w:tc>
      </w:tr>
      <w:tr w:rsidR="00FA4062" w14:paraId="49834093" w14:textId="77777777" w:rsidTr="00FA4062">
        <w:tc>
          <w:tcPr>
            <w:tcW w:w="2196" w:type="dxa"/>
          </w:tcPr>
          <w:p w14:paraId="0FBE0077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Pneumothorax</w:t>
            </w:r>
          </w:p>
        </w:tc>
        <w:tc>
          <w:tcPr>
            <w:tcW w:w="7159" w:type="dxa"/>
          </w:tcPr>
          <w:p w14:paraId="7E241695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Binary indicator of whether the patient had this event during the baseline period</w:t>
            </w:r>
          </w:p>
        </w:tc>
      </w:tr>
      <w:tr w:rsidR="00FA4062" w14:paraId="4B7BF70C" w14:textId="77777777" w:rsidTr="00FA4062">
        <w:tc>
          <w:tcPr>
            <w:tcW w:w="2196" w:type="dxa"/>
          </w:tcPr>
          <w:p w14:paraId="4B51175A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Pulmonary edema</w:t>
            </w:r>
          </w:p>
        </w:tc>
        <w:tc>
          <w:tcPr>
            <w:tcW w:w="7159" w:type="dxa"/>
          </w:tcPr>
          <w:p w14:paraId="0505D2FD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Binary indicator of whether the patient had this diagnosis during the baseline period</w:t>
            </w:r>
          </w:p>
        </w:tc>
      </w:tr>
      <w:tr w:rsidR="00FA4062" w14:paraId="5E4832D8" w14:textId="77777777" w:rsidTr="00FA4062">
        <w:tc>
          <w:tcPr>
            <w:tcW w:w="2196" w:type="dxa"/>
          </w:tcPr>
          <w:p w14:paraId="6DC1631A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Sleep apnea</w:t>
            </w:r>
          </w:p>
        </w:tc>
        <w:tc>
          <w:tcPr>
            <w:tcW w:w="7159" w:type="dxa"/>
          </w:tcPr>
          <w:p w14:paraId="40999078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Binary indicator of whether the patient had this diagnosis during the baseline period</w:t>
            </w:r>
          </w:p>
        </w:tc>
      </w:tr>
      <w:tr w:rsidR="00FA4062" w14:paraId="10211E5F" w14:textId="77777777" w:rsidTr="00FA4062">
        <w:tc>
          <w:tcPr>
            <w:tcW w:w="2196" w:type="dxa"/>
          </w:tcPr>
          <w:p w14:paraId="12D36DDA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 xml:space="preserve">Any cancer </w:t>
            </w:r>
          </w:p>
        </w:tc>
        <w:tc>
          <w:tcPr>
            <w:tcW w:w="7159" w:type="dxa"/>
          </w:tcPr>
          <w:p w14:paraId="67ADC310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of whether the patient had any cancer diagnosis (except basal cell carcinoma) </w:t>
            </w:r>
            <w:r w:rsidRPr="00DB65AA">
              <w:rPr>
                <w:sz w:val="22"/>
                <w:szCs w:val="22"/>
              </w:rPr>
              <w:t>during the baseline period</w:t>
            </w:r>
          </w:p>
        </w:tc>
      </w:tr>
      <w:tr w:rsidR="00FA4062" w14:paraId="168BA51F" w14:textId="77777777" w:rsidTr="00FA4062">
        <w:tc>
          <w:tcPr>
            <w:tcW w:w="2196" w:type="dxa"/>
          </w:tcPr>
          <w:p w14:paraId="6196E904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Alpha-1 antitrypsin deficiency</w:t>
            </w:r>
          </w:p>
        </w:tc>
        <w:tc>
          <w:tcPr>
            <w:tcW w:w="7159" w:type="dxa"/>
            <w:vMerge w:val="restart"/>
          </w:tcPr>
          <w:p w14:paraId="53DE69BF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of whether the patient had this diagnosis during the baseline period. </w:t>
            </w:r>
          </w:p>
        </w:tc>
      </w:tr>
      <w:tr w:rsidR="00FA4062" w14:paraId="6B0737FF" w14:textId="77777777" w:rsidTr="00FA4062">
        <w:tc>
          <w:tcPr>
            <w:tcW w:w="2196" w:type="dxa"/>
          </w:tcPr>
          <w:p w14:paraId="064A5CD9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Bronchiectasis</w:t>
            </w:r>
          </w:p>
        </w:tc>
        <w:tc>
          <w:tcPr>
            <w:tcW w:w="7159" w:type="dxa"/>
            <w:vMerge/>
          </w:tcPr>
          <w:p w14:paraId="2BBF7564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A4062" w14:paraId="0F73A03C" w14:textId="77777777" w:rsidTr="00FA4062">
        <w:tc>
          <w:tcPr>
            <w:tcW w:w="2196" w:type="dxa"/>
          </w:tcPr>
          <w:p w14:paraId="0EFC1419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Extrinsic allergic alveolitis</w:t>
            </w:r>
          </w:p>
        </w:tc>
        <w:tc>
          <w:tcPr>
            <w:tcW w:w="7159" w:type="dxa"/>
            <w:vMerge/>
          </w:tcPr>
          <w:p w14:paraId="29DFF2D5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A4062" w14:paraId="5E9DA19E" w14:textId="77777777" w:rsidTr="00FA4062">
        <w:tc>
          <w:tcPr>
            <w:tcW w:w="2196" w:type="dxa"/>
          </w:tcPr>
          <w:p w14:paraId="61D6E2E1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Interstitial lung disease</w:t>
            </w:r>
          </w:p>
        </w:tc>
        <w:tc>
          <w:tcPr>
            <w:tcW w:w="7159" w:type="dxa"/>
            <w:vMerge/>
          </w:tcPr>
          <w:p w14:paraId="7BDCBF23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A4062" w14:paraId="6ED3FF47" w14:textId="77777777" w:rsidTr="00FA4062">
        <w:tc>
          <w:tcPr>
            <w:tcW w:w="2196" w:type="dxa"/>
          </w:tcPr>
          <w:p w14:paraId="604E06A2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Pleural disease</w:t>
            </w:r>
          </w:p>
        </w:tc>
        <w:tc>
          <w:tcPr>
            <w:tcW w:w="7159" w:type="dxa"/>
            <w:vMerge/>
          </w:tcPr>
          <w:p w14:paraId="2F872645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A4062" w14:paraId="076160D8" w14:textId="77777777" w:rsidTr="00FA4062">
        <w:tc>
          <w:tcPr>
            <w:tcW w:w="2196" w:type="dxa"/>
          </w:tcPr>
          <w:p w14:paraId="55F53B4E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Sarcoidosis</w:t>
            </w:r>
          </w:p>
        </w:tc>
        <w:tc>
          <w:tcPr>
            <w:tcW w:w="7159" w:type="dxa"/>
            <w:vMerge/>
          </w:tcPr>
          <w:p w14:paraId="292EE705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A4062" w14:paraId="3447B5FB" w14:textId="77777777" w:rsidTr="00FA4062">
        <w:tc>
          <w:tcPr>
            <w:tcW w:w="2196" w:type="dxa"/>
          </w:tcPr>
          <w:p w14:paraId="73FCBCDD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Acute CV events </w:t>
            </w:r>
          </w:p>
        </w:tc>
        <w:tc>
          <w:tcPr>
            <w:tcW w:w="7159" w:type="dxa"/>
          </w:tcPr>
          <w:p w14:paraId="3EBB58BA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of whether the patient had any acute CV event at any time between January 1, 2006, and 6 months prior to the index date. </w:t>
            </w:r>
          </w:p>
        </w:tc>
      </w:tr>
      <w:tr w:rsidR="00FA4062" w14:paraId="7530B5ED" w14:textId="77777777" w:rsidTr="00FA4062">
        <w:tc>
          <w:tcPr>
            <w:tcW w:w="2196" w:type="dxa"/>
          </w:tcPr>
          <w:p w14:paraId="3E1D32EE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CV procedures </w:t>
            </w:r>
          </w:p>
        </w:tc>
        <w:tc>
          <w:tcPr>
            <w:tcW w:w="7159" w:type="dxa"/>
          </w:tcPr>
          <w:p w14:paraId="4CE7D705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Binary indicator of whether the patient had any procedures related to acute CV events (possibly to prevent such events).</w:t>
            </w:r>
          </w:p>
        </w:tc>
      </w:tr>
      <w:tr w:rsidR="00FA4062" w14:paraId="342F4123" w14:textId="77777777" w:rsidTr="00FA4062">
        <w:tc>
          <w:tcPr>
            <w:tcW w:w="2196" w:type="dxa"/>
            <w:shd w:val="clear" w:color="auto" w:fill="auto"/>
          </w:tcPr>
          <w:p w14:paraId="26E6CA3C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7159" w:type="dxa"/>
            <w:shd w:val="clear" w:color="auto" w:fill="auto"/>
          </w:tcPr>
          <w:p w14:paraId="68C04BF7" w14:textId="75C52343" w:rsidR="00FA4062" w:rsidRPr="007726A8" w:rsidRDefault="00FA4062" w:rsidP="001354D7">
            <w:pPr>
              <w:pStyle w:val="heading2text"/>
              <w:spacing w:after="0"/>
              <w:ind w:left="0"/>
              <w:jc w:val="left"/>
              <w:rPr>
                <w:i/>
                <w:iCs/>
                <w:sz w:val="22"/>
                <w:szCs w:val="22"/>
              </w:rPr>
            </w:pPr>
            <w:r w:rsidRPr="007726A8">
              <w:rPr>
                <w:i/>
                <w:iCs/>
                <w:sz w:val="22"/>
                <w:szCs w:val="22"/>
              </w:rPr>
              <w:t>Prescription Medications</w:t>
            </w:r>
          </w:p>
        </w:tc>
      </w:tr>
      <w:tr w:rsidR="00FA4062" w14:paraId="5D23EBF6" w14:textId="77777777" w:rsidTr="00FA4062">
        <w:tc>
          <w:tcPr>
            <w:tcW w:w="2196" w:type="dxa"/>
          </w:tcPr>
          <w:p w14:paraId="13E29F9A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Antihistamines</w:t>
            </w:r>
          </w:p>
        </w:tc>
        <w:tc>
          <w:tcPr>
            <w:tcW w:w="7159" w:type="dxa"/>
          </w:tcPr>
          <w:p w14:paraId="5739BD67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indicators for patients with a dispensing of these medications during the baseline period. </w:t>
            </w:r>
          </w:p>
        </w:tc>
      </w:tr>
      <w:tr w:rsidR="00FA4062" w14:paraId="26D9C00B" w14:textId="77777777" w:rsidTr="00FA4062">
        <w:tc>
          <w:tcPr>
            <w:tcW w:w="2196" w:type="dxa"/>
          </w:tcPr>
          <w:p w14:paraId="46202A83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Lipid-lowering agents</w:t>
            </w:r>
          </w:p>
        </w:tc>
        <w:tc>
          <w:tcPr>
            <w:tcW w:w="7159" w:type="dxa"/>
          </w:tcPr>
          <w:p w14:paraId="6C8035DB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identifying any dispensing of these medications during the baseline period. </w:t>
            </w:r>
          </w:p>
          <w:p w14:paraId="0D9EF997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fills and cost of these medications during follow-up for secondary analysis.</w:t>
            </w:r>
          </w:p>
        </w:tc>
      </w:tr>
      <w:tr w:rsidR="00FA4062" w14:paraId="20135C4D" w14:textId="77777777" w:rsidTr="00FA4062">
        <w:tc>
          <w:tcPr>
            <w:tcW w:w="2196" w:type="dxa"/>
          </w:tcPr>
          <w:p w14:paraId="0AA92397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Antihypertensive agents</w:t>
            </w:r>
          </w:p>
        </w:tc>
        <w:tc>
          <w:tcPr>
            <w:tcW w:w="7159" w:type="dxa"/>
          </w:tcPr>
          <w:p w14:paraId="11D0B91F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identifying any dispensing of these medications during the baseline period. </w:t>
            </w:r>
          </w:p>
          <w:p w14:paraId="0F5A8E57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fills and cost of these medications during follow-up for secondary analysis.</w:t>
            </w:r>
          </w:p>
        </w:tc>
      </w:tr>
      <w:tr w:rsidR="00FA4062" w14:paraId="56AB70F0" w14:textId="77777777" w:rsidTr="00FA4062">
        <w:tc>
          <w:tcPr>
            <w:tcW w:w="2196" w:type="dxa"/>
          </w:tcPr>
          <w:p w14:paraId="21C8AE65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Antiarrhythmics</w:t>
            </w:r>
          </w:p>
        </w:tc>
        <w:tc>
          <w:tcPr>
            <w:tcW w:w="7159" w:type="dxa"/>
          </w:tcPr>
          <w:p w14:paraId="1B6FCBF4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identifying any dispensing of these medications during the baseline period. </w:t>
            </w:r>
          </w:p>
          <w:p w14:paraId="2AF0103B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fills and cost of these medications during follow-up for secondary analysis.</w:t>
            </w:r>
          </w:p>
        </w:tc>
      </w:tr>
      <w:tr w:rsidR="00FA4062" w14:paraId="09911135" w14:textId="77777777" w:rsidTr="00FA4062">
        <w:tc>
          <w:tcPr>
            <w:tcW w:w="2196" w:type="dxa"/>
          </w:tcPr>
          <w:p w14:paraId="0A18884C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Antianginal agents</w:t>
            </w:r>
          </w:p>
        </w:tc>
        <w:tc>
          <w:tcPr>
            <w:tcW w:w="7159" w:type="dxa"/>
          </w:tcPr>
          <w:p w14:paraId="0A3B25C5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identifying any dispensing of these medications during the baseline period. </w:t>
            </w:r>
          </w:p>
          <w:p w14:paraId="1A249C68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fills and cost of these medications during follow-up for secondary analysis.</w:t>
            </w:r>
          </w:p>
        </w:tc>
      </w:tr>
      <w:tr w:rsidR="00FA4062" w14:paraId="1E86F736" w14:textId="77777777" w:rsidTr="00FA4062">
        <w:tc>
          <w:tcPr>
            <w:tcW w:w="2196" w:type="dxa"/>
          </w:tcPr>
          <w:p w14:paraId="1D4DE66A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CV agents</w:t>
            </w:r>
          </w:p>
        </w:tc>
        <w:tc>
          <w:tcPr>
            <w:tcW w:w="7159" w:type="dxa"/>
          </w:tcPr>
          <w:p w14:paraId="51347185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identifying any dispensing of these medications during the baseline period. </w:t>
            </w:r>
          </w:p>
          <w:p w14:paraId="63F3E437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fills and cost of these medications during follow-up for secondary analysis. Includes </w:t>
            </w:r>
            <w:proofErr w:type="spellStart"/>
            <w:r>
              <w:rPr>
                <w:sz w:val="22"/>
                <w:szCs w:val="22"/>
              </w:rPr>
              <w:t>Letairis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Ambrisentan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Caduet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Tracleer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Bosentan</w:t>
            </w:r>
            <w:proofErr w:type="spellEnd"/>
            <w:r>
              <w:rPr>
                <w:sz w:val="22"/>
                <w:szCs w:val="22"/>
              </w:rPr>
              <w:t xml:space="preserve">, Nylidrin HCL, Papaverine HCL, etc. </w:t>
            </w:r>
          </w:p>
        </w:tc>
      </w:tr>
      <w:tr w:rsidR="00FA4062" w14:paraId="4CE63833" w14:textId="77777777" w:rsidTr="00FA4062">
        <w:tc>
          <w:tcPr>
            <w:tcW w:w="2196" w:type="dxa"/>
          </w:tcPr>
          <w:p w14:paraId="3AC6954E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Anticoagulants</w:t>
            </w:r>
          </w:p>
        </w:tc>
        <w:tc>
          <w:tcPr>
            <w:tcW w:w="7159" w:type="dxa"/>
          </w:tcPr>
          <w:p w14:paraId="02718587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identifying any dispensing of these medications during the baseline period. </w:t>
            </w:r>
          </w:p>
          <w:p w14:paraId="581C333B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fills and cost of these medications during follow-up for secondary analysis.</w:t>
            </w:r>
          </w:p>
        </w:tc>
      </w:tr>
      <w:tr w:rsidR="00FA4062" w14:paraId="328FC0BA" w14:textId="77777777" w:rsidTr="00FA4062">
        <w:tc>
          <w:tcPr>
            <w:tcW w:w="2196" w:type="dxa"/>
          </w:tcPr>
          <w:p w14:paraId="3706DE3C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Immunosuppressants</w:t>
            </w:r>
          </w:p>
        </w:tc>
        <w:tc>
          <w:tcPr>
            <w:tcW w:w="7159" w:type="dxa"/>
          </w:tcPr>
          <w:p w14:paraId="1779B133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identifying any dispensing of these medications during the baseline period. </w:t>
            </w:r>
          </w:p>
        </w:tc>
      </w:tr>
      <w:tr w:rsidR="00FA4062" w14:paraId="0014B20C" w14:textId="77777777" w:rsidTr="00FA4062">
        <w:tc>
          <w:tcPr>
            <w:tcW w:w="2196" w:type="dxa"/>
          </w:tcPr>
          <w:p w14:paraId="4FE1792F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Antidiabetic agents</w:t>
            </w:r>
          </w:p>
        </w:tc>
        <w:tc>
          <w:tcPr>
            <w:tcW w:w="7159" w:type="dxa"/>
          </w:tcPr>
          <w:p w14:paraId="5C0327A4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identifying any dispensing of these medications during the baseline period. </w:t>
            </w:r>
          </w:p>
        </w:tc>
      </w:tr>
      <w:tr w:rsidR="00FA4062" w14:paraId="2242ABB7" w14:textId="77777777" w:rsidTr="00FA4062">
        <w:tc>
          <w:tcPr>
            <w:tcW w:w="2196" w:type="dxa"/>
          </w:tcPr>
          <w:p w14:paraId="34FF2651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Antifungal agents</w:t>
            </w:r>
          </w:p>
        </w:tc>
        <w:tc>
          <w:tcPr>
            <w:tcW w:w="7159" w:type="dxa"/>
          </w:tcPr>
          <w:p w14:paraId="79CC00AB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identifying any dispensing of these medications during the baseline period. </w:t>
            </w:r>
          </w:p>
        </w:tc>
      </w:tr>
      <w:tr w:rsidR="00FA4062" w14:paraId="55EC877D" w14:textId="77777777" w:rsidTr="00FA4062">
        <w:tc>
          <w:tcPr>
            <w:tcW w:w="2196" w:type="dxa"/>
          </w:tcPr>
          <w:p w14:paraId="72C24E3D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Antiviral agents</w:t>
            </w:r>
          </w:p>
        </w:tc>
        <w:tc>
          <w:tcPr>
            <w:tcW w:w="7159" w:type="dxa"/>
          </w:tcPr>
          <w:p w14:paraId="7ABA3E14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identifying any dispensing of these medications during the baseline period. </w:t>
            </w:r>
          </w:p>
        </w:tc>
      </w:tr>
      <w:tr w:rsidR="00FA4062" w14:paraId="578215F6" w14:textId="77777777" w:rsidTr="00FA4062">
        <w:tc>
          <w:tcPr>
            <w:tcW w:w="2196" w:type="dxa"/>
          </w:tcPr>
          <w:p w14:paraId="6E16BAEC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Inhaled corticosteroids</w:t>
            </w:r>
          </w:p>
        </w:tc>
        <w:tc>
          <w:tcPr>
            <w:tcW w:w="7159" w:type="dxa"/>
          </w:tcPr>
          <w:p w14:paraId="2392E05A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Binary indicator and number of dispensings for patients with a dispensing of inhaled budesonide, flunisolide, fluticasone propionate, beclomethasone dipropionate, </w:t>
            </w:r>
            <w:proofErr w:type="spellStart"/>
            <w:r>
              <w:rPr>
                <w:sz w:val="22"/>
                <w:szCs w:val="22"/>
              </w:rPr>
              <w:t>ciclesonide</w:t>
            </w:r>
            <w:proofErr w:type="spellEnd"/>
            <w:r>
              <w:rPr>
                <w:sz w:val="22"/>
                <w:szCs w:val="22"/>
              </w:rPr>
              <w:t xml:space="preserve">, mometasone during the baseline period. </w:t>
            </w:r>
          </w:p>
          <w:p w14:paraId="54B5A4DA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dispensings and cost of these medications during follow-up. </w:t>
            </w:r>
          </w:p>
        </w:tc>
      </w:tr>
      <w:tr w:rsidR="00FA4062" w14:paraId="1FED072D" w14:textId="77777777" w:rsidTr="00FA4062">
        <w:tc>
          <w:tcPr>
            <w:tcW w:w="2196" w:type="dxa"/>
          </w:tcPr>
          <w:p w14:paraId="3491653F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Oral corticosteroids</w:t>
            </w:r>
          </w:p>
        </w:tc>
        <w:tc>
          <w:tcPr>
            <w:tcW w:w="7159" w:type="dxa"/>
          </w:tcPr>
          <w:p w14:paraId="3678E877" w14:textId="77777777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bookmarkStart w:id="15" w:name="OLE_LINK38"/>
            <w:r>
              <w:rPr>
                <w:sz w:val="22"/>
                <w:szCs w:val="22"/>
              </w:rPr>
              <w:t xml:space="preserve">Binary indicator and number of dispensings for patients with a dispensing of </w:t>
            </w:r>
            <w:bookmarkEnd w:id="15"/>
            <w:r>
              <w:rPr>
                <w:sz w:val="22"/>
                <w:szCs w:val="22"/>
              </w:rPr>
              <w:t xml:space="preserve">prednisone (Prednisone </w:t>
            </w:r>
            <w:proofErr w:type="spellStart"/>
            <w:r>
              <w:rPr>
                <w:sz w:val="22"/>
                <w:szCs w:val="22"/>
              </w:rPr>
              <w:t>Intensol</w:t>
            </w:r>
            <w:proofErr w:type="spellEnd"/>
            <w:r>
              <w:rPr>
                <w:sz w:val="22"/>
                <w:szCs w:val="22"/>
              </w:rPr>
              <w:t>, Rayos), hydrocortisone (</w:t>
            </w:r>
            <w:proofErr w:type="spellStart"/>
            <w:r>
              <w:rPr>
                <w:sz w:val="22"/>
                <w:szCs w:val="22"/>
              </w:rPr>
              <w:t>Cortef</w:t>
            </w:r>
            <w:proofErr w:type="spellEnd"/>
            <w:r>
              <w:rPr>
                <w:sz w:val="22"/>
                <w:szCs w:val="22"/>
              </w:rPr>
              <w:t xml:space="preserve">), prednisolone (Prelone), methylprednisolone (Medrol), or dexamethasone (Dexamethasone </w:t>
            </w:r>
            <w:proofErr w:type="spellStart"/>
            <w:r>
              <w:rPr>
                <w:sz w:val="22"/>
                <w:szCs w:val="22"/>
              </w:rPr>
              <w:t>Intensol</w:t>
            </w:r>
            <w:proofErr w:type="spellEnd"/>
            <w:r>
              <w:rPr>
                <w:sz w:val="22"/>
                <w:szCs w:val="22"/>
              </w:rPr>
              <w:t xml:space="preserve">) during the baseline period. </w:t>
            </w:r>
          </w:p>
          <w:p w14:paraId="577ADFEA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Number of dispensings and cost of these medications during follow-up.  </w:t>
            </w:r>
          </w:p>
        </w:tc>
      </w:tr>
      <w:tr w:rsidR="00FA4062" w14:paraId="43E1D947" w14:textId="77777777" w:rsidTr="00FA4062">
        <w:tc>
          <w:tcPr>
            <w:tcW w:w="2196" w:type="dxa"/>
          </w:tcPr>
          <w:p w14:paraId="633903CA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lastRenderedPageBreak/>
              <w:t>Long-acting</w:t>
            </w:r>
            <w:r>
              <w:rPr>
                <w:sz w:val="22"/>
                <w:szCs w:val="22"/>
              </w:rPr>
              <w:t xml:space="preserve"> bronchodilators</w:t>
            </w:r>
          </w:p>
        </w:tc>
        <w:tc>
          <w:tcPr>
            <w:tcW w:w="7159" w:type="dxa"/>
          </w:tcPr>
          <w:p w14:paraId="203C4D60" w14:textId="0807F9BA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Binary indicator and number of dispensings for patients with a dispensing of long-acting muscarinic antagonists</w:t>
            </w:r>
            <w:r w:rsidRPr="00DB65A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long-acting beta2-agonists</w:t>
            </w:r>
            <w:r w:rsidRPr="00DB65A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or their</w:t>
            </w:r>
            <w:r w:rsidRPr="00DB65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combinations with inhaled or oral </w:t>
            </w:r>
            <w:r w:rsidRPr="00DB65AA">
              <w:rPr>
                <w:sz w:val="22"/>
                <w:szCs w:val="22"/>
              </w:rPr>
              <w:t>corticosteroid</w:t>
            </w:r>
            <w:r>
              <w:rPr>
                <w:sz w:val="22"/>
                <w:szCs w:val="22"/>
              </w:rPr>
              <w:t>s</w:t>
            </w:r>
            <w:r w:rsidRPr="00DB65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during the baseline period. </w:t>
            </w:r>
          </w:p>
          <w:p w14:paraId="44712694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dispensings and cost of these medications during follow-up.</w:t>
            </w:r>
          </w:p>
        </w:tc>
      </w:tr>
      <w:tr w:rsidR="00FA4062" w14:paraId="743957EA" w14:textId="77777777" w:rsidTr="00FA4062">
        <w:tc>
          <w:tcPr>
            <w:tcW w:w="2196" w:type="dxa"/>
          </w:tcPr>
          <w:p w14:paraId="4A5946A5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 xml:space="preserve">Short-acting </w:t>
            </w:r>
            <w:r>
              <w:rPr>
                <w:sz w:val="22"/>
                <w:szCs w:val="22"/>
              </w:rPr>
              <w:t xml:space="preserve">bronchodilators </w:t>
            </w:r>
          </w:p>
        </w:tc>
        <w:tc>
          <w:tcPr>
            <w:tcW w:w="7159" w:type="dxa"/>
          </w:tcPr>
          <w:p w14:paraId="0CD3D991" w14:textId="75F4EEB1" w:rsidR="00FA4062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Short-acting beta agonists</w:t>
            </w:r>
            <w:r w:rsidRPr="00DB65A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short-acting muscarinic antagonists, or</w:t>
            </w:r>
            <w:r w:rsidRPr="00DB65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their combinations with </w:t>
            </w:r>
            <w:r w:rsidRPr="00DB65AA">
              <w:rPr>
                <w:sz w:val="22"/>
                <w:szCs w:val="22"/>
              </w:rPr>
              <w:t>corticosteroid</w:t>
            </w:r>
            <w:r>
              <w:rPr>
                <w:sz w:val="22"/>
                <w:szCs w:val="22"/>
              </w:rPr>
              <w:t xml:space="preserve">s. An indicator that a patient had a dispensing and the number of dispensings will be measured. </w:t>
            </w:r>
          </w:p>
          <w:p w14:paraId="364E4853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dispensings and cost of these medications during follow-up.</w:t>
            </w:r>
          </w:p>
        </w:tc>
      </w:tr>
      <w:tr w:rsidR="00FA4062" w14:paraId="3A7AB21E" w14:textId="77777777" w:rsidTr="00FA4062">
        <w:tc>
          <w:tcPr>
            <w:tcW w:w="2196" w:type="dxa"/>
          </w:tcPr>
          <w:p w14:paraId="56EE9BF3" w14:textId="77777777" w:rsidR="00FA4062" w:rsidRPr="00EA10BE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EA10BE">
              <w:rPr>
                <w:sz w:val="22"/>
                <w:szCs w:val="22"/>
              </w:rPr>
              <w:t>Glucocorticoids</w:t>
            </w:r>
          </w:p>
        </w:tc>
        <w:tc>
          <w:tcPr>
            <w:tcW w:w="7159" w:type="dxa"/>
          </w:tcPr>
          <w:p w14:paraId="5CFD9EBD" w14:textId="77777777" w:rsidR="00FA4062" w:rsidRPr="00EA10BE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18"/>
              </w:rPr>
            </w:pPr>
            <w:r w:rsidRPr="00EA10BE">
              <w:rPr>
                <w:sz w:val="22"/>
                <w:szCs w:val="22"/>
              </w:rPr>
              <w:t xml:space="preserve">Binary indicators and number of dispensings of </w:t>
            </w:r>
            <w:r w:rsidRPr="00EA10BE">
              <w:rPr>
                <w:sz w:val="22"/>
                <w:szCs w:val="18"/>
              </w:rPr>
              <w:t>oral, IV glucocorticoids during the baseline period and a separate indicator measuring this during follow-up to define a moderate AECOPD.</w:t>
            </w:r>
          </w:p>
          <w:p w14:paraId="08BFA071" w14:textId="77777777" w:rsidR="00FA4062" w:rsidRPr="00EA10BE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EA10BE">
              <w:rPr>
                <w:sz w:val="22"/>
                <w:szCs w:val="22"/>
              </w:rPr>
              <w:t>Number of dispensings and cost of these medications during follow-up.</w:t>
            </w:r>
          </w:p>
        </w:tc>
      </w:tr>
      <w:tr w:rsidR="00FA4062" w14:paraId="3723F37A" w14:textId="77777777" w:rsidTr="00FA4062">
        <w:tc>
          <w:tcPr>
            <w:tcW w:w="2196" w:type="dxa"/>
          </w:tcPr>
          <w:p w14:paraId="1010030A" w14:textId="77777777" w:rsidR="00FA4062" w:rsidRPr="00EA10BE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EA10BE">
              <w:rPr>
                <w:sz w:val="22"/>
                <w:szCs w:val="22"/>
              </w:rPr>
              <w:t>Antibiotics</w:t>
            </w:r>
          </w:p>
        </w:tc>
        <w:tc>
          <w:tcPr>
            <w:tcW w:w="7159" w:type="dxa"/>
          </w:tcPr>
          <w:p w14:paraId="3988E3D5" w14:textId="77777777" w:rsidR="00FA4062" w:rsidRPr="00EA10BE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18"/>
              </w:rPr>
            </w:pPr>
            <w:r w:rsidRPr="00EA10BE">
              <w:rPr>
                <w:sz w:val="22"/>
                <w:szCs w:val="22"/>
              </w:rPr>
              <w:t xml:space="preserve">Binary indicator and number of dispensings of </w:t>
            </w:r>
            <w:r w:rsidRPr="00EA10BE">
              <w:rPr>
                <w:sz w:val="22"/>
                <w:szCs w:val="18"/>
              </w:rPr>
              <w:t>inhaled, oral, nebulization or IV antibiotics during the baseline period and a separate indicator measuring this during follow-up to define a moderate AECOPD.</w:t>
            </w:r>
          </w:p>
          <w:p w14:paraId="5399321A" w14:textId="77777777" w:rsidR="00FA4062" w:rsidRPr="00EA10BE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EA10BE">
              <w:rPr>
                <w:sz w:val="22"/>
                <w:szCs w:val="22"/>
              </w:rPr>
              <w:t>Number of dispensings and cost of these medications during follow-up.</w:t>
            </w:r>
          </w:p>
        </w:tc>
      </w:tr>
      <w:tr w:rsidR="00FA4062" w14:paraId="3420DD52" w14:textId="77777777" w:rsidTr="00FA4062">
        <w:tc>
          <w:tcPr>
            <w:tcW w:w="2196" w:type="dxa"/>
            <w:shd w:val="clear" w:color="auto" w:fill="auto"/>
          </w:tcPr>
          <w:p w14:paraId="53F92EEB" w14:textId="77777777" w:rsidR="00FA4062" w:rsidRDefault="00FA4062" w:rsidP="001354D7">
            <w:pPr>
              <w:pStyle w:val="heading2text"/>
              <w:spacing w:after="0"/>
              <w:ind w:left="0"/>
              <w:jc w:val="left"/>
            </w:pPr>
          </w:p>
        </w:tc>
        <w:tc>
          <w:tcPr>
            <w:tcW w:w="7159" w:type="dxa"/>
            <w:shd w:val="clear" w:color="auto" w:fill="auto"/>
          </w:tcPr>
          <w:p w14:paraId="7940559A" w14:textId="3C81A08E" w:rsidR="00FA4062" w:rsidRDefault="00FA4062" w:rsidP="001354D7">
            <w:pPr>
              <w:pStyle w:val="heading2text"/>
              <w:spacing w:after="0"/>
              <w:ind w:left="0"/>
              <w:jc w:val="left"/>
            </w:pPr>
            <w:r>
              <w:t xml:space="preserve">Health care resource utilization </w:t>
            </w:r>
          </w:p>
        </w:tc>
      </w:tr>
      <w:tr w:rsidR="00FA4062" w14:paraId="011F8596" w14:textId="77777777" w:rsidTr="00FA4062">
        <w:tc>
          <w:tcPr>
            <w:tcW w:w="2196" w:type="dxa"/>
          </w:tcPr>
          <w:p w14:paraId="6BD76DAD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Hospitalizations</w:t>
            </w:r>
          </w:p>
        </w:tc>
        <w:tc>
          <w:tcPr>
            <w:tcW w:w="7159" w:type="dxa"/>
          </w:tcPr>
          <w:p w14:paraId="46247EC1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Count of distinct hospitalizations</w:t>
            </w:r>
            <w:r>
              <w:rPr>
                <w:sz w:val="22"/>
                <w:szCs w:val="22"/>
              </w:rPr>
              <w:t xml:space="preserve"> within 1 year prior to the index date</w:t>
            </w:r>
            <w:r w:rsidRPr="00DB65AA">
              <w:rPr>
                <w:sz w:val="22"/>
                <w:szCs w:val="22"/>
              </w:rPr>
              <w:t xml:space="preserve">; Continuous </w:t>
            </w:r>
          </w:p>
        </w:tc>
      </w:tr>
      <w:tr w:rsidR="00FA4062" w14:paraId="633676AF" w14:textId="77777777" w:rsidTr="00FA4062">
        <w:tc>
          <w:tcPr>
            <w:tcW w:w="2196" w:type="dxa"/>
          </w:tcPr>
          <w:p w14:paraId="31548C4E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Outpatient visits</w:t>
            </w:r>
          </w:p>
        </w:tc>
        <w:tc>
          <w:tcPr>
            <w:tcW w:w="7159" w:type="dxa"/>
          </w:tcPr>
          <w:p w14:paraId="32E701A2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Count of distinct outpatient visits</w:t>
            </w:r>
            <w:r>
              <w:rPr>
                <w:sz w:val="22"/>
                <w:szCs w:val="22"/>
              </w:rPr>
              <w:t xml:space="preserve"> within 1 year prior to the index date</w:t>
            </w:r>
            <w:r w:rsidRPr="00DB65AA">
              <w:rPr>
                <w:sz w:val="22"/>
                <w:szCs w:val="22"/>
              </w:rPr>
              <w:t xml:space="preserve">; Continuous </w:t>
            </w:r>
          </w:p>
        </w:tc>
      </w:tr>
      <w:tr w:rsidR="00FA4062" w14:paraId="7E67AF38" w14:textId="77777777" w:rsidTr="00FA4062">
        <w:tc>
          <w:tcPr>
            <w:tcW w:w="2196" w:type="dxa"/>
          </w:tcPr>
          <w:p w14:paraId="3B73FD11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Pulmonologist visits</w:t>
            </w:r>
          </w:p>
        </w:tc>
        <w:tc>
          <w:tcPr>
            <w:tcW w:w="7159" w:type="dxa"/>
          </w:tcPr>
          <w:p w14:paraId="48F51D09" w14:textId="241BEF5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N</w:t>
            </w:r>
            <w:r w:rsidR="007726A8">
              <w:rPr>
                <w:sz w:val="22"/>
                <w:szCs w:val="22"/>
              </w:rPr>
              <w:t>umber</w:t>
            </w:r>
            <w:r w:rsidRPr="00DB65AA">
              <w:rPr>
                <w:sz w:val="22"/>
                <w:szCs w:val="22"/>
              </w:rPr>
              <w:t xml:space="preserve"> (%) of subjects with visits to a pulmonologist </w:t>
            </w:r>
            <w:r>
              <w:rPr>
                <w:sz w:val="22"/>
                <w:szCs w:val="22"/>
              </w:rPr>
              <w:t>within 1 year prior to the index date</w:t>
            </w:r>
          </w:p>
        </w:tc>
      </w:tr>
      <w:tr w:rsidR="00FA4062" w14:paraId="29B04606" w14:textId="77777777" w:rsidTr="00FA4062">
        <w:tc>
          <w:tcPr>
            <w:tcW w:w="2196" w:type="dxa"/>
          </w:tcPr>
          <w:p w14:paraId="6AB9E616" w14:textId="77777777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Cardiologist visits</w:t>
            </w:r>
          </w:p>
        </w:tc>
        <w:tc>
          <w:tcPr>
            <w:tcW w:w="7159" w:type="dxa"/>
          </w:tcPr>
          <w:p w14:paraId="7CFDA502" w14:textId="1C1C1E4A" w:rsidR="00FA4062" w:rsidRPr="00DB65AA" w:rsidRDefault="00FA4062" w:rsidP="001354D7">
            <w:pPr>
              <w:pStyle w:val="heading2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DB65AA">
              <w:rPr>
                <w:sz w:val="22"/>
                <w:szCs w:val="22"/>
              </w:rPr>
              <w:t>N</w:t>
            </w:r>
            <w:r w:rsidR="007726A8">
              <w:rPr>
                <w:sz w:val="22"/>
                <w:szCs w:val="22"/>
              </w:rPr>
              <w:t>umber</w:t>
            </w:r>
            <w:r w:rsidRPr="00DB65AA">
              <w:rPr>
                <w:sz w:val="22"/>
                <w:szCs w:val="22"/>
              </w:rPr>
              <w:t xml:space="preserve"> (%) of subjects with visits to a cardiologist</w:t>
            </w:r>
            <w:r>
              <w:rPr>
                <w:sz w:val="22"/>
                <w:szCs w:val="22"/>
              </w:rPr>
              <w:t xml:space="preserve"> within 1 year prior to the index date</w:t>
            </w:r>
          </w:p>
        </w:tc>
      </w:tr>
    </w:tbl>
    <w:p w14:paraId="276FABC7" w14:textId="6C76EFBF" w:rsidR="006877BB" w:rsidRPr="00B123E9" w:rsidRDefault="00E2364A">
      <w:pPr>
        <w:rPr>
          <w:sz w:val="22"/>
          <w:szCs w:val="18"/>
        </w:rPr>
      </w:pPr>
      <w:r w:rsidRPr="00B123E9">
        <w:rPr>
          <w:b/>
          <w:bCs/>
          <w:sz w:val="18"/>
          <w:szCs w:val="18"/>
        </w:rPr>
        <w:t>Abbreviations:</w:t>
      </w:r>
      <w:r w:rsidRPr="00B123E9">
        <w:rPr>
          <w:sz w:val="18"/>
          <w:szCs w:val="18"/>
        </w:rPr>
        <w:t xml:space="preserve"> </w:t>
      </w:r>
      <w:r w:rsidR="007726A8" w:rsidRPr="00B123E9">
        <w:rPr>
          <w:sz w:val="18"/>
          <w:szCs w:val="18"/>
        </w:rPr>
        <w:t>AECOPD, acute exacerbation of chronic obstructive pulmonary disease</w:t>
      </w:r>
      <w:r w:rsidR="007726A8" w:rsidRPr="00B123E9">
        <w:rPr>
          <w:sz w:val="18"/>
          <w:szCs w:val="18"/>
        </w:rPr>
        <w:t xml:space="preserve">; </w:t>
      </w:r>
      <w:r w:rsidRPr="00B123E9">
        <w:rPr>
          <w:sz w:val="18"/>
          <w:szCs w:val="18"/>
        </w:rPr>
        <w:t>COPD, chronic obstructive pulmonary disease; CV, cardiovascular;</w:t>
      </w:r>
      <w:r w:rsidR="007726A8" w:rsidRPr="00B123E9">
        <w:rPr>
          <w:sz w:val="18"/>
          <w:szCs w:val="18"/>
        </w:rPr>
        <w:t xml:space="preserve"> HCL, </w:t>
      </w:r>
      <w:r w:rsidR="00704E4E" w:rsidRPr="00B123E9">
        <w:rPr>
          <w:sz w:val="18"/>
          <w:szCs w:val="18"/>
        </w:rPr>
        <w:t>hydrochloride;</w:t>
      </w:r>
      <w:r w:rsidR="007726A8" w:rsidRPr="00B123E9">
        <w:rPr>
          <w:sz w:val="18"/>
          <w:szCs w:val="18"/>
        </w:rPr>
        <w:t xml:space="preserve"> IV, intravenous</w:t>
      </w:r>
    </w:p>
    <w:bookmarkEnd w:id="10"/>
    <w:p w14:paraId="4AFE34EC" w14:textId="77777777" w:rsidR="006877BB" w:rsidRDefault="006877BB"/>
    <w:p w14:paraId="7D0E079C" w14:textId="77777777" w:rsidR="006877BB" w:rsidRDefault="006877BB"/>
    <w:p w14:paraId="20EAECAD" w14:textId="77777777" w:rsidR="006877BB" w:rsidRDefault="006877BB"/>
    <w:p w14:paraId="10DE4A56" w14:textId="77777777" w:rsidR="006877BB" w:rsidRDefault="006877BB"/>
    <w:p w14:paraId="51663691" w14:textId="77777777" w:rsidR="006877BB" w:rsidRDefault="006877BB"/>
    <w:p w14:paraId="10345455" w14:textId="77777777" w:rsidR="000B671E" w:rsidRDefault="000B671E">
      <w:pPr>
        <w:sectPr w:rsidR="000B671E" w:rsidSect="007726A8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0DBE6D14" w14:textId="51FE7055" w:rsidR="000B671E" w:rsidRPr="009330F8" w:rsidRDefault="008F0A6E" w:rsidP="000B671E">
      <w:pPr>
        <w:rPr>
          <w:b/>
          <w:bCs/>
        </w:rPr>
      </w:pPr>
      <w:bookmarkStart w:id="16" w:name="_Hlk145583705"/>
      <w:r>
        <w:rPr>
          <w:b/>
          <w:bCs/>
        </w:rPr>
        <w:lastRenderedPageBreak/>
        <w:t xml:space="preserve">Supplemental </w:t>
      </w:r>
      <w:r w:rsidR="000B671E" w:rsidRPr="009330F8">
        <w:rPr>
          <w:b/>
          <w:bCs/>
        </w:rPr>
        <w:t xml:space="preserve">Table </w:t>
      </w:r>
      <w:r w:rsidR="000B671E">
        <w:rPr>
          <w:b/>
          <w:bCs/>
        </w:rPr>
        <w:t>4</w:t>
      </w:r>
      <w:r w:rsidR="000B671E" w:rsidRPr="009330F8">
        <w:rPr>
          <w:b/>
          <w:bCs/>
        </w:rPr>
        <w:t xml:space="preserve">. </w:t>
      </w:r>
      <w:r w:rsidR="000B671E">
        <w:rPr>
          <w:b/>
          <w:bCs/>
        </w:rPr>
        <w:t xml:space="preserve">Selection of the </w:t>
      </w:r>
      <w:r w:rsidR="000B671E" w:rsidRPr="009330F8">
        <w:rPr>
          <w:b/>
          <w:bCs/>
        </w:rPr>
        <w:t>incident COPD study population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715"/>
        <w:gridCol w:w="7920"/>
        <w:gridCol w:w="990"/>
        <w:gridCol w:w="1530"/>
        <w:gridCol w:w="900"/>
        <w:gridCol w:w="1530"/>
      </w:tblGrid>
      <w:tr w:rsidR="000B671E" w:rsidRPr="002F56B1" w14:paraId="6040E51A" w14:textId="77777777" w:rsidTr="000B671E">
        <w:trPr>
          <w:trHeight w:val="300"/>
        </w:trPr>
        <w:tc>
          <w:tcPr>
            <w:tcW w:w="715" w:type="dxa"/>
            <w:hideMark/>
          </w:tcPr>
          <w:p w14:paraId="5D6B593A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Step</w:t>
            </w:r>
          </w:p>
        </w:tc>
        <w:tc>
          <w:tcPr>
            <w:tcW w:w="7920" w:type="dxa"/>
            <w:hideMark/>
          </w:tcPr>
          <w:p w14:paraId="7A4AF26A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Criteria</w:t>
            </w:r>
          </w:p>
        </w:tc>
        <w:tc>
          <w:tcPr>
            <w:tcW w:w="2520" w:type="dxa"/>
            <w:gridSpan w:val="2"/>
            <w:hideMark/>
          </w:tcPr>
          <w:p w14:paraId="2842BF60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Counts</w:t>
            </w:r>
          </w:p>
        </w:tc>
        <w:tc>
          <w:tcPr>
            <w:tcW w:w="2430" w:type="dxa"/>
            <w:gridSpan w:val="2"/>
            <w:hideMark/>
          </w:tcPr>
          <w:p w14:paraId="23B48AE3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% of prior step</w:t>
            </w:r>
          </w:p>
        </w:tc>
      </w:tr>
      <w:tr w:rsidR="000B671E" w:rsidRPr="002F56B1" w14:paraId="0FC5A62E" w14:textId="77777777" w:rsidTr="000B671E">
        <w:trPr>
          <w:trHeight w:val="314"/>
        </w:trPr>
        <w:tc>
          <w:tcPr>
            <w:tcW w:w="715" w:type="dxa"/>
            <w:noWrap/>
            <w:hideMark/>
          </w:tcPr>
          <w:p w14:paraId="34A210F4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1</w:t>
            </w:r>
          </w:p>
        </w:tc>
        <w:tc>
          <w:tcPr>
            <w:tcW w:w="7920" w:type="dxa"/>
            <w:hideMark/>
          </w:tcPr>
          <w:p w14:paraId="487139C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</w:t>
            </w:r>
            <w:r w:rsidRPr="002F56B1">
              <w:rPr>
                <w:sz w:val="20"/>
              </w:rPr>
              <w:t xml:space="preserve">iagnosis of </w:t>
            </w:r>
            <w:proofErr w:type="spellStart"/>
            <w:r w:rsidRPr="002F56B1">
              <w:rPr>
                <w:sz w:val="20"/>
              </w:rPr>
              <w:t>COPD</w:t>
            </w:r>
            <w:r>
              <w:rPr>
                <w:sz w:val="20"/>
                <w:vertAlign w:val="superscript"/>
              </w:rPr>
              <w:t>a</w:t>
            </w:r>
            <w:proofErr w:type="spellEnd"/>
            <w:r w:rsidRPr="002F56B1">
              <w:rPr>
                <w:sz w:val="20"/>
              </w:rPr>
              <w:t xml:space="preserve"> between January 1, </w:t>
            </w:r>
            <w:proofErr w:type="gramStart"/>
            <w:r w:rsidRPr="002F56B1">
              <w:rPr>
                <w:sz w:val="20"/>
              </w:rPr>
              <w:t>2012</w:t>
            </w:r>
            <w:proofErr w:type="gramEnd"/>
            <w:r w:rsidRPr="002F56B1">
              <w:rPr>
                <w:sz w:val="20"/>
              </w:rPr>
              <w:t xml:space="preserve"> and December 31, 2019 </w:t>
            </w:r>
          </w:p>
        </w:tc>
        <w:tc>
          <w:tcPr>
            <w:tcW w:w="2520" w:type="dxa"/>
            <w:gridSpan w:val="2"/>
            <w:hideMark/>
          </w:tcPr>
          <w:p w14:paraId="3AC37385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1,175,622</w:t>
            </w:r>
          </w:p>
        </w:tc>
        <w:tc>
          <w:tcPr>
            <w:tcW w:w="2430" w:type="dxa"/>
            <w:gridSpan w:val="2"/>
            <w:hideMark/>
          </w:tcPr>
          <w:p w14:paraId="77338D6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100%</w:t>
            </w:r>
          </w:p>
        </w:tc>
      </w:tr>
      <w:tr w:rsidR="000B671E" w:rsidRPr="002F56B1" w14:paraId="6BB816F7" w14:textId="77777777" w:rsidTr="000B671E">
        <w:trPr>
          <w:trHeight w:val="310"/>
        </w:trPr>
        <w:tc>
          <w:tcPr>
            <w:tcW w:w="715" w:type="dxa"/>
            <w:noWrap/>
            <w:hideMark/>
          </w:tcPr>
          <w:p w14:paraId="2C84F7DF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2</w:t>
            </w:r>
          </w:p>
        </w:tc>
        <w:tc>
          <w:tcPr>
            <w:tcW w:w="7920" w:type="dxa"/>
            <w:hideMark/>
          </w:tcPr>
          <w:p w14:paraId="0425F298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 xml:space="preserve">Age ≥ 40 on the date of first COPD diagnosis </w:t>
            </w:r>
          </w:p>
        </w:tc>
        <w:tc>
          <w:tcPr>
            <w:tcW w:w="2520" w:type="dxa"/>
            <w:gridSpan w:val="2"/>
            <w:hideMark/>
          </w:tcPr>
          <w:p w14:paraId="3ED856C2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1,095,771</w:t>
            </w:r>
          </w:p>
        </w:tc>
        <w:tc>
          <w:tcPr>
            <w:tcW w:w="2430" w:type="dxa"/>
            <w:gridSpan w:val="2"/>
            <w:hideMark/>
          </w:tcPr>
          <w:p w14:paraId="0C852A65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93%</w:t>
            </w:r>
          </w:p>
        </w:tc>
      </w:tr>
      <w:tr w:rsidR="000B671E" w:rsidRPr="002F56B1" w14:paraId="20F85ACB" w14:textId="77777777" w:rsidTr="000B671E">
        <w:trPr>
          <w:trHeight w:val="290"/>
        </w:trPr>
        <w:tc>
          <w:tcPr>
            <w:tcW w:w="715" w:type="dxa"/>
            <w:noWrap/>
            <w:hideMark/>
          </w:tcPr>
          <w:p w14:paraId="1055FD5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3</w:t>
            </w:r>
          </w:p>
        </w:tc>
        <w:tc>
          <w:tcPr>
            <w:tcW w:w="7920" w:type="dxa"/>
            <w:hideMark/>
          </w:tcPr>
          <w:p w14:paraId="4DE5A789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No COPD diagnosis prior to the first diagnosis during the screening period</w:t>
            </w:r>
          </w:p>
        </w:tc>
        <w:tc>
          <w:tcPr>
            <w:tcW w:w="2520" w:type="dxa"/>
            <w:gridSpan w:val="2"/>
            <w:noWrap/>
            <w:hideMark/>
          </w:tcPr>
          <w:p w14:paraId="7E5908EF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814,674</w:t>
            </w:r>
          </w:p>
        </w:tc>
        <w:tc>
          <w:tcPr>
            <w:tcW w:w="2430" w:type="dxa"/>
            <w:gridSpan w:val="2"/>
            <w:noWrap/>
            <w:hideMark/>
          </w:tcPr>
          <w:p w14:paraId="38B8B4A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74%</w:t>
            </w:r>
          </w:p>
        </w:tc>
      </w:tr>
      <w:tr w:rsidR="000B671E" w:rsidRPr="002F56B1" w14:paraId="54CEEDC4" w14:textId="77777777" w:rsidTr="000B671E">
        <w:trPr>
          <w:trHeight w:val="575"/>
        </w:trPr>
        <w:tc>
          <w:tcPr>
            <w:tcW w:w="715" w:type="dxa"/>
            <w:noWrap/>
            <w:hideMark/>
          </w:tcPr>
          <w:p w14:paraId="72BFE094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4</w:t>
            </w:r>
          </w:p>
        </w:tc>
        <w:tc>
          <w:tcPr>
            <w:tcW w:w="7920" w:type="dxa"/>
            <w:hideMark/>
          </w:tcPr>
          <w:p w14:paraId="46178ED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 xml:space="preserve">Continuous health plan </w:t>
            </w:r>
            <w:proofErr w:type="spellStart"/>
            <w:r w:rsidRPr="002F56B1">
              <w:rPr>
                <w:sz w:val="20"/>
              </w:rPr>
              <w:t>enrollment</w:t>
            </w:r>
            <w:proofErr w:type="spellEnd"/>
            <w:r w:rsidRPr="002F56B1">
              <w:rPr>
                <w:sz w:val="20"/>
              </w:rPr>
              <w:t xml:space="preserve"> during the 12-months prior to the first COPD diagnosis during the screening period</w:t>
            </w:r>
          </w:p>
        </w:tc>
        <w:tc>
          <w:tcPr>
            <w:tcW w:w="2520" w:type="dxa"/>
            <w:gridSpan w:val="2"/>
            <w:noWrap/>
            <w:hideMark/>
          </w:tcPr>
          <w:p w14:paraId="10D0B34B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435,925</w:t>
            </w:r>
          </w:p>
        </w:tc>
        <w:tc>
          <w:tcPr>
            <w:tcW w:w="2430" w:type="dxa"/>
            <w:gridSpan w:val="2"/>
            <w:noWrap/>
            <w:hideMark/>
          </w:tcPr>
          <w:p w14:paraId="317AF327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54%</w:t>
            </w:r>
          </w:p>
        </w:tc>
      </w:tr>
      <w:tr w:rsidR="000B671E" w:rsidRPr="002F56B1" w14:paraId="0C2B8683" w14:textId="77777777" w:rsidTr="000B671E">
        <w:trPr>
          <w:trHeight w:val="323"/>
        </w:trPr>
        <w:tc>
          <w:tcPr>
            <w:tcW w:w="715" w:type="dxa"/>
            <w:hideMark/>
          </w:tcPr>
          <w:p w14:paraId="218466CD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</w:p>
        </w:tc>
        <w:tc>
          <w:tcPr>
            <w:tcW w:w="7920" w:type="dxa"/>
            <w:hideMark/>
          </w:tcPr>
          <w:p w14:paraId="6F687DD8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16B0AA3A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Counts</w:t>
            </w:r>
          </w:p>
        </w:tc>
        <w:tc>
          <w:tcPr>
            <w:tcW w:w="1530" w:type="dxa"/>
          </w:tcPr>
          <w:p w14:paraId="127F3622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% of prior step</w:t>
            </w:r>
          </w:p>
        </w:tc>
        <w:tc>
          <w:tcPr>
            <w:tcW w:w="900" w:type="dxa"/>
            <w:hideMark/>
          </w:tcPr>
          <w:p w14:paraId="354C7FA2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Counts</w:t>
            </w:r>
          </w:p>
        </w:tc>
        <w:tc>
          <w:tcPr>
            <w:tcW w:w="1530" w:type="dxa"/>
            <w:hideMark/>
          </w:tcPr>
          <w:p w14:paraId="52C9360E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% of prior step</w:t>
            </w:r>
          </w:p>
        </w:tc>
      </w:tr>
      <w:tr w:rsidR="000B671E" w:rsidRPr="002F56B1" w14:paraId="5B3E8C12" w14:textId="77777777" w:rsidTr="000B671E">
        <w:trPr>
          <w:trHeight w:val="260"/>
        </w:trPr>
        <w:tc>
          <w:tcPr>
            <w:tcW w:w="715" w:type="dxa"/>
            <w:noWrap/>
          </w:tcPr>
          <w:p w14:paraId="7CD417B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</w:p>
        </w:tc>
        <w:tc>
          <w:tcPr>
            <w:tcW w:w="7920" w:type="dxa"/>
          </w:tcPr>
          <w:p w14:paraId="6F9FD127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b/>
                <w:bCs/>
                <w:sz w:val="20"/>
              </w:rPr>
              <w:t xml:space="preserve">Cohort 1: </w:t>
            </w:r>
            <w:r>
              <w:rPr>
                <w:b/>
                <w:bCs/>
                <w:sz w:val="20"/>
              </w:rPr>
              <w:t>1-</w:t>
            </w:r>
            <w:r w:rsidRPr="002F56B1">
              <w:rPr>
                <w:b/>
                <w:bCs/>
                <w:sz w:val="20"/>
              </w:rPr>
              <w:t xml:space="preserve">AECOPD and </w:t>
            </w:r>
            <w:r>
              <w:rPr>
                <w:b/>
                <w:bCs/>
                <w:sz w:val="20"/>
              </w:rPr>
              <w:t xml:space="preserve">0-AECOPD </w:t>
            </w:r>
            <w:r w:rsidRPr="002F56B1">
              <w:rPr>
                <w:b/>
                <w:bCs/>
                <w:sz w:val="20"/>
              </w:rPr>
              <w:t>Comparator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520" w:type="dxa"/>
            <w:gridSpan w:val="2"/>
          </w:tcPr>
          <w:p w14:paraId="6127AC31" w14:textId="77777777" w:rsidR="000B671E" w:rsidRPr="002F56B1" w:rsidRDefault="000B671E" w:rsidP="000B671E">
            <w:pPr>
              <w:spacing w:after="0"/>
              <w:jc w:val="center"/>
              <w:rPr>
                <w:sz w:val="20"/>
              </w:rPr>
            </w:pPr>
            <w:r w:rsidRPr="002F56B1">
              <w:rPr>
                <w:b/>
                <w:bCs/>
                <w:sz w:val="20"/>
              </w:rPr>
              <w:t xml:space="preserve">AECOPD </w:t>
            </w:r>
            <w:proofErr w:type="spellStart"/>
            <w:r w:rsidRPr="002F56B1">
              <w:rPr>
                <w:b/>
                <w:bCs/>
                <w:sz w:val="20"/>
              </w:rPr>
              <w:t>cohort</w:t>
            </w:r>
            <w:r>
              <w:rPr>
                <w:b/>
                <w:bCs/>
                <w:sz w:val="20"/>
                <w:vertAlign w:val="superscript"/>
              </w:rPr>
              <w:t>b</w:t>
            </w:r>
            <w:proofErr w:type="spellEnd"/>
          </w:p>
        </w:tc>
        <w:tc>
          <w:tcPr>
            <w:tcW w:w="2430" w:type="dxa"/>
            <w:gridSpan w:val="2"/>
            <w:noWrap/>
          </w:tcPr>
          <w:p w14:paraId="4A05CAB6" w14:textId="77777777" w:rsidR="000B671E" w:rsidRPr="002F56B1" w:rsidRDefault="000B671E" w:rsidP="000B671E">
            <w:pPr>
              <w:spacing w:after="0"/>
              <w:jc w:val="center"/>
              <w:rPr>
                <w:sz w:val="20"/>
              </w:rPr>
            </w:pPr>
            <w:r w:rsidRPr="002F56B1">
              <w:rPr>
                <w:b/>
                <w:bCs/>
                <w:sz w:val="20"/>
              </w:rPr>
              <w:t xml:space="preserve">Comparator </w:t>
            </w:r>
            <w:proofErr w:type="spellStart"/>
            <w:r w:rsidRPr="002F56B1">
              <w:rPr>
                <w:b/>
                <w:bCs/>
                <w:sz w:val="20"/>
              </w:rPr>
              <w:t>cohort</w:t>
            </w:r>
            <w:r>
              <w:rPr>
                <w:b/>
                <w:bCs/>
                <w:sz w:val="20"/>
                <w:vertAlign w:val="superscript"/>
              </w:rPr>
              <w:t>c</w:t>
            </w:r>
            <w:proofErr w:type="spellEnd"/>
          </w:p>
        </w:tc>
      </w:tr>
      <w:tr w:rsidR="000B671E" w:rsidRPr="002F56B1" w14:paraId="6CF28211" w14:textId="77777777" w:rsidTr="000B671E">
        <w:trPr>
          <w:trHeight w:val="260"/>
        </w:trPr>
        <w:tc>
          <w:tcPr>
            <w:tcW w:w="715" w:type="dxa"/>
            <w:noWrap/>
          </w:tcPr>
          <w:p w14:paraId="09907438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5</w:t>
            </w:r>
            <w:r>
              <w:rPr>
                <w:sz w:val="20"/>
              </w:rPr>
              <w:t>a</w:t>
            </w:r>
          </w:p>
        </w:tc>
        <w:tc>
          <w:tcPr>
            <w:tcW w:w="7920" w:type="dxa"/>
          </w:tcPr>
          <w:p w14:paraId="05C74E7B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 xml:space="preserve">Had a </w:t>
            </w:r>
            <w:r>
              <w:rPr>
                <w:sz w:val="20"/>
              </w:rPr>
              <w:t xml:space="preserve">first AECOPD or assigned comparator index date </w:t>
            </w:r>
          </w:p>
        </w:tc>
        <w:tc>
          <w:tcPr>
            <w:tcW w:w="990" w:type="dxa"/>
          </w:tcPr>
          <w:p w14:paraId="4A1A78C2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170,236</w:t>
            </w:r>
          </w:p>
        </w:tc>
        <w:tc>
          <w:tcPr>
            <w:tcW w:w="1530" w:type="dxa"/>
          </w:tcPr>
          <w:p w14:paraId="74978D87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39%</w:t>
            </w:r>
          </w:p>
        </w:tc>
        <w:tc>
          <w:tcPr>
            <w:tcW w:w="900" w:type="dxa"/>
            <w:noWrap/>
          </w:tcPr>
          <w:p w14:paraId="751D7930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435,925</w:t>
            </w:r>
          </w:p>
        </w:tc>
        <w:tc>
          <w:tcPr>
            <w:tcW w:w="1530" w:type="dxa"/>
          </w:tcPr>
          <w:p w14:paraId="06BF1E1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100%</w:t>
            </w:r>
          </w:p>
        </w:tc>
      </w:tr>
      <w:tr w:rsidR="000B671E" w:rsidRPr="002F56B1" w14:paraId="3191C989" w14:textId="77777777" w:rsidTr="000B671E">
        <w:trPr>
          <w:trHeight w:val="305"/>
        </w:trPr>
        <w:tc>
          <w:tcPr>
            <w:tcW w:w="715" w:type="dxa"/>
            <w:noWrap/>
            <w:hideMark/>
          </w:tcPr>
          <w:p w14:paraId="2E74AFF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6a</w:t>
            </w:r>
          </w:p>
        </w:tc>
        <w:tc>
          <w:tcPr>
            <w:tcW w:w="7920" w:type="dxa"/>
            <w:hideMark/>
          </w:tcPr>
          <w:p w14:paraId="4D8FCF94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 xml:space="preserve">Continuous health plan </w:t>
            </w:r>
            <w:proofErr w:type="spellStart"/>
            <w:r w:rsidRPr="002F56B1">
              <w:rPr>
                <w:sz w:val="20"/>
              </w:rPr>
              <w:t>enrollment</w:t>
            </w:r>
            <w:proofErr w:type="spellEnd"/>
            <w:r w:rsidRPr="002F56B1">
              <w:rPr>
                <w:sz w:val="20"/>
              </w:rPr>
              <w:t xml:space="preserve"> from the first COPD diagnosis date through the index date</w:t>
            </w:r>
          </w:p>
        </w:tc>
        <w:tc>
          <w:tcPr>
            <w:tcW w:w="990" w:type="dxa"/>
            <w:hideMark/>
          </w:tcPr>
          <w:p w14:paraId="211B3EB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168,180</w:t>
            </w:r>
          </w:p>
        </w:tc>
        <w:tc>
          <w:tcPr>
            <w:tcW w:w="1530" w:type="dxa"/>
            <w:noWrap/>
            <w:hideMark/>
          </w:tcPr>
          <w:p w14:paraId="2D4236D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99%</w:t>
            </w:r>
          </w:p>
        </w:tc>
        <w:tc>
          <w:tcPr>
            <w:tcW w:w="900" w:type="dxa"/>
            <w:hideMark/>
          </w:tcPr>
          <w:p w14:paraId="603FBF8F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411,959</w:t>
            </w:r>
          </w:p>
        </w:tc>
        <w:tc>
          <w:tcPr>
            <w:tcW w:w="1530" w:type="dxa"/>
            <w:noWrap/>
            <w:hideMark/>
          </w:tcPr>
          <w:p w14:paraId="08A4B3C9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95%</w:t>
            </w:r>
          </w:p>
        </w:tc>
      </w:tr>
      <w:tr w:rsidR="000B671E" w:rsidRPr="002F56B1" w14:paraId="12C6A569" w14:textId="77777777" w:rsidTr="000B671E">
        <w:trPr>
          <w:trHeight w:val="290"/>
        </w:trPr>
        <w:tc>
          <w:tcPr>
            <w:tcW w:w="715" w:type="dxa"/>
            <w:noWrap/>
            <w:hideMark/>
          </w:tcPr>
          <w:p w14:paraId="40ED6A5B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7a</w:t>
            </w:r>
          </w:p>
        </w:tc>
        <w:tc>
          <w:tcPr>
            <w:tcW w:w="7920" w:type="dxa"/>
            <w:hideMark/>
          </w:tcPr>
          <w:p w14:paraId="6F15F9E0" w14:textId="77777777" w:rsidR="000B671E" w:rsidRPr="00C2675A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 xml:space="preserve">No acute CV event in the 6 months prior to the index date </w:t>
            </w:r>
          </w:p>
        </w:tc>
        <w:tc>
          <w:tcPr>
            <w:tcW w:w="990" w:type="dxa"/>
            <w:hideMark/>
          </w:tcPr>
          <w:p w14:paraId="391FF7E4" w14:textId="77777777" w:rsidR="000B671E" w:rsidRPr="00C2675A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>158,778</w:t>
            </w:r>
          </w:p>
        </w:tc>
        <w:tc>
          <w:tcPr>
            <w:tcW w:w="1530" w:type="dxa"/>
            <w:hideMark/>
          </w:tcPr>
          <w:p w14:paraId="1A75C6DD" w14:textId="77777777" w:rsidR="000B671E" w:rsidRPr="00C2675A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>94%</w:t>
            </w:r>
          </w:p>
        </w:tc>
        <w:tc>
          <w:tcPr>
            <w:tcW w:w="900" w:type="dxa"/>
            <w:hideMark/>
          </w:tcPr>
          <w:p w14:paraId="335AC861" w14:textId="77777777" w:rsidR="000B671E" w:rsidRPr="00C2675A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>384,633</w:t>
            </w:r>
          </w:p>
        </w:tc>
        <w:tc>
          <w:tcPr>
            <w:tcW w:w="1530" w:type="dxa"/>
            <w:hideMark/>
          </w:tcPr>
          <w:p w14:paraId="3CC5FEA4" w14:textId="77777777" w:rsidR="000B671E" w:rsidRPr="00C2675A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>93%</w:t>
            </w:r>
          </w:p>
        </w:tc>
      </w:tr>
      <w:tr w:rsidR="000B671E" w:rsidRPr="002F56B1" w14:paraId="39A79990" w14:textId="77777777" w:rsidTr="000B671E">
        <w:trPr>
          <w:trHeight w:val="290"/>
        </w:trPr>
        <w:tc>
          <w:tcPr>
            <w:tcW w:w="715" w:type="dxa"/>
            <w:noWrap/>
          </w:tcPr>
          <w:p w14:paraId="69C459B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2F56B1">
              <w:rPr>
                <w:sz w:val="20"/>
              </w:rPr>
              <w:t>a</w:t>
            </w:r>
          </w:p>
        </w:tc>
        <w:tc>
          <w:tcPr>
            <w:tcW w:w="7920" w:type="dxa"/>
          </w:tcPr>
          <w:p w14:paraId="2CB31155" w14:textId="77777777" w:rsidR="000B671E" w:rsidRPr="00C2675A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>No history of AECOPD prior to the index date</w:t>
            </w:r>
          </w:p>
        </w:tc>
        <w:tc>
          <w:tcPr>
            <w:tcW w:w="990" w:type="dxa"/>
          </w:tcPr>
          <w:p w14:paraId="6CACBEC5" w14:textId="77777777" w:rsidR="000B671E" w:rsidRPr="00C2675A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>NA</w:t>
            </w:r>
          </w:p>
        </w:tc>
        <w:tc>
          <w:tcPr>
            <w:tcW w:w="1530" w:type="dxa"/>
          </w:tcPr>
          <w:p w14:paraId="3A1F840D" w14:textId="77777777" w:rsidR="000B671E" w:rsidRPr="00C2675A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>NA</w:t>
            </w:r>
          </w:p>
        </w:tc>
        <w:tc>
          <w:tcPr>
            <w:tcW w:w="900" w:type="dxa"/>
          </w:tcPr>
          <w:p w14:paraId="6619C38F" w14:textId="77777777" w:rsidR="000B671E" w:rsidRPr="00C2675A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>270,796</w:t>
            </w:r>
          </w:p>
        </w:tc>
        <w:tc>
          <w:tcPr>
            <w:tcW w:w="1530" w:type="dxa"/>
          </w:tcPr>
          <w:p w14:paraId="057020D1" w14:textId="77777777" w:rsidR="000B671E" w:rsidRPr="00C2675A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>70%</w:t>
            </w:r>
          </w:p>
        </w:tc>
      </w:tr>
      <w:tr w:rsidR="000B671E" w:rsidRPr="002F56B1" w14:paraId="362FA560" w14:textId="77777777" w:rsidTr="000B671E">
        <w:trPr>
          <w:trHeight w:val="330"/>
        </w:trPr>
        <w:tc>
          <w:tcPr>
            <w:tcW w:w="715" w:type="dxa"/>
            <w:noWrap/>
            <w:hideMark/>
          </w:tcPr>
          <w:p w14:paraId="6DBB0685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9a</w:t>
            </w:r>
          </w:p>
        </w:tc>
        <w:tc>
          <w:tcPr>
            <w:tcW w:w="7920" w:type="dxa"/>
            <w:hideMark/>
          </w:tcPr>
          <w:p w14:paraId="3AF61B05" w14:textId="16623CA8" w:rsidR="000B671E" w:rsidRPr="00303ADC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 xml:space="preserve">Patients </w:t>
            </w:r>
            <w:r w:rsidR="00BC367D">
              <w:rPr>
                <w:sz w:val="20"/>
              </w:rPr>
              <w:t xml:space="preserve">with </w:t>
            </w:r>
            <w:r w:rsidRPr="002F56B1">
              <w:rPr>
                <w:sz w:val="20"/>
              </w:rPr>
              <w:t xml:space="preserve">complete </w:t>
            </w:r>
            <w:proofErr w:type="spellStart"/>
            <w:r w:rsidRPr="002F56B1">
              <w:rPr>
                <w:sz w:val="20"/>
              </w:rPr>
              <w:t>data</w:t>
            </w:r>
            <w:r w:rsidR="00F6131D">
              <w:rPr>
                <w:sz w:val="20"/>
                <w:vertAlign w:val="superscript"/>
              </w:rPr>
              <w:t>d</w:t>
            </w:r>
            <w:proofErr w:type="spellEnd"/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990" w:type="dxa"/>
            <w:hideMark/>
          </w:tcPr>
          <w:p w14:paraId="0E776EA7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145,838</w:t>
            </w:r>
          </w:p>
        </w:tc>
        <w:tc>
          <w:tcPr>
            <w:tcW w:w="1530" w:type="dxa"/>
            <w:hideMark/>
          </w:tcPr>
          <w:p w14:paraId="16DCBC5C" w14:textId="77777777" w:rsidR="000B671E" w:rsidRPr="00EA2072" w:rsidRDefault="000B671E" w:rsidP="000B671E">
            <w:pPr>
              <w:spacing w:after="0"/>
              <w:rPr>
                <w:sz w:val="20"/>
              </w:rPr>
            </w:pPr>
            <w:r w:rsidRPr="00EA2072">
              <w:rPr>
                <w:sz w:val="20"/>
              </w:rPr>
              <w:t>9</w:t>
            </w:r>
            <w:r>
              <w:rPr>
                <w:sz w:val="20"/>
              </w:rPr>
              <w:t>2</w:t>
            </w:r>
            <w:r w:rsidRPr="00EA2072">
              <w:rPr>
                <w:sz w:val="20"/>
              </w:rPr>
              <w:t>%</w:t>
            </w:r>
          </w:p>
        </w:tc>
        <w:tc>
          <w:tcPr>
            <w:tcW w:w="900" w:type="dxa"/>
            <w:hideMark/>
          </w:tcPr>
          <w:p w14:paraId="2D32D809" w14:textId="77777777" w:rsidR="000B671E" w:rsidRPr="00EA2072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EA2072">
              <w:rPr>
                <w:b/>
                <w:bCs/>
                <w:sz w:val="20"/>
              </w:rPr>
              <w:t>249,703</w:t>
            </w:r>
          </w:p>
        </w:tc>
        <w:tc>
          <w:tcPr>
            <w:tcW w:w="1530" w:type="dxa"/>
            <w:hideMark/>
          </w:tcPr>
          <w:p w14:paraId="1296971B" w14:textId="77777777" w:rsidR="000B671E" w:rsidRPr="00EA2072" w:rsidRDefault="000B671E" w:rsidP="000B671E">
            <w:pPr>
              <w:spacing w:after="0"/>
              <w:rPr>
                <w:sz w:val="20"/>
              </w:rPr>
            </w:pPr>
            <w:r w:rsidRPr="00EA2072">
              <w:rPr>
                <w:sz w:val="20"/>
              </w:rPr>
              <w:t>92%</w:t>
            </w:r>
          </w:p>
        </w:tc>
      </w:tr>
      <w:tr w:rsidR="000B671E" w:rsidRPr="002F56B1" w14:paraId="37045504" w14:textId="77777777" w:rsidTr="000B671E">
        <w:trPr>
          <w:trHeight w:val="260"/>
        </w:trPr>
        <w:tc>
          <w:tcPr>
            <w:tcW w:w="715" w:type="dxa"/>
            <w:noWrap/>
            <w:hideMark/>
          </w:tcPr>
          <w:p w14:paraId="5CE8210D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 </w:t>
            </w:r>
          </w:p>
        </w:tc>
        <w:tc>
          <w:tcPr>
            <w:tcW w:w="7920" w:type="dxa"/>
            <w:hideMark/>
          </w:tcPr>
          <w:p w14:paraId="5048CD02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 xml:space="preserve">Cohort 2: </w:t>
            </w:r>
            <w:r>
              <w:rPr>
                <w:b/>
                <w:bCs/>
                <w:sz w:val="20"/>
              </w:rPr>
              <w:t>2-</w:t>
            </w:r>
            <w:r w:rsidRPr="002F56B1">
              <w:rPr>
                <w:b/>
                <w:bCs/>
                <w:sz w:val="20"/>
              </w:rPr>
              <w:t xml:space="preserve">AECOPD and </w:t>
            </w:r>
            <w:r>
              <w:rPr>
                <w:b/>
                <w:bCs/>
                <w:sz w:val="20"/>
              </w:rPr>
              <w:t xml:space="preserve">1-AECOPD Comparator  </w:t>
            </w:r>
          </w:p>
        </w:tc>
        <w:tc>
          <w:tcPr>
            <w:tcW w:w="990" w:type="dxa"/>
            <w:noWrap/>
            <w:hideMark/>
          </w:tcPr>
          <w:p w14:paraId="13EDA50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 </w:t>
            </w:r>
          </w:p>
        </w:tc>
        <w:tc>
          <w:tcPr>
            <w:tcW w:w="1530" w:type="dxa"/>
            <w:noWrap/>
            <w:hideMark/>
          </w:tcPr>
          <w:p w14:paraId="1EE125E9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E7814B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 </w:t>
            </w:r>
          </w:p>
        </w:tc>
        <w:tc>
          <w:tcPr>
            <w:tcW w:w="1530" w:type="dxa"/>
            <w:noWrap/>
            <w:hideMark/>
          </w:tcPr>
          <w:p w14:paraId="1FC0803D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 </w:t>
            </w:r>
          </w:p>
        </w:tc>
      </w:tr>
      <w:tr w:rsidR="000B671E" w:rsidRPr="002F56B1" w14:paraId="5DB4E656" w14:textId="77777777" w:rsidTr="000B671E">
        <w:trPr>
          <w:trHeight w:val="290"/>
        </w:trPr>
        <w:tc>
          <w:tcPr>
            <w:tcW w:w="715" w:type="dxa"/>
            <w:noWrap/>
            <w:hideMark/>
          </w:tcPr>
          <w:p w14:paraId="3C3E3E6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5b</w:t>
            </w:r>
          </w:p>
        </w:tc>
        <w:tc>
          <w:tcPr>
            <w:tcW w:w="7920" w:type="dxa"/>
            <w:hideMark/>
          </w:tcPr>
          <w:p w14:paraId="3AED38AF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Had a cohort specific index date</w:t>
            </w:r>
          </w:p>
        </w:tc>
        <w:tc>
          <w:tcPr>
            <w:tcW w:w="990" w:type="dxa"/>
            <w:noWrap/>
            <w:hideMark/>
          </w:tcPr>
          <w:p w14:paraId="39A452B0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68,618</w:t>
            </w:r>
          </w:p>
        </w:tc>
        <w:tc>
          <w:tcPr>
            <w:tcW w:w="1530" w:type="dxa"/>
            <w:noWrap/>
            <w:hideMark/>
          </w:tcPr>
          <w:p w14:paraId="7004FDDB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43%</w:t>
            </w:r>
          </w:p>
        </w:tc>
        <w:tc>
          <w:tcPr>
            <w:tcW w:w="900" w:type="dxa"/>
            <w:hideMark/>
          </w:tcPr>
          <w:p w14:paraId="0A8BA52F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170,236</w:t>
            </w:r>
          </w:p>
        </w:tc>
        <w:tc>
          <w:tcPr>
            <w:tcW w:w="1530" w:type="dxa"/>
            <w:noWrap/>
            <w:hideMark/>
          </w:tcPr>
          <w:p w14:paraId="2A4CC1D6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63%</w:t>
            </w:r>
          </w:p>
        </w:tc>
      </w:tr>
      <w:tr w:rsidR="000B671E" w:rsidRPr="002F56B1" w14:paraId="0FF70AB8" w14:textId="77777777" w:rsidTr="000B671E">
        <w:trPr>
          <w:trHeight w:val="323"/>
        </w:trPr>
        <w:tc>
          <w:tcPr>
            <w:tcW w:w="715" w:type="dxa"/>
            <w:noWrap/>
            <w:hideMark/>
          </w:tcPr>
          <w:p w14:paraId="7FF568E6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6b</w:t>
            </w:r>
          </w:p>
        </w:tc>
        <w:tc>
          <w:tcPr>
            <w:tcW w:w="7920" w:type="dxa"/>
            <w:hideMark/>
          </w:tcPr>
          <w:p w14:paraId="04C642D5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 xml:space="preserve">Continuous health plan </w:t>
            </w:r>
            <w:proofErr w:type="spellStart"/>
            <w:r w:rsidRPr="002F56B1">
              <w:rPr>
                <w:sz w:val="20"/>
              </w:rPr>
              <w:t>enrollment</w:t>
            </w:r>
            <w:proofErr w:type="spellEnd"/>
            <w:r w:rsidRPr="002F56B1">
              <w:rPr>
                <w:sz w:val="20"/>
              </w:rPr>
              <w:t xml:space="preserve"> from the first COPD diagnosis date through the index date</w:t>
            </w:r>
          </w:p>
        </w:tc>
        <w:tc>
          <w:tcPr>
            <w:tcW w:w="990" w:type="dxa"/>
            <w:noWrap/>
            <w:hideMark/>
          </w:tcPr>
          <w:p w14:paraId="44FEA1D9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66,548</w:t>
            </w:r>
          </w:p>
        </w:tc>
        <w:tc>
          <w:tcPr>
            <w:tcW w:w="1530" w:type="dxa"/>
            <w:noWrap/>
            <w:hideMark/>
          </w:tcPr>
          <w:p w14:paraId="7793CBB5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97%</w:t>
            </w:r>
          </w:p>
        </w:tc>
        <w:tc>
          <w:tcPr>
            <w:tcW w:w="900" w:type="dxa"/>
            <w:noWrap/>
            <w:hideMark/>
          </w:tcPr>
          <w:p w14:paraId="7BFAE2B3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150,983</w:t>
            </w:r>
          </w:p>
        </w:tc>
        <w:tc>
          <w:tcPr>
            <w:tcW w:w="1530" w:type="dxa"/>
            <w:noWrap/>
            <w:hideMark/>
          </w:tcPr>
          <w:p w14:paraId="62D7E848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89%</w:t>
            </w:r>
          </w:p>
        </w:tc>
      </w:tr>
      <w:tr w:rsidR="000B671E" w:rsidRPr="002F56B1" w14:paraId="69A02CCB" w14:textId="77777777" w:rsidTr="000B671E">
        <w:trPr>
          <w:trHeight w:val="290"/>
        </w:trPr>
        <w:tc>
          <w:tcPr>
            <w:tcW w:w="715" w:type="dxa"/>
            <w:noWrap/>
            <w:hideMark/>
          </w:tcPr>
          <w:p w14:paraId="1362F24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7b</w:t>
            </w:r>
          </w:p>
        </w:tc>
        <w:tc>
          <w:tcPr>
            <w:tcW w:w="7920" w:type="dxa"/>
            <w:hideMark/>
          </w:tcPr>
          <w:p w14:paraId="55F5B242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No history of acute CV events in the 6 months prior to the index date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0" w:type="dxa"/>
            <w:noWrap/>
            <w:hideMark/>
          </w:tcPr>
          <w:p w14:paraId="4DC482B7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59,882</w:t>
            </w:r>
          </w:p>
        </w:tc>
        <w:tc>
          <w:tcPr>
            <w:tcW w:w="1530" w:type="dxa"/>
            <w:noWrap/>
            <w:hideMark/>
          </w:tcPr>
          <w:p w14:paraId="06D7802C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90%</w:t>
            </w:r>
          </w:p>
        </w:tc>
        <w:tc>
          <w:tcPr>
            <w:tcW w:w="900" w:type="dxa"/>
            <w:noWrap/>
            <w:hideMark/>
          </w:tcPr>
          <w:p w14:paraId="145CDBB9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>141</w:t>
            </w:r>
            <w:r>
              <w:rPr>
                <w:sz w:val="20"/>
              </w:rPr>
              <w:t>,</w:t>
            </w:r>
            <w:r w:rsidRPr="00C2675A">
              <w:rPr>
                <w:sz w:val="20"/>
              </w:rPr>
              <w:t>255</w:t>
            </w:r>
          </w:p>
        </w:tc>
        <w:tc>
          <w:tcPr>
            <w:tcW w:w="1530" w:type="dxa"/>
            <w:noWrap/>
            <w:hideMark/>
          </w:tcPr>
          <w:p w14:paraId="4966037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94%</w:t>
            </w:r>
          </w:p>
        </w:tc>
      </w:tr>
      <w:tr w:rsidR="000B671E" w:rsidRPr="002F56B1" w14:paraId="2BB0CA8D" w14:textId="77777777" w:rsidTr="000B671E">
        <w:trPr>
          <w:trHeight w:val="290"/>
        </w:trPr>
        <w:tc>
          <w:tcPr>
            <w:tcW w:w="715" w:type="dxa"/>
            <w:noWrap/>
          </w:tcPr>
          <w:p w14:paraId="40E360E8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2F56B1">
              <w:rPr>
                <w:sz w:val="20"/>
              </w:rPr>
              <w:t>b</w:t>
            </w:r>
          </w:p>
        </w:tc>
        <w:tc>
          <w:tcPr>
            <w:tcW w:w="7920" w:type="dxa"/>
          </w:tcPr>
          <w:p w14:paraId="6E09731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No history of 2</w:t>
            </w:r>
            <w:r w:rsidRPr="00596D52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AECOPD prior to the 1-AECOPD comparator index date</w:t>
            </w:r>
          </w:p>
        </w:tc>
        <w:tc>
          <w:tcPr>
            <w:tcW w:w="990" w:type="dxa"/>
            <w:noWrap/>
          </w:tcPr>
          <w:p w14:paraId="7B91AFF1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530" w:type="dxa"/>
            <w:noWrap/>
          </w:tcPr>
          <w:p w14:paraId="1F17A85D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900" w:type="dxa"/>
            <w:noWrap/>
          </w:tcPr>
          <w:p w14:paraId="69A2BC58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79,119</w:t>
            </w:r>
          </w:p>
        </w:tc>
        <w:tc>
          <w:tcPr>
            <w:tcW w:w="1530" w:type="dxa"/>
            <w:noWrap/>
          </w:tcPr>
          <w:p w14:paraId="23205D87" w14:textId="77777777" w:rsidR="000B671E" w:rsidRPr="00EA2072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56%</w:t>
            </w:r>
          </w:p>
        </w:tc>
      </w:tr>
      <w:tr w:rsidR="000B671E" w:rsidRPr="002F56B1" w14:paraId="011ED8DD" w14:textId="77777777" w:rsidTr="000B671E">
        <w:trPr>
          <w:trHeight w:val="330"/>
        </w:trPr>
        <w:tc>
          <w:tcPr>
            <w:tcW w:w="715" w:type="dxa"/>
            <w:noWrap/>
            <w:hideMark/>
          </w:tcPr>
          <w:p w14:paraId="38575A24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9b</w:t>
            </w:r>
          </w:p>
        </w:tc>
        <w:tc>
          <w:tcPr>
            <w:tcW w:w="7920" w:type="dxa"/>
            <w:hideMark/>
          </w:tcPr>
          <w:p w14:paraId="0A29E588" w14:textId="4D25F9D0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 xml:space="preserve">Patients with complete </w:t>
            </w:r>
            <w:proofErr w:type="spellStart"/>
            <w:r w:rsidRPr="002F56B1">
              <w:rPr>
                <w:sz w:val="20"/>
              </w:rPr>
              <w:t>data</w:t>
            </w:r>
            <w:r w:rsidR="00F6131D">
              <w:rPr>
                <w:sz w:val="20"/>
                <w:vertAlign w:val="superscript"/>
              </w:rPr>
              <w:t>d</w:t>
            </w:r>
            <w:proofErr w:type="spellEnd"/>
          </w:p>
        </w:tc>
        <w:tc>
          <w:tcPr>
            <w:tcW w:w="990" w:type="dxa"/>
            <w:noWrap/>
            <w:hideMark/>
          </w:tcPr>
          <w:p w14:paraId="04574CB4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55,503</w:t>
            </w:r>
          </w:p>
        </w:tc>
        <w:tc>
          <w:tcPr>
            <w:tcW w:w="1530" w:type="dxa"/>
            <w:hideMark/>
          </w:tcPr>
          <w:p w14:paraId="24265502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EA2072">
              <w:rPr>
                <w:sz w:val="20"/>
              </w:rPr>
              <w:t>93%</w:t>
            </w:r>
          </w:p>
        </w:tc>
        <w:tc>
          <w:tcPr>
            <w:tcW w:w="900" w:type="dxa"/>
            <w:noWrap/>
            <w:hideMark/>
          </w:tcPr>
          <w:p w14:paraId="6D97E95E" w14:textId="77777777" w:rsidR="000B671E" w:rsidRPr="00EA2072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EA2072">
              <w:rPr>
                <w:b/>
                <w:bCs/>
                <w:sz w:val="20"/>
              </w:rPr>
              <w:t>72,840</w:t>
            </w:r>
          </w:p>
        </w:tc>
        <w:tc>
          <w:tcPr>
            <w:tcW w:w="1530" w:type="dxa"/>
            <w:hideMark/>
          </w:tcPr>
          <w:p w14:paraId="77E0AB76" w14:textId="77777777" w:rsidR="000B671E" w:rsidRPr="00EA2072" w:rsidRDefault="000B671E" w:rsidP="000B671E">
            <w:pPr>
              <w:spacing w:after="0"/>
              <w:rPr>
                <w:sz w:val="20"/>
              </w:rPr>
            </w:pPr>
            <w:r w:rsidRPr="00EA2072">
              <w:rPr>
                <w:sz w:val="20"/>
              </w:rPr>
              <w:t>92%</w:t>
            </w:r>
          </w:p>
        </w:tc>
      </w:tr>
      <w:tr w:rsidR="000B671E" w:rsidRPr="002F56B1" w14:paraId="54429629" w14:textId="77777777" w:rsidTr="000B671E">
        <w:trPr>
          <w:trHeight w:val="290"/>
        </w:trPr>
        <w:tc>
          <w:tcPr>
            <w:tcW w:w="715" w:type="dxa"/>
            <w:noWrap/>
            <w:hideMark/>
          </w:tcPr>
          <w:p w14:paraId="177247A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 </w:t>
            </w:r>
          </w:p>
        </w:tc>
        <w:tc>
          <w:tcPr>
            <w:tcW w:w="7920" w:type="dxa"/>
            <w:hideMark/>
          </w:tcPr>
          <w:p w14:paraId="16341323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 xml:space="preserve">Cohort 3: </w:t>
            </w:r>
            <w:r>
              <w:rPr>
                <w:b/>
                <w:bCs/>
                <w:sz w:val="20"/>
              </w:rPr>
              <w:t>3-</w:t>
            </w:r>
            <w:r w:rsidRPr="002F56B1">
              <w:rPr>
                <w:b/>
                <w:bCs/>
                <w:sz w:val="20"/>
              </w:rPr>
              <w:t xml:space="preserve">AECOPD and </w:t>
            </w:r>
            <w:r>
              <w:rPr>
                <w:b/>
                <w:bCs/>
                <w:sz w:val="20"/>
              </w:rPr>
              <w:t xml:space="preserve">2-AECOPD </w:t>
            </w:r>
            <w:r w:rsidRPr="002F56B1">
              <w:rPr>
                <w:b/>
                <w:bCs/>
                <w:sz w:val="20"/>
              </w:rPr>
              <w:t>Comparator</w:t>
            </w:r>
          </w:p>
        </w:tc>
        <w:tc>
          <w:tcPr>
            <w:tcW w:w="990" w:type="dxa"/>
            <w:noWrap/>
            <w:hideMark/>
          </w:tcPr>
          <w:p w14:paraId="66CEE48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 </w:t>
            </w:r>
          </w:p>
        </w:tc>
        <w:tc>
          <w:tcPr>
            <w:tcW w:w="1530" w:type="dxa"/>
            <w:noWrap/>
            <w:hideMark/>
          </w:tcPr>
          <w:p w14:paraId="2A227AE2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7D0EBC0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 </w:t>
            </w:r>
          </w:p>
        </w:tc>
        <w:tc>
          <w:tcPr>
            <w:tcW w:w="1530" w:type="dxa"/>
            <w:noWrap/>
            <w:hideMark/>
          </w:tcPr>
          <w:p w14:paraId="74F0C857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 </w:t>
            </w:r>
          </w:p>
        </w:tc>
      </w:tr>
      <w:tr w:rsidR="000B671E" w:rsidRPr="002F56B1" w14:paraId="1CEB9E2A" w14:textId="77777777" w:rsidTr="000B671E">
        <w:trPr>
          <w:trHeight w:val="290"/>
        </w:trPr>
        <w:tc>
          <w:tcPr>
            <w:tcW w:w="715" w:type="dxa"/>
            <w:noWrap/>
            <w:hideMark/>
          </w:tcPr>
          <w:p w14:paraId="198773BF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5c</w:t>
            </w:r>
          </w:p>
        </w:tc>
        <w:tc>
          <w:tcPr>
            <w:tcW w:w="7920" w:type="dxa"/>
            <w:hideMark/>
          </w:tcPr>
          <w:p w14:paraId="7C70197C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Had a cohort specific index date</w:t>
            </w:r>
          </w:p>
        </w:tc>
        <w:tc>
          <w:tcPr>
            <w:tcW w:w="990" w:type="dxa"/>
            <w:noWrap/>
            <w:hideMark/>
          </w:tcPr>
          <w:p w14:paraId="738EA59A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39,672</w:t>
            </w:r>
          </w:p>
        </w:tc>
        <w:tc>
          <w:tcPr>
            <w:tcW w:w="1530" w:type="dxa"/>
            <w:noWrap/>
            <w:hideMark/>
          </w:tcPr>
          <w:p w14:paraId="4273F304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66%</w:t>
            </w:r>
          </w:p>
        </w:tc>
        <w:tc>
          <w:tcPr>
            <w:tcW w:w="900" w:type="dxa"/>
            <w:noWrap/>
            <w:hideMark/>
          </w:tcPr>
          <w:p w14:paraId="753EB3D8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68,618</w:t>
            </w:r>
          </w:p>
        </w:tc>
        <w:tc>
          <w:tcPr>
            <w:tcW w:w="1530" w:type="dxa"/>
            <w:noWrap/>
            <w:hideMark/>
          </w:tcPr>
          <w:p w14:paraId="01866C0B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87%</w:t>
            </w:r>
          </w:p>
        </w:tc>
      </w:tr>
      <w:tr w:rsidR="000B671E" w:rsidRPr="002F56B1" w14:paraId="34A9189A" w14:textId="77777777" w:rsidTr="000B671E">
        <w:trPr>
          <w:trHeight w:val="323"/>
        </w:trPr>
        <w:tc>
          <w:tcPr>
            <w:tcW w:w="715" w:type="dxa"/>
            <w:noWrap/>
            <w:hideMark/>
          </w:tcPr>
          <w:p w14:paraId="161F85A2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6c</w:t>
            </w:r>
          </w:p>
        </w:tc>
        <w:tc>
          <w:tcPr>
            <w:tcW w:w="7920" w:type="dxa"/>
            <w:hideMark/>
          </w:tcPr>
          <w:p w14:paraId="525644B2" w14:textId="2BE3BA40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 xml:space="preserve">Continuous health plan </w:t>
            </w:r>
            <w:proofErr w:type="spellStart"/>
            <w:r w:rsidRPr="002F56B1">
              <w:rPr>
                <w:sz w:val="20"/>
              </w:rPr>
              <w:t>enrollment</w:t>
            </w:r>
            <w:proofErr w:type="spellEnd"/>
            <w:r w:rsidRPr="002F56B1">
              <w:rPr>
                <w:sz w:val="20"/>
              </w:rPr>
              <w:t xml:space="preserve"> from the first COPD diagnosis date through the index date</w:t>
            </w:r>
          </w:p>
        </w:tc>
        <w:tc>
          <w:tcPr>
            <w:tcW w:w="990" w:type="dxa"/>
            <w:noWrap/>
            <w:hideMark/>
          </w:tcPr>
          <w:p w14:paraId="529642A2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38,090</w:t>
            </w:r>
          </w:p>
        </w:tc>
        <w:tc>
          <w:tcPr>
            <w:tcW w:w="1530" w:type="dxa"/>
            <w:noWrap/>
            <w:hideMark/>
          </w:tcPr>
          <w:p w14:paraId="69871A77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96%</w:t>
            </w:r>
          </w:p>
        </w:tc>
        <w:tc>
          <w:tcPr>
            <w:tcW w:w="900" w:type="dxa"/>
            <w:noWrap/>
            <w:hideMark/>
          </w:tcPr>
          <w:p w14:paraId="7F0F2A5B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62,465</w:t>
            </w:r>
          </w:p>
        </w:tc>
        <w:tc>
          <w:tcPr>
            <w:tcW w:w="1530" w:type="dxa"/>
            <w:noWrap/>
            <w:hideMark/>
          </w:tcPr>
          <w:p w14:paraId="03D8F12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91%</w:t>
            </w:r>
          </w:p>
        </w:tc>
      </w:tr>
      <w:tr w:rsidR="000B671E" w:rsidRPr="002F56B1" w14:paraId="64008F43" w14:textId="77777777" w:rsidTr="000B671E">
        <w:trPr>
          <w:trHeight w:val="290"/>
        </w:trPr>
        <w:tc>
          <w:tcPr>
            <w:tcW w:w="715" w:type="dxa"/>
            <w:noWrap/>
            <w:hideMark/>
          </w:tcPr>
          <w:p w14:paraId="562189D6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7c</w:t>
            </w:r>
          </w:p>
        </w:tc>
        <w:tc>
          <w:tcPr>
            <w:tcW w:w="7920" w:type="dxa"/>
            <w:hideMark/>
          </w:tcPr>
          <w:p w14:paraId="5FB1B1E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No history of acute CV events in the 6 months prior to the index date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0" w:type="dxa"/>
            <w:noWrap/>
            <w:hideMark/>
          </w:tcPr>
          <w:p w14:paraId="3F03D379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33,308</w:t>
            </w:r>
          </w:p>
        </w:tc>
        <w:tc>
          <w:tcPr>
            <w:tcW w:w="1530" w:type="dxa"/>
            <w:noWrap/>
            <w:hideMark/>
          </w:tcPr>
          <w:p w14:paraId="10D4A4E6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87%</w:t>
            </w:r>
          </w:p>
        </w:tc>
        <w:tc>
          <w:tcPr>
            <w:tcW w:w="900" w:type="dxa"/>
            <w:noWrap/>
            <w:hideMark/>
          </w:tcPr>
          <w:p w14:paraId="48C6BA29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C2675A">
              <w:rPr>
                <w:sz w:val="20"/>
              </w:rPr>
              <w:t>57</w:t>
            </w:r>
            <w:r>
              <w:rPr>
                <w:sz w:val="20"/>
              </w:rPr>
              <w:t>,</w:t>
            </w:r>
            <w:r w:rsidRPr="00C2675A">
              <w:rPr>
                <w:sz w:val="20"/>
              </w:rPr>
              <w:t>014</w:t>
            </w:r>
          </w:p>
        </w:tc>
        <w:tc>
          <w:tcPr>
            <w:tcW w:w="1530" w:type="dxa"/>
            <w:noWrap/>
            <w:hideMark/>
          </w:tcPr>
          <w:p w14:paraId="0AE08FFD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91%</w:t>
            </w:r>
          </w:p>
        </w:tc>
      </w:tr>
      <w:tr w:rsidR="000B671E" w:rsidRPr="002F56B1" w14:paraId="646BC0E2" w14:textId="77777777" w:rsidTr="000B671E">
        <w:trPr>
          <w:trHeight w:val="290"/>
        </w:trPr>
        <w:tc>
          <w:tcPr>
            <w:tcW w:w="715" w:type="dxa"/>
            <w:noWrap/>
          </w:tcPr>
          <w:p w14:paraId="0484D995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2F56B1">
              <w:rPr>
                <w:sz w:val="20"/>
              </w:rPr>
              <w:t>c</w:t>
            </w:r>
          </w:p>
        </w:tc>
        <w:tc>
          <w:tcPr>
            <w:tcW w:w="7920" w:type="dxa"/>
          </w:tcPr>
          <w:p w14:paraId="779BCD3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No history of 3</w:t>
            </w:r>
            <w:r w:rsidRPr="00596D52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AECOPD prior to the comparator index date</w:t>
            </w:r>
          </w:p>
        </w:tc>
        <w:tc>
          <w:tcPr>
            <w:tcW w:w="990" w:type="dxa"/>
            <w:noWrap/>
          </w:tcPr>
          <w:p w14:paraId="2F1DB27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530" w:type="dxa"/>
            <w:noWrap/>
          </w:tcPr>
          <w:p w14:paraId="21556610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900" w:type="dxa"/>
            <w:noWrap/>
          </w:tcPr>
          <w:p w14:paraId="643948EE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>14,700</w:t>
            </w:r>
          </w:p>
        </w:tc>
        <w:tc>
          <w:tcPr>
            <w:tcW w:w="1530" w:type="dxa"/>
            <w:noWrap/>
          </w:tcPr>
          <w:p w14:paraId="04AFB97E" w14:textId="77777777" w:rsidR="000B671E" w:rsidRPr="00EA2072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26%</w:t>
            </w:r>
          </w:p>
        </w:tc>
      </w:tr>
      <w:tr w:rsidR="000B671E" w:rsidRPr="002F56B1" w14:paraId="138A1545" w14:textId="77777777" w:rsidTr="000B671E">
        <w:trPr>
          <w:trHeight w:val="251"/>
        </w:trPr>
        <w:tc>
          <w:tcPr>
            <w:tcW w:w="715" w:type="dxa"/>
            <w:tcBorders>
              <w:bottom w:val="single" w:sz="4" w:space="0" w:color="auto"/>
            </w:tcBorders>
            <w:noWrap/>
            <w:hideMark/>
          </w:tcPr>
          <w:p w14:paraId="14D37B17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9c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hideMark/>
          </w:tcPr>
          <w:p w14:paraId="1025E4CB" w14:textId="3E730FA9" w:rsidR="000B671E" w:rsidRPr="002F56B1" w:rsidRDefault="000B671E" w:rsidP="000B671E">
            <w:pPr>
              <w:spacing w:after="0"/>
              <w:rPr>
                <w:sz w:val="20"/>
              </w:rPr>
            </w:pPr>
            <w:r w:rsidRPr="002F56B1">
              <w:rPr>
                <w:sz w:val="20"/>
              </w:rPr>
              <w:t xml:space="preserve">Patients </w:t>
            </w:r>
            <w:r>
              <w:rPr>
                <w:sz w:val="20"/>
              </w:rPr>
              <w:t xml:space="preserve">with </w:t>
            </w:r>
            <w:r w:rsidRPr="002F56B1">
              <w:rPr>
                <w:sz w:val="20"/>
              </w:rPr>
              <w:t xml:space="preserve">complete </w:t>
            </w:r>
            <w:proofErr w:type="spellStart"/>
            <w:r w:rsidRPr="002F56B1">
              <w:rPr>
                <w:sz w:val="20"/>
              </w:rPr>
              <w:t>data</w:t>
            </w:r>
            <w:r w:rsidR="00F6131D">
              <w:rPr>
                <w:sz w:val="20"/>
                <w:vertAlign w:val="superscript"/>
              </w:rPr>
              <w:t>d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18C70582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31,012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hideMark/>
          </w:tcPr>
          <w:p w14:paraId="262B03D3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EA2072">
              <w:rPr>
                <w:sz w:val="20"/>
              </w:rPr>
              <w:t>93%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5B3E86F3" w14:textId="77777777" w:rsidR="000B671E" w:rsidRPr="002F56B1" w:rsidRDefault="000B671E" w:rsidP="000B671E">
            <w:pPr>
              <w:spacing w:after="0"/>
              <w:rPr>
                <w:b/>
                <w:bCs/>
                <w:sz w:val="20"/>
              </w:rPr>
            </w:pPr>
            <w:r w:rsidRPr="002F56B1">
              <w:rPr>
                <w:b/>
                <w:bCs/>
                <w:sz w:val="20"/>
              </w:rPr>
              <w:t>13,620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hideMark/>
          </w:tcPr>
          <w:p w14:paraId="08CBF531" w14:textId="77777777" w:rsidR="000B671E" w:rsidRPr="002F56B1" w:rsidRDefault="000B671E" w:rsidP="000B671E">
            <w:pPr>
              <w:spacing w:after="0"/>
              <w:rPr>
                <w:sz w:val="20"/>
              </w:rPr>
            </w:pPr>
            <w:r w:rsidRPr="00EA2072">
              <w:rPr>
                <w:sz w:val="20"/>
              </w:rPr>
              <w:t>93%</w:t>
            </w:r>
          </w:p>
        </w:tc>
      </w:tr>
      <w:tr w:rsidR="000B671E" w:rsidRPr="002F56B1" w14:paraId="0EBDD9F2" w14:textId="77777777" w:rsidTr="000B671E">
        <w:trPr>
          <w:trHeight w:val="553"/>
        </w:trPr>
        <w:tc>
          <w:tcPr>
            <w:tcW w:w="111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5EC1F2" w14:textId="20A81D40" w:rsidR="000B671E" w:rsidRPr="00704E4E" w:rsidRDefault="000B671E" w:rsidP="000B671E">
            <w:pPr>
              <w:spacing w:after="0"/>
              <w:rPr>
                <w:sz w:val="18"/>
                <w:szCs w:val="18"/>
              </w:rPr>
            </w:pPr>
            <w:r w:rsidRPr="00704E4E">
              <w:rPr>
                <w:b/>
                <w:bCs/>
                <w:sz w:val="18"/>
                <w:szCs w:val="18"/>
              </w:rPr>
              <w:t>Abbreviations:</w:t>
            </w:r>
            <w:r w:rsidRPr="00704E4E">
              <w:rPr>
                <w:sz w:val="18"/>
                <w:szCs w:val="18"/>
              </w:rPr>
              <w:t xml:space="preserve"> </w:t>
            </w:r>
            <w:r w:rsidR="00704E4E" w:rsidRPr="00704E4E">
              <w:rPr>
                <w:sz w:val="18"/>
                <w:szCs w:val="18"/>
              </w:rPr>
              <w:t>AECOPD, acute exacerbation of chronic obstructive pulmonary disease</w:t>
            </w:r>
            <w:r w:rsidR="00704E4E" w:rsidRPr="00704E4E">
              <w:rPr>
                <w:sz w:val="18"/>
                <w:szCs w:val="18"/>
              </w:rPr>
              <w:t xml:space="preserve">; </w:t>
            </w:r>
            <w:r w:rsidRPr="00704E4E">
              <w:rPr>
                <w:sz w:val="18"/>
                <w:szCs w:val="18"/>
              </w:rPr>
              <w:t xml:space="preserve">COPD, chronic obstructive pulmonary disease; </w:t>
            </w:r>
            <w:r w:rsidR="00704E4E" w:rsidRPr="00704E4E">
              <w:rPr>
                <w:sz w:val="18"/>
                <w:szCs w:val="18"/>
              </w:rPr>
              <w:t xml:space="preserve">CV, cardiovascular; </w:t>
            </w:r>
            <w:r w:rsidRPr="00704E4E">
              <w:rPr>
                <w:sz w:val="18"/>
                <w:szCs w:val="18"/>
              </w:rPr>
              <w:t>ED emergency department; NA, not applicable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433E80" w14:textId="77777777" w:rsidR="000B671E" w:rsidRPr="00704E4E" w:rsidRDefault="000B671E" w:rsidP="000B671E">
            <w:pPr>
              <w:spacing w:after="0"/>
              <w:rPr>
                <w:sz w:val="18"/>
                <w:szCs w:val="18"/>
              </w:rPr>
            </w:pPr>
            <w:r w:rsidRPr="00704E4E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FC18952" w14:textId="77777777" w:rsidR="000B671E" w:rsidRPr="00704E4E" w:rsidRDefault="000B671E" w:rsidP="000B671E">
            <w:pPr>
              <w:spacing w:after="0"/>
              <w:rPr>
                <w:sz w:val="18"/>
                <w:szCs w:val="18"/>
              </w:rPr>
            </w:pPr>
            <w:r w:rsidRPr="00704E4E">
              <w:rPr>
                <w:sz w:val="18"/>
                <w:szCs w:val="18"/>
              </w:rPr>
              <w:t> </w:t>
            </w:r>
          </w:p>
        </w:tc>
      </w:tr>
      <w:tr w:rsidR="000B671E" w:rsidRPr="002F56B1" w14:paraId="64E4FDB6" w14:textId="77777777" w:rsidTr="00066DCE">
        <w:trPr>
          <w:trHeight w:val="290"/>
        </w:trPr>
        <w:tc>
          <w:tcPr>
            <w:tcW w:w="1358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45ED383" w14:textId="77777777" w:rsidR="000B671E" w:rsidRPr="00704E4E" w:rsidRDefault="000B671E" w:rsidP="000B671E">
            <w:pPr>
              <w:spacing w:after="0"/>
              <w:rPr>
                <w:sz w:val="18"/>
                <w:szCs w:val="18"/>
              </w:rPr>
            </w:pPr>
            <w:r w:rsidRPr="00704E4E">
              <w:rPr>
                <w:sz w:val="18"/>
                <w:szCs w:val="18"/>
                <w:vertAlign w:val="superscript"/>
              </w:rPr>
              <w:t xml:space="preserve">a </w:t>
            </w:r>
            <w:proofErr w:type="spellStart"/>
            <w:r w:rsidRPr="00704E4E">
              <w:rPr>
                <w:sz w:val="18"/>
                <w:szCs w:val="18"/>
              </w:rPr>
              <w:t>A</w:t>
            </w:r>
            <w:proofErr w:type="spellEnd"/>
            <w:r w:rsidRPr="00704E4E">
              <w:rPr>
                <w:sz w:val="18"/>
                <w:szCs w:val="18"/>
              </w:rPr>
              <w:t xml:space="preserve"> diagnosis of COPD requires a primary diagnosis at an inpatient, </w:t>
            </w:r>
            <w:proofErr w:type="gramStart"/>
            <w:r w:rsidRPr="00704E4E">
              <w:rPr>
                <w:sz w:val="18"/>
                <w:szCs w:val="18"/>
              </w:rPr>
              <w:t>outpatient</w:t>
            </w:r>
            <w:proofErr w:type="gramEnd"/>
            <w:r w:rsidRPr="00704E4E">
              <w:rPr>
                <w:sz w:val="18"/>
                <w:szCs w:val="18"/>
              </w:rPr>
              <w:t xml:space="preserve"> or ED visit. </w:t>
            </w:r>
          </w:p>
        </w:tc>
      </w:tr>
      <w:tr w:rsidR="000B671E" w:rsidRPr="002F56B1" w14:paraId="7B731CD0" w14:textId="77777777" w:rsidTr="00066DCE">
        <w:trPr>
          <w:trHeight w:val="520"/>
        </w:trPr>
        <w:tc>
          <w:tcPr>
            <w:tcW w:w="1358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FE62701" w14:textId="77777777" w:rsidR="000B671E" w:rsidRPr="00704E4E" w:rsidRDefault="000B671E" w:rsidP="000B671E">
            <w:pPr>
              <w:spacing w:after="0"/>
              <w:rPr>
                <w:sz w:val="18"/>
                <w:szCs w:val="18"/>
              </w:rPr>
            </w:pPr>
            <w:r w:rsidRPr="00704E4E">
              <w:rPr>
                <w:sz w:val="18"/>
                <w:szCs w:val="18"/>
                <w:vertAlign w:val="superscript"/>
              </w:rPr>
              <w:t xml:space="preserve">b </w:t>
            </w:r>
            <w:r w:rsidRPr="00704E4E">
              <w:rPr>
                <w:sz w:val="18"/>
                <w:szCs w:val="18"/>
              </w:rPr>
              <w:t>Index date for the AECOPD cohort is the date of the first moderate or severe acute exacerbation of COPD (AECOPD 1) and is similarly for AECOPD 2 and AECOPD 3 (</w:t>
            </w:r>
            <w:r w:rsidRPr="00704E4E">
              <w:rPr>
                <w:i/>
                <w:iCs/>
                <w:sz w:val="18"/>
                <w:szCs w:val="18"/>
              </w:rPr>
              <w:t>i.e.,</w:t>
            </w:r>
            <w:r w:rsidRPr="00704E4E">
              <w:rPr>
                <w:sz w:val="18"/>
                <w:szCs w:val="18"/>
              </w:rPr>
              <w:t xml:space="preserve"> the 2nd and 3rd dates of a moderate or severe acute exacerbation). Some patients may appear in both the AECOPD and comparator cohorts if they started in the comparator cohort and later had an AECOPD. </w:t>
            </w:r>
          </w:p>
        </w:tc>
      </w:tr>
      <w:tr w:rsidR="000B671E" w:rsidRPr="002F56B1" w14:paraId="552371D8" w14:textId="77777777" w:rsidTr="00066DCE">
        <w:trPr>
          <w:trHeight w:val="290"/>
        </w:trPr>
        <w:tc>
          <w:tcPr>
            <w:tcW w:w="135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55466" w14:textId="77777777" w:rsidR="000B671E" w:rsidRPr="00704E4E" w:rsidRDefault="000B671E" w:rsidP="000B671E">
            <w:pPr>
              <w:spacing w:after="0"/>
              <w:rPr>
                <w:sz w:val="18"/>
                <w:szCs w:val="18"/>
              </w:rPr>
            </w:pPr>
            <w:r w:rsidRPr="00704E4E">
              <w:rPr>
                <w:sz w:val="18"/>
                <w:szCs w:val="18"/>
                <w:vertAlign w:val="superscript"/>
              </w:rPr>
              <w:t xml:space="preserve">c </w:t>
            </w:r>
            <w:r w:rsidRPr="00704E4E">
              <w:rPr>
                <w:sz w:val="18"/>
                <w:szCs w:val="18"/>
              </w:rPr>
              <w:t>Index date is an assigned date based on the distribution of time between the COPD diagnosis date and subsequent AECOPD dates.</w:t>
            </w:r>
          </w:p>
        </w:tc>
      </w:tr>
      <w:tr w:rsidR="000B671E" w:rsidRPr="002F56B1" w14:paraId="6CE21167" w14:textId="77777777" w:rsidTr="00066DCE">
        <w:trPr>
          <w:trHeight w:val="290"/>
        </w:trPr>
        <w:tc>
          <w:tcPr>
            <w:tcW w:w="135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39685" w14:textId="4B8B91CE" w:rsidR="000B671E" w:rsidRPr="00704E4E" w:rsidRDefault="00F6131D" w:rsidP="000B671E">
            <w:pPr>
              <w:spacing w:after="0"/>
              <w:rPr>
                <w:sz w:val="18"/>
                <w:szCs w:val="18"/>
              </w:rPr>
            </w:pPr>
            <w:r w:rsidRPr="00704E4E">
              <w:rPr>
                <w:sz w:val="18"/>
                <w:szCs w:val="18"/>
                <w:vertAlign w:val="superscript"/>
              </w:rPr>
              <w:t>d</w:t>
            </w:r>
            <w:r w:rsidR="000B671E" w:rsidRPr="00704E4E">
              <w:rPr>
                <w:sz w:val="18"/>
                <w:szCs w:val="18"/>
                <w:vertAlign w:val="superscript"/>
              </w:rPr>
              <w:t xml:space="preserve"> </w:t>
            </w:r>
            <w:r w:rsidR="000B671E" w:rsidRPr="00704E4E">
              <w:rPr>
                <w:sz w:val="18"/>
                <w:szCs w:val="18"/>
              </w:rPr>
              <w:t xml:space="preserve">Variables with missing data included geographic region, urbanicity, </w:t>
            </w:r>
            <w:r w:rsidR="00790CD0" w:rsidRPr="00704E4E">
              <w:rPr>
                <w:sz w:val="18"/>
                <w:szCs w:val="18"/>
              </w:rPr>
              <w:t>socioeconomic status</w:t>
            </w:r>
            <w:r w:rsidR="000B671E" w:rsidRPr="00704E4E">
              <w:rPr>
                <w:sz w:val="18"/>
                <w:szCs w:val="18"/>
              </w:rPr>
              <w:t xml:space="preserve"> and plan type</w:t>
            </w:r>
          </w:p>
        </w:tc>
      </w:tr>
      <w:tr w:rsidR="00F6131D" w:rsidRPr="002F56B1" w14:paraId="520F61E6" w14:textId="77777777" w:rsidTr="00066DCE">
        <w:trPr>
          <w:trHeight w:val="290"/>
        </w:trPr>
        <w:tc>
          <w:tcPr>
            <w:tcW w:w="135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442B7409" w14:textId="605A3E3C" w:rsidR="00F6131D" w:rsidRPr="00704E4E" w:rsidRDefault="00F6131D" w:rsidP="000B671E">
            <w:pPr>
              <w:spacing w:after="0"/>
              <w:rPr>
                <w:sz w:val="18"/>
                <w:szCs w:val="18"/>
              </w:rPr>
            </w:pPr>
            <w:r w:rsidRPr="00704E4E">
              <w:rPr>
                <w:sz w:val="18"/>
                <w:szCs w:val="18"/>
              </w:rPr>
              <w:t xml:space="preserve">There was 11% patient overlap in cohort 1, 12% overlap in cohort 2, and 11% overlap in cohort 3. </w:t>
            </w:r>
          </w:p>
        </w:tc>
      </w:tr>
    </w:tbl>
    <w:p w14:paraId="37C29940" w14:textId="77777777" w:rsidR="000B671E" w:rsidRDefault="000B671E" w:rsidP="000B671E">
      <w:pPr>
        <w:sectPr w:rsidR="000B671E" w:rsidSect="00EA207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5713AD9" w14:textId="7B2E0F9F" w:rsidR="006877BB" w:rsidRPr="00FA4062" w:rsidRDefault="008F0A6E" w:rsidP="006877BB">
      <w:pPr>
        <w:rPr>
          <w:b/>
          <w:bCs/>
        </w:rPr>
      </w:pPr>
      <w:bookmarkStart w:id="17" w:name="_Hlk145584280"/>
      <w:bookmarkEnd w:id="16"/>
      <w:r>
        <w:rPr>
          <w:b/>
          <w:bCs/>
        </w:rPr>
        <w:lastRenderedPageBreak/>
        <w:t xml:space="preserve">Supplemental </w:t>
      </w:r>
      <w:r w:rsidR="006877BB" w:rsidRPr="00FA4062">
        <w:rPr>
          <w:b/>
          <w:bCs/>
        </w:rPr>
        <w:t xml:space="preserve">Table </w:t>
      </w:r>
      <w:r w:rsidR="000B671E">
        <w:rPr>
          <w:b/>
          <w:bCs/>
        </w:rPr>
        <w:t>5</w:t>
      </w:r>
      <w:r w:rsidR="006877BB" w:rsidRPr="00FA4062">
        <w:rPr>
          <w:b/>
          <w:bCs/>
        </w:rPr>
        <w:t xml:space="preserve">. Additional baseline comorbidities and medication use by AECOPD </w:t>
      </w:r>
      <w:proofErr w:type="gramStart"/>
      <w:r w:rsidR="006877BB" w:rsidRPr="00FA4062">
        <w:rPr>
          <w:b/>
          <w:bCs/>
        </w:rPr>
        <w:t>cohort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980"/>
        <w:gridCol w:w="2191"/>
        <w:gridCol w:w="1764"/>
      </w:tblGrid>
      <w:tr w:rsidR="00993237" w:rsidRPr="00BD701B" w14:paraId="3E734A35" w14:textId="77777777" w:rsidTr="00042A1E">
        <w:trPr>
          <w:trHeight w:val="290"/>
        </w:trPr>
        <w:tc>
          <w:tcPr>
            <w:tcW w:w="3415" w:type="dxa"/>
            <w:vMerge w:val="restart"/>
            <w:noWrap/>
            <w:vAlign w:val="bottom"/>
          </w:tcPr>
          <w:p w14:paraId="64981CEA" w14:textId="77777777" w:rsidR="00993237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980" w:type="dxa"/>
            <w:noWrap/>
            <w:vAlign w:val="bottom"/>
          </w:tcPr>
          <w:p w14:paraId="3A9A3BF0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b/>
                <w:bCs/>
              </w:rPr>
              <w:t>1-</w:t>
            </w:r>
            <w:r w:rsidRPr="00305ED9">
              <w:rPr>
                <w:b/>
                <w:bCs/>
              </w:rPr>
              <w:t>AECOPD</w:t>
            </w:r>
          </w:p>
        </w:tc>
        <w:tc>
          <w:tcPr>
            <w:tcW w:w="2191" w:type="dxa"/>
            <w:noWrap/>
            <w:vAlign w:val="bottom"/>
          </w:tcPr>
          <w:p w14:paraId="49FA347D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b/>
                <w:bCs/>
              </w:rPr>
              <w:t>0-AECOPD</w:t>
            </w:r>
            <w:r w:rsidRPr="00305ED9">
              <w:rPr>
                <w:b/>
                <w:bCs/>
              </w:rPr>
              <w:t xml:space="preserve"> Comparator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64" w:type="dxa"/>
            <w:vMerge w:val="restart"/>
            <w:noWrap/>
          </w:tcPr>
          <w:p w14:paraId="1EBC7222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305ED9">
              <w:rPr>
                <w:b/>
                <w:bCs/>
              </w:rPr>
              <w:t xml:space="preserve">Standardized </w:t>
            </w:r>
            <w:r>
              <w:rPr>
                <w:b/>
                <w:bCs/>
              </w:rPr>
              <w:t xml:space="preserve">mean </w:t>
            </w:r>
            <w:r w:rsidRPr="00305ED9">
              <w:rPr>
                <w:b/>
                <w:bCs/>
              </w:rPr>
              <w:t>differences</w:t>
            </w:r>
          </w:p>
        </w:tc>
      </w:tr>
      <w:tr w:rsidR="00993237" w:rsidRPr="00BD701B" w14:paraId="204B90D3" w14:textId="77777777" w:rsidTr="00042A1E">
        <w:trPr>
          <w:trHeight w:val="290"/>
        </w:trPr>
        <w:tc>
          <w:tcPr>
            <w:tcW w:w="3415" w:type="dxa"/>
            <w:vMerge/>
            <w:noWrap/>
          </w:tcPr>
          <w:p w14:paraId="67F2B482" w14:textId="77777777" w:rsidR="00993237" w:rsidRPr="00305ED9" w:rsidRDefault="00993237" w:rsidP="00042A1E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1980" w:type="dxa"/>
            <w:noWrap/>
            <w:vAlign w:val="bottom"/>
          </w:tcPr>
          <w:p w14:paraId="6503D69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305ED9">
              <w:rPr>
                <w:b/>
                <w:bCs/>
              </w:rPr>
              <w:t>N=145,838</w:t>
            </w:r>
          </w:p>
        </w:tc>
        <w:tc>
          <w:tcPr>
            <w:tcW w:w="2191" w:type="dxa"/>
            <w:noWrap/>
            <w:vAlign w:val="bottom"/>
          </w:tcPr>
          <w:p w14:paraId="5F4C1FE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305ED9">
              <w:rPr>
                <w:b/>
                <w:bCs/>
              </w:rPr>
              <w:t>N=249,703</w:t>
            </w:r>
          </w:p>
        </w:tc>
        <w:tc>
          <w:tcPr>
            <w:tcW w:w="1764" w:type="dxa"/>
            <w:vMerge/>
            <w:noWrap/>
          </w:tcPr>
          <w:p w14:paraId="0670612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993237" w:rsidRPr="00BD701B" w14:paraId="7E6B2C75" w14:textId="77777777" w:rsidTr="00042A1E">
        <w:trPr>
          <w:trHeight w:val="290"/>
        </w:trPr>
        <w:tc>
          <w:tcPr>
            <w:tcW w:w="3415" w:type="dxa"/>
            <w:noWrap/>
          </w:tcPr>
          <w:p w14:paraId="0DFFB3F7" w14:textId="77777777" w:rsidR="00993237" w:rsidRPr="00305ED9" w:rsidRDefault="00993237" w:rsidP="00042A1E">
            <w:pPr>
              <w:spacing w:after="0" w:line="240" w:lineRule="auto"/>
              <w:contextualSpacing/>
              <w:rPr>
                <w:b/>
                <w:bCs/>
              </w:rPr>
            </w:pPr>
            <w:r w:rsidRPr="00D2384F">
              <w:rPr>
                <w:b/>
                <w:bCs/>
                <w:sz w:val="20"/>
              </w:rPr>
              <w:t>Index date year, N</w:t>
            </w:r>
            <w:r>
              <w:rPr>
                <w:b/>
                <w:bCs/>
                <w:sz w:val="20"/>
              </w:rPr>
              <w:t xml:space="preserve"> (</w:t>
            </w:r>
            <w:r w:rsidRPr="00D2384F">
              <w:rPr>
                <w:b/>
                <w:bCs/>
                <w:sz w:val="20"/>
              </w:rPr>
              <w:t>%</w:t>
            </w:r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1980" w:type="dxa"/>
            <w:noWrap/>
          </w:tcPr>
          <w:p w14:paraId="25A7BEE2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 </w:t>
            </w:r>
          </w:p>
        </w:tc>
        <w:tc>
          <w:tcPr>
            <w:tcW w:w="2191" w:type="dxa"/>
            <w:noWrap/>
          </w:tcPr>
          <w:p w14:paraId="2F52A7C3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 </w:t>
            </w:r>
          </w:p>
        </w:tc>
        <w:tc>
          <w:tcPr>
            <w:tcW w:w="1764" w:type="dxa"/>
            <w:noWrap/>
          </w:tcPr>
          <w:p w14:paraId="10FABE82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 </w:t>
            </w:r>
          </w:p>
        </w:tc>
      </w:tr>
      <w:tr w:rsidR="00993237" w:rsidRPr="00BD701B" w14:paraId="79FD99D3" w14:textId="77777777" w:rsidTr="00042A1E">
        <w:trPr>
          <w:trHeight w:val="290"/>
        </w:trPr>
        <w:tc>
          <w:tcPr>
            <w:tcW w:w="3415" w:type="dxa"/>
            <w:noWrap/>
          </w:tcPr>
          <w:p w14:paraId="70957D49" w14:textId="77777777" w:rsidR="00993237" w:rsidRPr="00305ED9" w:rsidRDefault="00993237" w:rsidP="00042A1E">
            <w:pPr>
              <w:spacing w:after="0" w:line="240" w:lineRule="auto"/>
              <w:contextualSpacing/>
              <w:rPr>
                <w:b/>
                <w:bCs/>
              </w:rPr>
            </w:pPr>
            <w:r w:rsidRPr="00D2384F">
              <w:rPr>
                <w:sz w:val="20"/>
              </w:rPr>
              <w:t>2012</w:t>
            </w:r>
          </w:p>
        </w:tc>
        <w:tc>
          <w:tcPr>
            <w:tcW w:w="1980" w:type="dxa"/>
            <w:noWrap/>
          </w:tcPr>
          <w:p w14:paraId="31F4523B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12,374 (8.5)</w:t>
            </w:r>
          </w:p>
        </w:tc>
        <w:tc>
          <w:tcPr>
            <w:tcW w:w="2191" w:type="dxa"/>
            <w:noWrap/>
          </w:tcPr>
          <w:p w14:paraId="05036CE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20,506 (8.2)</w:t>
            </w:r>
          </w:p>
        </w:tc>
        <w:tc>
          <w:tcPr>
            <w:tcW w:w="1764" w:type="dxa"/>
            <w:noWrap/>
          </w:tcPr>
          <w:p w14:paraId="6F7516E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0.01</w:t>
            </w:r>
          </w:p>
        </w:tc>
      </w:tr>
      <w:tr w:rsidR="00993237" w:rsidRPr="00BD701B" w14:paraId="6D6F5A7B" w14:textId="77777777" w:rsidTr="00042A1E">
        <w:trPr>
          <w:trHeight w:val="290"/>
        </w:trPr>
        <w:tc>
          <w:tcPr>
            <w:tcW w:w="3415" w:type="dxa"/>
            <w:noWrap/>
          </w:tcPr>
          <w:p w14:paraId="11032D1D" w14:textId="77777777" w:rsidR="00993237" w:rsidRPr="00305ED9" w:rsidRDefault="00993237" w:rsidP="00042A1E">
            <w:pPr>
              <w:spacing w:after="0" w:line="240" w:lineRule="auto"/>
              <w:contextualSpacing/>
              <w:rPr>
                <w:b/>
                <w:bCs/>
              </w:rPr>
            </w:pPr>
            <w:r w:rsidRPr="00D2384F">
              <w:rPr>
                <w:sz w:val="20"/>
              </w:rPr>
              <w:t>2013</w:t>
            </w:r>
          </w:p>
        </w:tc>
        <w:tc>
          <w:tcPr>
            <w:tcW w:w="1980" w:type="dxa"/>
            <w:noWrap/>
          </w:tcPr>
          <w:p w14:paraId="41E675F2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13,376 (9.2)</w:t>
            </w:r>
          </w:p>
        </w:tc>
        <w:tc>
          <w:tcPr>
            <w:tcW w:w="2191" w:type="dxa"/>
            <w:noWrap/>
          </w:tcPr>
          <w:p w14:paraId="41479889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22,250 (8.9)</w:t>
            </w:r>
          </w:p>
        </w:tc>
        <w:tc>
          <w:tcPr>
            <w:tcW w:w="1764" w:type="dxa"/>
            <w:noWrap/>
          </w:tcPr>
          <w:p w14:paraId="72B38E8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0.01</w:t>
            </w:r>
          </w:p>
        </w:tc>
      </w:tr>
      <w:tr w:rsidR="00993237" w:rsidRPr="00BD701B" w14:paraId="52C6B08F" w14:textId="77777777" w:rsidTr="00042A1E">
        <w:trPr>
          <w:trHeight w:val="290"/>
        </w:trPr>
        <w:tc>
          <w:tcPr>
            <w:tcW w:w="3415" w:type="dxa"/>
            <w:noWrap/>
          </w:tcPr>
          <w:p w14:paraId="63EF1CB0" w14:textId="77777777" w:rsidR="00993237" w:rsidRPr="00305ED9" w:rsidRDefault="00993237" w:rsidP="00042A1E">
            <w:pPr>
              <w:spacing w:after="0" w:line="240" w:lineRule="auto"/>
              <w:contextualSpacing/>
              <w:rPr>
                <w:b/>
                <w:bCs/>
              </w:rPr>
            </w:pPr>
            <w:r w:rsidRPr="00D2384F">
              <w:rPr>
                <w:sz w:val="20"/>
              </w:rPr>
              <w:t>2014</w:t>
            </w:r>
          </w:p>
        </w:tc>
        <w:tc>
          <w:tcPr>
            <w:tcW w:w="1980" w:type="dxa"/>
            <w:noWrap/>
          </w:tcPr>
          <w:p w14:paraId="672C7D7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17,631 (12.1)</w:t>
            </w:r>
          </w:p>
        </w:tc>
        <w:tc>
          <w:tcPr>
            <w:tcW w:w="2191" w:type="dxa"/>
            <w:noWrap/>
          </w:tcPr>
          <w:p w14:paraId="30D5AC19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30,908 (12.4)</w:t>
            </w:r>
          </w:p>
        </w:tc>
        <w:tc>
          <w:tcPr>
            <w:tcW w:w="1764" w:type="dxa"/>
            <w:noWrap/>
          </w:tcPr>
          <w:p w14:paraId="10381693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0.01</w:t>
            </w:r>
          </w:p>
        </w:tc>
      </w:tr>
      <w:tr w:rsidR="00993237" w:rsidRPr="00BD701B" w14:paraId="54B156B1" w14:textId="77777777" w:rsidTr="00042A1E">
        <w:trPr>
          <w:trHeight w:val="290"/>
        </w:trPr>
        <w:tc>
          <w:tcPr>
            <w:tcW w:w="3415" w:type="dxa"/>
            <w:noWrap/>
          </w:tcPr>
          <w:p w14:paraId="2B704FC4" w14:textId="77777777" w:rsidR="00993237" w:rsidRPr="00305ED9" w:rsidRDefault="00993237" w:rsidP="00042A1E">
            <w:pPr>
              <w:spacing w:after="0" w:line="240" w:lineRule="auto"/>
              <w:contextualSpacing/>
              <w:rPr>
                <w:b/>
                <w:bCs/>
              </w:rPr>
            </w:pPr>
            <w:r w:rsidRPr="00D2384F">
              <w:rPr>
                <w:sz w:val="20"/>
              </w:rPr>
              <w:t>2015</w:t>
            </w:r>
          </w:p>
        </w:tc>
        <w:tc>
          <w:tcPr>
            <w:tcW w:w="1980" w:type="dxa"/>
            <w:noWrap/>
          </w:tcPr>
          <w:p w14:paraId="0EB0E8AC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20,879 (14.3)</w:t>
            </w:r>
          </w:p>
        </w:tc>
        <w:tc>
          <w:tcPr>
            <w:tcW w:w="2191" w:type="dxa"/>
            <w:noWrap/>
          </w:tcPr>
          <w:p w14:paraId="33DAD97D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34,734 (13.9)</w:t>
            </w:r>
          </w:p>
        </w:tc>
        <w:tc>
          <w:tcPr>
            <w:tcW w:w="1764" w:type="dxa"/>
            <w:noWrap/>
          </w:tcPr>
          <w:p w14:paraId="6DD6636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0.01</w:t>
            </w:r>
          </w:p>
        </w:tc>
      </w:tr>
      <w:tr w:rsidR="00993237" w:rsidRPr="00BD701B" w14:paraId="1597F1D0" w14:textId="77777777" w:rsidTr="00042A1E">
        <w:trPr>
          <w:trHeight w:val="290"/>
        </w:trPr>
        <w:tc>
          <w:tcPr>
            <w:tcW w:w="3415" w:type="dxa"/>
            <w:noWrap/>
          </w:tcPr>
          <w:p w14:paraId="32579526" w14:textId="77777777" w:rsidR="00993237" w:rsidRPr="00305ED9" w:rsidRDefault="00993237" w:rsidP="00042A1E">
            <w:pPr>
              <w:spacing w:after="0" w:line="240" w:lineRule="auto"/>
              <w:contextualSpacing/>
              <w:rPr>
                <w:b/>
                <w:bCs/>
              </w:rPr>
            </w:pPr>
            <w:r w:rsidRPr="00D2384F">
              <w:rPr>
                <w:sz w:val="20"/>
              </w:rPr>
              <w:t>2016</w:t>
            </w:r>
          </w:p>
        </w:tc>
        <w:tc>
          <w:tcPr>
            <w:tcW w:w="1980" w:type="dxa"/>
            <w:noWrap/>
          </w:tcPr>
          <w:p w14:paraId="6501AC4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21,685 (14.9)</w:t>
            </w:r>
          </w:p>
        </w:tc>
        <w:tc>
          <w:tcPr>
            <w:tcW w:w="2191" w:type="dxa"/>
            <w:noWrap/>
          </w:tcPr>
          <w:p w14:paraId="0C3AA843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34,996 (14.0)</w:t>
            </w:r>
          </w:p>
        </w:tc>
        <w:tc>
          <w:tcPr>
            <w:tcW w:w="1764" w:type="dxa"/>
            <w:noWrap/>
          </w:tcPr>
          <w:p w14:paraId="4155D9F9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0.02</w:t>
            </w:r>
          </w:p>
        </w:tc>
      </w:tr>
      <w:tr w:rsidR="00993237" w:rsidRPr="00BD701B" w14:paraId="660ABF49" w14:textId="77777777" w:rsidTr="00042A1E">
        <w:trPr>
          <w:trHeight w:val="290"/>
        </w:trPr>
        <w:tc>
          <w:tcPr>
            <w:tcW w:w="3415" w:type="dxa"/>
            <w:noWrap/>
          </w:tcPr>
          <w:p w14:paraId="01246F90" w14:textId="77777777" w:rsidR="00993237" w:rsidRPr="00305ED9" w:rsidRDefault="00993237" w:rsidP="00042A1E">
            <w:pPr>
              <w:spacing w:after="0" w:line="240" w:lineRule="auto"/>
              <w:contextualSpacing/>
              <w:rPr>
                <w:b/>
                <w:bCs/>
              </w:rPr>
            </w:pPr>
            <w:r w:rsidRPr="00D2384F">
              <w:rPr>
                <w:sz w:val="20"/>
              </w:rPr>
              <w:t>2017</w:t>
            </w:r>
          </w:p>
        </w:tc>
        <w:tc>
          <w:tcPr>
            <w:tcW w:w="1980" w:type="dxa"/>
            <w:noWrap/>
          </w:tcPr>
          <w:p w14:paraId="6DD8A739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21,314 (14.6)</w:t>
            </w:r>
          </w:p>
        </w:tc>
        <w:tc>
          <w:tcPr>
            <w:tcW w:w="2191" w:type="dxa"/>
            <w:noWrap/>
          </w:tcPr>
          <w:p w14:paraId="2B943397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33,875 (13.6)</w:t>
            </w:r>
          </w:p>
        </w:tc>
        <w:tc>
          <w:tcPr>
            <w:tcW w:w="1764" w:type="dxa"/>
            <w:noWrap/>
          </w:tcPr>
          <w:p w14:paraId="6F8BECDD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0.03</w:t>
            </w:r>
          </w:p>
        </w:tc>
      </w:tr>
      <w:tr w:rsidR="00993237" w:rsidRPr="00BD701B" w14:paraId="62D127B0" w14:textId="77777777" w:rsidTr="00042A1E">
        <w:trPr>
          <w:trHeight w:val="290"/>
        </w:trPr>
        <w:tc>
          <w:tcPr>
            <w:tcW w:w="3415" w:type="dxa"/>
            <w:noWrap/>
          </w:tcPr>
          <w:p w14:paraId="45594E07" w14:textId="77777777" w:rsidR="00993237" w:rsidRPr="00305ED9" w:rsidRDefault="00993237" w:rsidP="00042A1E">
            <w:pPr>
              <w:spacing w:after="0" w:line="240" w:lineRule="auto"/>
              <w:contextualSpacing/>
              <w:rPr>
                <w:b/>
                <w:bCs/>
              </w:rPr>
            </w:pPr>
            <w:r w:rsidRPr="00D2384F">
              <w:rPr>
                <w:sz w:val="20"/>
              </w:rPr>
              <w:t>2018</w:t>
            </w:r>
          </w:p>
        </w:tc>
        <w:tc>
          <w:tcPr>
            <w:tcW w:w="1980" w:type="dxa"/>
            <w:noWrap/>
          </w:tcPr>
          <w:p w14:paraId="0E133BB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19,927 (13.7)</w:t>
            </w:r>
          </w:p>
        </w:tc>
        <w:tc>
          <w:tcPr>
            <w:tcW w:w="2191" w:type="dxa"/>
            <w:noWrap/>
          </w:tcPr>
          <w:p w14:paraId="12E66E71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33,269 (13.3)</w:t>
            </w:r>
          </w:p>
        </w:tc>
        <w:tc>
          <w:tcPr>
            <w:tcW w:w="1764" w:type="dxa"/>
            <w:noWrap/>
          </w:tcPr>
          <w:p w14:paraId="2D2796C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0.01</w:t>
            </w:r>
          </w:p>
        </w:tc>
      </w:tr>
      <w:tr w:rsidR="00993237" w:rsidRPr="00BD701B" w14:paraId="03E459E1" w14:textId="77777777" w:rsidTr="00042A1E">
        <w:trPr>
          <w:trHeight w:val="290"/>
        </w:trPr>
        <w:tc>
          <w:tcPr>
            <w:tcW w:w="3415" w:type="dxa"/>
            <w:noWrap/>
          </w:tcPr>
          <w:p w14:paraId="0CEC7663" w14:textId="77777777" w:rsidR="00993237" w:rsidRPr="00305ED9" w:rsidRDefault="00993237" w:rsidP="00042A1E">
            <w:pPr>
              <w:spacing w:after="0" w:line="240" w:lineRule="auto"/>
              <w:contextualSpacing/>
              <w:rPr>
                <w:b/>
                <w:bCs/>
              </w:rPr>
            </w:pPr>
            <w:r w:rsidRPr="00D2384F">
              <w:rPr>
                <w:sz w:val="20"/>
              </w:rPr>
              <w:t>2019</w:t>
            </w:r>
          </w:p>
        </w:tc>
        <w:tc>
          <w:tcPr>
            <w:tcW w:w="1980" w:type="dxa"/>
            <w:noWrap/>
          </w:tcPr>
          <w:p w14:paraId="66867992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18,652 (12.8)</w:t>
            </w:r>
          </w:p>
        </w:tc>
        <w:tc>
          <w:tcPr>
            <w:tcW w:w="2191" w:type="dxa"/>
            <w:noWrap/>
          </w:tcPr>
          <w:p w14:paraId="4FF2CC6D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39,165 (15.7)</w:t>
            </w:r>
          </w:p>
        </w:tc>
        <w:tc>
          <w:tcPr>
            <w:tcW w:w="1764" w:type="dxa"/>
            <w:noWrap/>
          </w:tcPr>
          <w:p w14:paraId="30994B23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D2384F">
              <w:rPr>
                <w:sz w:val="20"/>
              </w:rPr>
              <w:t>0.08</w:t>
            </w:r>
          </w:p>
        </w:tc>
      </w:tr>
      <w:tr w:rsidR="00993237" w:rsidRPr="00BD701B" w14:paraId="7CF6456F" w14:textId="77777777" w:rsidTr="00042A1E">
        <w:trPr>
          <w:trHeight w:val="290"/>
        </w:trPr>
        <w:tc>
          <w:tcPr>
            <w:tcW w:w="3415" w:type="dxa"/>
            <w:noWrap/>
          </w:tcPr>
          <w:p w14:paraId="6A58D03F" w14:textId="77777777" w:rsidR="00993237" w:rsidRPr="00305ED9" w:rsidRDefault="00993237" w:rsidP="00042A1E">
            <w:pPr>
              <w:spacing w:after="0" w:line="240" w:lineRule="auto"/>
              <w:contextualSpacing/>
              <w:rPr>
                <w:b/>
                <w:bCs/>
              </w:rPr>
            </w:pPr>
            <w:r w:rsidRPr="00BF3234">
              <w:rPr>
                <w:b/>
                <w:bCs/>
                <w:sz w:val="20"/>
                <w:szCs w:val="16"/>
              </w:rPr>
              <w:t>Comorbidities, N (%)</w:t>
            </w:r>
          </w:p>
        </w:tc>
        <w:tc>
          <w:tcPr>
            <w:tcW w:w="1980" w:type="dxa"/>
            <w:noWrap/>
          </w:tcPr>
          <w:p w14:paraId="6C39F3F9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191" w:type="dxa"/>
            <w:noWrap/>
          </w:tcPr>
          <w:p w14:paraId="065197AA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64" w:type="dxa"/>
            <w:noWrap/>
          </w:tcPr>
          <w:p w14:paraId="03340025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993237" w:rsidRPr="00BD701B" w14:paraId="6187B3AC" w14:textId="77777777" w:rsidTr="00042A1E">
        <w:trPr>
          <w:trHeight w:val="290"/>
        </w:trPr>
        <w:tc>
          <w:tcPr>
            <w:tcW w:w="3415" w:type="dxa"/>
            <w:noWrap/>
          </w:tcPr>
          <w:p w14:paraId="0ED2A3CC" w14:textId="6E15CF05" w:rsidR="00993237" w:rsidRPr="00BF3234" w:rsidRDefault="00993237" w:rsidP="00042A1E">
            <w:pPr>
              <w:spacing w:after="0" w:line="240" w:lineRule="auto"/>
              <w:contextualSpacing/>
              <w:rPr>
                <w:b/>
                <w:bCs/>
                <w:sz w:val="20"/>
                <w:szCs w:val="16"/>
              </w:rPr>
            </w:pPr>
            <w:r w:rsidRPr="00BD701B">
              <w:rPr>
                <w:sz w:val="20"/>
              </w:rPr>
              <w:t xml:space="preserve">Gastroesophageal reflux disease </w:t>
            </w:r>
          </w:p>
        </w:tc>
        <w:tc>
          <w:tcPr>
            <w:tcW w:w="1980" w:type="dxa"/>
            <w:noWrap/>
          </w:tcPr>
          <w:p w14:paraId="41E285E0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52,503 (36.0)</w:t>
            </w:r>
          </w:p>
        </w:tc>
        <w:tc>
          <w:tcPr>
            <w:tcW w:w="2191" w:type="dxa"/>
            <w:noWrap/>
          </w:tcPr>
          <w:p w14:paraId="2A36C821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91,333 (36.6)</w:t>
            </w:r>
          </w:p>
        </w:tc>
        <w:tc>
          <w:tcPr>
            <w:tcW w:w="1764" w:type="dxa"/>
            <w:noWrap/>
          </w:tcPr>
          <w:p w14:paraId="12A86718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0.01</w:t>
            </w:r>
          </w:p>
        </w:tc>
      </w:tr>
      <w:tr w:rsidR="00993237" w:rsidRPr="00BD701B" w14:paraId="3DBEFDB1" w14:textId="77777777" w:rsidTr="00042A1E">
        <w:trPr>
          <w:trHeight w:val="290"/>
        </w:trPr>
        <w:tc>
          <w:tcPr>
            <w:tcW w:w="3415" w:type="dxa"/>
            <w:noWrap/>
          </w:tcPr>
          <w:p w14:paraId="2E04B0EA" w14:textId="77777777" w:rsidR="00993237" w:rsidRPr="00BF3234" w:rsidRDefault="00993237" w:rsidP="00042A1E">
            <w:pPr>
              <w:spacing w:after="0" w:line="240" w:lineRule="auto"/>
              <w:contextualSpacing/>
              <w:rPr>
                <w:b/>
                <w:bCs/>
                <w:sz w:val="20"/>
                <w:szCs w:val="16"/>
              </w:rPr>
            </w:pPr>
            <w:r w:rsidRPr="00BD701B">
              <w:rPr>
                <w:sz w:val="20"/>
              </w:rPr>
              <w:t>Congestive heart failure</w:t>
            </w:r>
          </w:p>
        </w:tc>
        <w:tc>
          <w:tcPr>
            <w:tcW w:w="1980" w:type="dxa"/>
            <w:noWrap/>
          </w:tcPr>
          <w:p w14:paraId="0503DC4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17,096 (11.7)</w:t>
            </w:r>
          </w:p>
        </w:tc>
        <w:tc>
          <w:tcPr>
            <w:tcW w:w="2191" w:type="dxa"/>
            <w:noWrap/>
          </w:tcPr>
          <w:p w14:paraId="0026260D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30,170 (12.1)</w:t>
            </w:r>
          </w:p>
        </w:tc>
        <w:tc>
          <w:tcPr>
            <w:tcW w:w="1764" w:type="dxa"/>
            <w:noWrap/>
          </w:tcPr>
          <w:p w14:paraId="528E722D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0.01</w:t>
            </w:r>
          </w:p>
        </w:tc>
      </w:tr>
      <w:tr w:rsidR="00993237" w:rsidRPr="00BD701B" w14:paraId="7A1613E6" w14:textId="77777777" w:rsidTr="00042A1E">
        <w:trPr>
          <w:trHeight w:val="290"/>
        </w:trPr>
        <w:tc>
          <w:tcPr>
            <w:tcW w:w="3415" w:type="dxa"/>
            <w:noWrap/>
          </w:tcPr>
          <w:p w14:paraId="63175341" w14:textId="77777777" w:rsidR="00993237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Pneumothorax</w:t>
            </w:r>
          </w:p>
        </w:tc>
        <w:tc>
          <w:tcPr>
            <w:tcW w:w="1980" w:type="dxa"/>
            <w:noWrap/>
          </w:tcPr>
          <w:p w14:paraId="10E1CA4B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2,304 (1.6</w:t>
            </w:r>
            <w:r>
              <w:rPr>
                <w:sz w:val="20"/>
              </w:rPr>
              <w:t>)</w:t>
            </w:r>
          </w:p>
        </w:tc>
        <w:tc>
          <w:tcPr>
            <w:tcW w:w="2191" w:type="dxa"/>
            <w:noWrap/>
          </w:tcPr>
          <w:p w14:paraId="411A6561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4,316 (1.7)</w:t>
            </w:r>
          </w:p>
        </w:tc>
        <w:tc>
          <w:tcPr>
            <w:tcW w:w="1764" w:type="dxa"/>
            <w:noWrap/>
          </w:tcPr>
          <w:p w14:paraId="2CB014A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0.01</w:t>
            </w:r>
          </w:p>
        </w:tc>
      </w:tr>
      <w:tr w:rsidR="00993237" w:rsidRPr="00BD701B" w14:paraId="53AB8FA3" w14:textId="77777777" w:rsidTr="00042A1E">
        <w:trPr>
          <w:trHeight w:val="290"/>
        </w:trPr>
        <w:tc>
          <w:tcPr>
            <w:tcW w:w="3415" w:type="dxa"/>
            <w:noWrap/>
          </w:tcPr>
          <w:p w14:paraId="3C0663B4" w14:textId="77777777" w:rsidR="00993237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Alpha-1 antitrypsin deficiency</w:t>
            </w:r>
          </w:p>
        </w:tc>
        <w:tc>
          <w:tcPr>
            <w:tcW w:w="1980" w:type="dxa"/>
            <w:noWrap/>
          </w:tcPr>
          <w:p w14:paraId="5C2BC1B0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173 (0.1)</w:t>
            </w:r>
          </w:p>
        </w:tc>
        <w:tc>
          <w:tcPr>
            <w:tcW w:w="2191" w:type="dxa"/>
            <w:noWrap/>
          </w:tcPr>
          <w:p w14:paraId="15B259DA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269 (0.1)</w:t>
            </w:r>
          </w:p>
        </w:tc>
        <w:tc>
          <w:tcPr>
            <w:tcW w:w="1764" w:type="dxa"/>
            <w:noWrap/>
          </w:tcPr>
          <w:p w14:paraId="762DBCA9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</w:t>
            </w:r>
          </w:p>
        </w:tc>
      </w:tr>
      <w:tr w:rsidR="00993237" w:rsidRPr="00BD701B" w14:paraId="5C29E918" w14:textId="77777777" w:rsidTr="00042A1E">
        <w:trPr>
          <w:trHeight w:val="290"/>
        </w:trPr>
        <w:tc>
          <w:tcPr>
            <w:tcW w:w="3415" w:type="dxa"/>
            <w:noWrap/>
          </w:tcPr>
          <w:p w14:paraId="77B23DF2" w14:textId="77777777" w:rsidR="00993237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Extrinsic allergic alveolitis</w:t>
            </w:r>
          </w:p>
        </w:tc>
        <w:tc>
          <w:tcPr>
            <w:tcW w:w="1980" w:type="dxa"/>
            <w:noWrap/>
          </w:tcPr>
          <w:p w14:paraId="0BFF7609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11,790 (8.1)</w:t>
            </w:r>
          </w:p>
        </w:tc>
        <w:tc>
          <w:tcPr>
            <w:tcW w:w="2191" w:type="dxa"/>
            <w:noWrap/>
          </w:tcPr>
          <w:p w14:paraId="625FFA5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19,840 (7.9)</w:t>
            </w:r>
          </w:p>
        </w:tc>
        <w:tc>
          <w:tcPr>
            <w:tcW w:w="1764" w:type="dxa"/>
            <w:noWrap/>
          </w:tcPr>
          <w:p w14:paraId="17135829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0.01</w:t>
            </w:r>
          </w:p>
        </w:tc>
      </w:tr>
      <w:tr w:rsidR="00993237" w:rsidRPr="00BD701B" w14:paraId="787BE014" w14:textId="77777777" w:rsidTr="00042A1E">
        <w:trPr>
          <w:trHeight w:val="290"/>
        </w:trPr>
        <w:tc>
          <w:tcPr>
            <w:tcW w:w="3415" w:type="dxa"/>
            <w:noWrap/>
          </w:tcPr>
          <w:p w14:paraId="4EE03381" w14:textId="77777777" w:rsidR="00993237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Sarcoidosis</w:t>
            </w:r>
          </w:p>
        </w:tc>
        <w:tc>
          <w:tcPr>
            <w:tcW w:w="1980" w:type="dxa"/>
            <w:noWrap/>
          </w:tcPr>
          <w:p w14:paraId="0A24CA63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1,016 (0.7)</w:t>
            </w:r>
          </w:p>
        </w:tc>
        <w:tc>
          <w:tcPr>
            <w:tcW w:w="2191" w:type="dxa"/>
            <w:noWrap/>
          </w:tcPr>
          <w:p w14:paraId="4074E85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1,868 (0.7)</w:t>
            </w:r>
          </w:p>
        </w:tc>
        <w:tc>
          <w:tcPr>
            <w:tcW w:w="1764" w:type="dxa"/>
            <w:noWrap/>
          </w:tcPr>
          <w:p w14:paraId="6003450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0.01</w:t>
            </w:r>
          </w:p>
        </w:tc>
      </w:tr>
      <w:tr w:rsidR="00993237" w:rsidRPr="00BD701B" w14:paraId="077EBAC7" w14:textId="77777777" w:rsidTr="00042A1E">
        <w:trPr>
          <w:trHeight w:val="290"/>
        </w:trPr>
        <w:tc>
          <w:tcPr>
            <w:tcW w:w="3415" w:type="dxa"/>
            <w:noWrap/>
          </w:tcPr>
          <w:p w14:paraId="4350447E" w14:textId="77777777" w:rsidR="00993237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Pulmonary edema</w:t>
            </w:r>
          </w:p>
        </w:tc>
        <w:tc>
          <w:tcPr>
            <w:tcW w:w="1980" w:type="dxa"/>
            <w:noWrap/>
          </w:tcPr>
          <w:p w14:paraId="79607EE5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4,857 (3.3)</w:t>
            </w:r>
          </w:p>
        </w:tc>
        <w:tc>
          <w:tcPr>
            <w:tcW w:w="2191" w:type="dxa"/>
            <w:noWrap/>
          </w:tcPr>
          <w:p w14:paraId="05F1115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7,837 (3.1)</w:t>
            </w:r>
          </w:p>
        </w:tc>
        <w:tc>
          <w:tcPr>
            <w:tcW w:w="1764" w:type="dxa"/>
            <w:noWrap/>
          </w:tcPr>
          <w:p w14:paraId="0C3279F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0.01</w:t>
            </w:r>
          </w:p>
        </w:tc>
      </w:tr>
      <w:tr w:rsidR="00993237" w:rsidRPr="00BD701B" w14:paraId="52A5ED19" w14:textId="77777777" w:rsidTr="00042A1E">
        <w:trPr>
          <w:trHeight w:val="290"/>
        </w:trPr>
        <w:tc>
          <w:tcPr>
            <w:tcW w:w="3415" w:type="dxa"/>
            <w:noWrap/>
          </w:tcPr>
          <w:p w14:paraId="23D00BEF" w14:textId="77777777" w:rsidR="00993237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CV procedures</w:t>
            </w:r>
          </w:p>
        </w:tc>
        <w:tc>
          <w:tcPr>
            <w:tcW w:w="1980" w:type="dxa"/>
            <w:noWrap/>
          </w:tcPr>
          <w:p w14:paraId="7F6686AB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6,756 (4.6)</w:t>
            </w:r>
          </w:p>
        </w:tc>
        <w:tc>
          <w:tcPr>
            <w:tcW w:w="2191" w:type="dxa"/>
            <w:noWrap/>
          </w:tcPr>
          <w:p w14:paraId="1B494CD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13,055 (5.2)</w:t>
            </w:r>
          </w:p>
        </w:tc>
        <w:tc>
          <w:tcPr>
            <w:tcW w:w="1764" w:type="dxa"/>
            <w:noWrap/>
          </w:tcPr>
          <w:p w14:paraId="66151A7C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0.03</w:t>
            </w:r>
          </w:p>
        </w:tc>
      </w:tr>
      <w:tr w:rsidR="00993237" w:rsidRPr="00BD701B" w14:paraId="487A74E8" w14:textId="77777777" w:rsidTr="00042A1E">
        <w:trPr>
          <w:trHeight w:val="290"/>
        </w:trPr>
        <w:tc>
          <w:tcPr>
            <w:tcW w:w="3415" w:type="dxa"/>
            <w:noWrap/>
          </w:tcPr>
          <w:p w14:paraId="4285C10F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Osteoporosis</w:t>
            </w:r>
          </w:p>
        </w:tc>
        <w:tc>
          <w:tcPr>
            <w:tcW w:w="1980" w:type="dxa"/>
            <w:noWrap/>
          </w:tcPr>
          <w:p w14:paraId="204C2249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19,391 (13.3)</w:t>
            </w:r>
          </w:p>
        </w:tc>
        <w:tc>
          <w:tcPr>
            <w:tcW w:w="2191" w:type="dxa"/>
            <w:noWrap/>
          </w:tcPr>
          <w:p w14:paraId="23CC091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36,016 (14.4)</w:t>
            </w:r>
          </w:p>
        </w:tc>
        <w:tc>
          <w:tcPr>
            <w:tcW w:w="1764" w:type="dxa"/>
            <w:noWrap/>
          </w:tcPr>
          <w:p w14:paraId="65855E2B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0.03</w:t>
            </w:r>
          </w:p>
        </w:tc>
      </w:tr>
      <w:tr w:rsidR="00993237" w:rsidRPr="00BD701B" w14:paraId="789DACF1" w14:textId="77777777" w:rsidTr="00042A1E">
        <w:trPr>
          <w:trHeight w:val="290"/>
        </w:trPr>
        <w:tc>
          <w:tcPr>
            <w:tcW w:w="3415" w:type="dxa"/>
            <w:noWrap/>
          </w:tcPr>
          <w:p w14:paraId="1CE3C798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Chronic kidney disease</w:t>
            </w:r>
          </w:p>
        </w:tc>
        <w:tc>
          <w:tcPr>
            <w:tcW w:w="1980" w:type="dxa"/>
            <w:noWrap/>
          </w:tcPr>
          <w:p w14:paraId="696CC77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14,997 (10.3)</w:t>
            </w:r>
          </w:p>
        </w:tc>
        <w:tc>
          <w:tcPr>
            <w:tcW w:w="2191" w:type="dxa"/>
            <w:noWrap/>
          </w:tcPr>
          <w:p w14:paraId="0D2E0C3C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28,057 (11.2)</w:t>
            </w:r>
          </w:p>
        </w:tc>
        <w:tc>
          <w:tcPr>
            <w:tcW w:w="1764" w:type="dxa"/>
            <w:noWrap/>
          </w:tcPr>
          <w:p w14:paraId="3A981D02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0.03</w:t>
            </w:r>
          </w:p>
        </w:tc>
      </w:tr>
      <w:tr w:rsidR="00993237" w:rsidRPr="00BD701B" w14:paraId="172524CC" w14:textId="77777777" w:rsidTr="00042A1E">
        <w:trPr>
          <w:trHeight w:val="290"/>
        </w:trPr>
        <w:tc>
          <w:tcPr>
            <w:tcW w:w="3415" w:type="dxa"/>
            <w:noWrap/>
          </w:tcPr>
          <w:p w14:paraId="540083E0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Atrial fibrillation</w:t>
            </w:r>
          </w:p>
        </w:tc>
        <w:tc>
          <w:tcPr>
            <w:tcW w:w="1980" w:type="dxa"/>
            <w:noWrap/>
          </w:tcPr>
          <w:p w14:paraId="32CFF8A0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14,249 (9.8</w:t>
            </w:r>
            <w:r>
              <w:rPr>
                <w:sz w:val="20"/>
              </w:rPr>
              <w:t>)</w:t>
            </w:r>
          </w:p>
        </w:tc>
        <w:tc>
          <w:tcPr>
            <w:tcW w:w="2191" w:type="dxa"/>
            <w:noWrap/>
          </w:tcPr>
          <w:p w14:paraId="6F81DA3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27,278 (10.9)</w:t>
            </w:r>
          </w:p>
        </w:tc>
        <w:tc>
          <w:tcPr>
            <w:tcW w:w="1764" w:type="dxa"/>
            <w:noWrap/>
          </w:tcPr>
          <w:p w14:paraId="639CF30D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0.04</w:t>
            </w:r>
          </w:p>
        </w:tc>
      </w:tr>
      <w:tr w:rsidR="00993237" w:rsidRPr="00BD701B" w14:paraId="6CCCEDCC" w14:textId="77777777" w:rsidTr="00042A1E">
        <w:trPr>
          <w:trHeight w:val="290"/>
        </w:trPr>
        <w:tc>
          <w:tcPr>
            <w:tcW w:w="3415" w:type="dxa"/>
            <w:noWrap/>
          </w:tcPr>
          <w:p w14:paraId="07016F3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 xml:space="preserve">Sleep </w:t>
            </w:r>
            <w:proofErr w:type="spellStart"/>
            <w:r w:rsidRPr="00BD701B">
              <w:rPr>
                <w:sz w:val="20"/>
              </w:rPr>
              <w:t>apnea</w:t>
            </w:r>
            <w:proofErr w:type="spellEnd"/>
          </w:p>
        </w:tc>
        <w:tc>
          <w:tcPr>
            <w:tcW w:w="1980" w:type="dxa"/>
            <w:noWrap/>
          </w:tcPr>
          <w:p w14:paraId="5D155BCA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21,800 (14.9)</w:t>
            </w:r>
          </w:p>
        </w:tc>
        <w:tc>
          <w:tcPr>
            <w:tcW w:w="2191" w:type="dxa"/>
            <w:noWrap/>
          </w:tcPr>
          <w:p w14:paraId="176F2C0D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40,088 (16.1)</w:t>
            </w:r>
          </w:p>
        </w:tc>
        <w:tc>
          <w:tcPr>
            <w:tcW w:w="1764" w:type="dxa"/>
            <w:noWrap/>
          </w:tcPr>
          <w:p w14:paraId="1EF9B622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0.03</w:t>
            </w:r>
          </w:p>
        </w:tc>
      </w:tr>
      <w:tr w:rsidR="00993237" w:rsidRPr="00BD701B" w14:paraId="555E0841" w14:textId="77777777" w:rsidTr="00042A1E">
        <w:trPr>
          <w:trHeight w:val="290"/>
        </w:trPr>
        <w:tc>
          <w:tcPr>
            <w:tcW w:w="3415" w:type="dxa"/>
            <w:noWrap/>
          </w:tcPr>
          <w:p w14:paraId="0CCB94D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Heart failure</w:t>
            </w:r>
          </w:p>
        </w:tc>
        <w:tc>
          <w:tcPr>
            <w:tcW w:w="1980" w:type="dxa"/>
            <w:noWrap/>
          </w:tcPr>
          <w:p w14:paraId="7919949B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16,374 (11.2)</w:t>
            </w:r>
          </w:p>
        </w:tc>
        <w:tc>
          <w:tcPr>
            <w:tcW w:w="2191" w:type="dxa"/>
            <w:noWrap/>
          </w:tcPr>
          <w:p w14:paraId="6566E75B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28,901 (11.6)</w:t>
            </w:r>
          </w:p>
        </w:tc>
        <w:tc>
          <w:tcPr>
            <w:tcW w:w="1764" w:type="dxa"/>
            <w:noWrap/>
          </w:tcPr>
          <w:p w14:paraId="37C68160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0.01</w:t>
            </w:r>
          </w:p>
        </w:tc>
      </w:tr>
      <w:tr w:rsidR="00993237" w:rsidRPr="00BD701B" w14:paraId="0CAB423A" w14:textId="77777777" w:rsidTr="00042A1E">
        <w:trPr>
          <w:trHeight w:val="290"/>
        </w:trPr>
        <w:tc>
          <w:tcPr>
            <w:tcW w:w="3415" w:type="dxa"/>
            <w:noWrap/>
          </w:tcPr>
          <w:p w14:paraId="136F914A" w14:textId="55B3DA11" w:rsidR="00993237" w:rsidRPr="00EE4134" w:rsidRDefault="00993237" w:rsidP="00042A1E">
            <w:pPr>
              <w:spacing w:after="0" w:line="240" w:lineRule="auto"/>
              <w:contextualSpacing/>
              <w:rPr>
                <w:b/>
                <w:bCs/>
                <w:sz w:val="20"/>
              </w:rPr>
            </w:pPr>
            <w:r w:rsidRPr="00EE4134">
              <w:rPr>
                <w:b/>
                <w:bCs/>
                <w:sz w:val="20"/>
              </w:rPr>
              <w:t>Prescription medications, N</w:t>
            </w:r>
            <w:r w:rsidR="00704E4E">
              <w:rPr>
                <w:b/>
                <w:bCs/>
                <w:sz w:val="20"/>
              </w:rPr>
              <w:t xml:space="preserve"> </w:t>
            </w:r>
            <w:r w:rsidRPr="00EE4134">
              <w:rPr>
                <w:b/>
                <w:bCs/>
                <w:sz w:val="20"/>
              </w:rPr>
              <w:t>(%)</w:t>
            </w:r>
          </w:p>
        </w:tc>
        <w:tc>
          <w:tcPr>
            <w:tcW w:w="1980" w:type="dxa"/>
            <w:noWrap/>
          </w:tcPr>
          <w:p w14:paraId="3A257809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191" w:type="dxa"/>
            <w:noWrap/>
          </w:tcPr>
          <w:p w14:paraId="4A7AB4E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64" w:type="dxa"/>
            <w:noWrap/>
          </w:tcPr>
          <w:p w14:paraId="607BE91F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993237" w:rsidRPr="00BD701B" w14:paraId="1A90898B" w14:textId="77777777" w:rsidTr="00042A1E">
        <w:trPr>
          <w:trHeight w:val="290"/>
        </w:trPr>
        <w:tc>
          <w:tcPr>
            <w:tcW w:w="3415" w:type="dxa"/>
            <w:noWrap/>
          </w:tcPr>
          <w:p w14:paraId="21185721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Antiviral agents</w:t>
            </w:r>
          </w:p>
        </w:tc>
        <w:tc>
          <w:tcPr>
            <w:tcW w:w="1980" w:type="dxa"/>
            <w:noWrap/>
          </w:tcPr>
          <w:p w14:paraId="3DD35F5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26,339 (18.1)</w:t>
            </w:r>
          </w:p>
        </w:tc>
        <w:tc>
          <w:tcPr>
            <w:tcW w:w="2191" w:type="dxa"/>
            <w:noWrap/>
          </w:tcPr>
          <w:p w14:paraId="70FD319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38,852 (15.6)</w:t>
            </w:r>
          </w:p>
        </w:tc>
        <w:tc>
          <w:tcPr>
            <w:tcW w:w="1764" w:type="dxa"/>
            <w:noWrap/>
          </w:tcPr>
          <w:p w14:paraId="3C657043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0.07</w:t>
            </w:r>
          </w:p>
        </w:tc>
      </w:tr>
      <w:tr w:rsidR="00993237" w:rsidRPr="00BD701B" w14:paraId="5E91CEE0" w14:textId="77777777" w:rsidTr="00042A1E">
        <w:trPr>
          <w:trHeight w:val="290"/>
        </w:trPr>
        <w:tc>
          <w:tcPr>
            <w:tcW w:w="3415" w:type="dxa"/>
            <w:noWrap/>
          </w:tcPr>
          <w:p w14:paraId="35F94CBF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Antidiabetic agents</w:t>
            </w:r>
          </w:p>
        </w:tc>
        <w:tc>
          <w:tcPr>
            <w:tcW w:w="1980" w:type="dxa"/>
            <w:noWrap/>
          </w:tcPr>
          <w:p w14:paraId="38021E85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26,417 (18.1)</w:t>
            </w:r>
          </w:p>
        </w:tc>
        <w:tc>
          <w:tcPr>
            <w:tcW w:w="2191" w:type="dxa"/>
            <w:noWrap/>
          </w:tcPr>
          <w:p w14:paraId="445993B5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44,554 (17.8)</w:t>
            </w:r>
          </w:p>
        </w:tc>
        <w:tc>
          <w:tcPr>
            <w:tcW w:w="1764" w:type="dxa"/>
            <w:noWrap/>
          </w:tcPr>
          <w:p w14:paraId="3B8453DB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0.01</w:t>
            </w:r>
          </w:p>
        </w:tc>
      </w:tr>
      <w:tr w:rsidR="00993237" w:rsidRPr="00BD701B" w14:paraId="1D6F3CB4" w14:textId="77777777" w:rsidTr="00042A1E">
        <w:trPr>
          <w:trHeight w:val="290"/>
        </w:trPr>
        <w:tc>
          <w:tcPr>
            <w:tcW w:w="3415" w:type="dxa"/>
            <w:noWrap/>
          </w:tcPr>
          <w:p w14:paraId="1ABA4ACF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Antifungal agents</w:t>
            </w:r>
          </w:p>
        </w:tc>
        <w:tc>
          <w:tcPr>
            <w:tcW w:w="1980" w:type="dxa"/>
            <w:noWrap/>
          </w:tcPr>
          <w:p w14:paraId="77D49C18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3,550 (2.4)</w:t>
            </w:r>
          </w:p>
        </w:tc>
        <w:tc>
          <w:tcPr>
            <w:tcW w:w="2191" w:type="dxa"/>
            <w:noWrap/>
          </w:tcPr>
          <w:p w14:paraId="32754E10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5,551 (2.2)</w:t>
            </w:r>
          </w:p>
        </w:tc>
        <w:tc>
          <w:tcPr>
            <w:tcW w:w="1764" w:type="dxa"/>
            <w:noWrap/>
          </w:tcPr>
          <w:p w14:paraId="594093B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0.01</w:t>
            </w:r>
          </w:p>
        </w:tc>
      </w:tr>
      <w:tr w:rsidR="00993237" w:rsidRPr="00BD701B" w14:paraId="3060D18A" w14:textId="77777777" w:rsidTr="00042A1E">
        <w:trPr>
          <w:trHeight w:val="290"/>
        </w:trPr>
        <w:tc>
          <w:tcPr>
            <w:tcW w:w="3415" w:type="dxa"/>
            <w:noWrap/>
          </w:tcPr>
          <w:p w14:paraId="4F7896D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Antihistamines</w:t>
            </w:r>
          </w:p>
        </w:tc>
        <w:tc>
          <w:tcPr>
            <w:tcW w:w="1980" w:type="dxa"/>
            <w:noWrap/>
          </w:tcPr>
          <w:p w14:paraId="603F7A97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25,291 (17.3)</w:t>
            </w:r>
          </w:p>
        </w:tc>
        <w:tc>
          <w:tcPr>
            <w:tcW w:w="2191" w:type="dxa"/>
            <w:noWrap/>
          </w:tcPr>
          <w:p w14:paraId="7E4ECD71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36,249 (14.5)</w:t>
            </w:r>
          </w:p>
        </w:tc>
        <w:tc>
          <w:tcPr>
            <w:tcW w:w="1764" w:type="dxa"/>
            <w:noWrap/>
          </w:tcPr>
          <w:p w14:paraId="302C590B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0.08</w:t>
            </w:r>
          </w:p>
        </w:tc>
      </w:tr>
      <w:tr w:rsidR="00993237" w:rsidRPr="00BD701B" w14:paraId="512EA73D" w14:textId="77777777" w:rsidTr="00042A1E">
        <w:trPr>
          <w:trHeight w:val="290"/>
        </w:trPr>
        <w:tc>
          <w:tcPr>
            <w:tcW w:w="3415" w:type="dxa"/>
            <w:noWrap/>
          </w:tcPr>
          <w:p w14:paraId="0D536D1C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Lipid-lowering agents</w:t>
            </w:r>
          </w:p>
        </w:tc>
        <w:tc>
          <w:tcPr>
            <w:tcW w:w="1980" w:type="dxa"/>
            <w:noWrap/>
          </w:tcPr>
          <w:p w14:paraId="548D73B5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70,482 (48.3)</w:t>
            </w:r>
          </w:p>
        </w:tc>
        <w:tc>
          <w:tcPr>
            <w:tcW w:w="2191" w:type="dxa"/>
            <w:noWrap/>
          </w:tcPr>
          <w:p w14:paraId="519CCADB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121,888 (48.8)</w:t>
            </w:r>
          </w:p>
        </w:tc>
        <w:tc>
          <w:tcPr>
            <w:tcW w:w="1764" w:type="dxa"/>
            <w:noWrap/>
          </w:tcPr>
          <w:p w14:paraId="071F272D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0.01</w:t>
            </w:r>
          </w:p>
        </w:tc>
      </w:tr>
      <w:tr w:rsidR="00993237" w:rsidRPr="00BD701B" w14:paraId="3AA14C36" w14:textId="77777777" w:rsidTr="00042A1E">
        <w:trPr>
          <w:trHeight w:val="290"/>
        </w:trPr>
        <w:tc>
          <w:tcPr>
            <w:tcW w:w="3415" w:type="dxa"/>
            <w:noWrap/>
          </w:tcPr>
          <w:p w14:paraId="05D2AA5A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Antihypertensive agents</w:t>
            </w:r>
          </w:p>
        </w:tc>
        <w:tc>
          <w:tcPr>
            <w:tcW w:w="1980" w:type="dxa"/>
            <w:noWrap/>
          </w:tcPr>
          <w:p w14:paraId="7DDDF457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92,607 (63.5)</w:t>
            </w:r>
          </w:p>
        </w:tc>
        <w:tc>
          <w:tcPr>
            <w:tcW w:w="2191" w:type="dxa"/>
            <w:noWrap/>
          </w:tcPr>
          <w:p w14:paraId="46F3AFE8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156,419 (62.6)</w:t>
            </w:r>
          </w:p>
        </w:tc>
        <w:tc>
          <w:tcPr>
            <w:tcW w:w="1764" w:type="dxa"/>
            <w:noWrap/>
          </w:tcPr>
          <w:p w14:paraId="0DB02C5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0.02</w:t>
            </w:r>
          </w:p>
        </w:tc>
      </w:tr>
      <w:tr w:rsidR="00993237" w:rsidRPr="00BD701B" w14:paraId="1DDBFA64" w14:textId="77777777" w:rsidTr="00042A1E">
        <w:trPr>
          <w:trHeight w:val="290"/>
        </w:trPr>
        <w:tc>
          <w:tcPr>
            <w:tcW w:w="3415" w:type="dxa"/>
            <w:noWrap/>
          </w:tcPr>
          <w:p w14:paraId="58F58836" w14:textId="5398B3B6" w:rsidR="00993237" w:rsidRPr="00EE4134" w:rsidRDefault="00993237" w:rsidP="00042A1E">
            <w:pPr>
              <w:spacing w:after="0" w:line="240" w:lineRule="auto"/>
              <w:contextualSpacing/>
              <w:rPr>
                <w:b/>
                <w:bCs/>
                <w:sz w:val="20"/>
              </w:rPr>
            </w:pPr>
            <w:r w:rsidRPr="00EE4134">
              <w:rPr>
                <w:b/>
                <w:bCs/>
                <w:sz w:val="20"/>
              </w:rPr>
              <w:t xml:space="preserve">Mean (SD) </w:t>
            </w:r>
            <w:proofErr w:type="spellStart"/>
            <w:r w:rsidRPr="00EE4134">
              <w:rPr>
                <w:b/>
                <w:bCs/>
                <w:sz w:val="20"/>
              </w:rPr>
              <w:t>dispensings</w:t>
            </w:r>
            <w:proofErr w:type="spellEnd"/>
            <w:r w:rsidRPr="00EE4134">
              <w:rPr>
                <w:b/>
                <w:bCs/>
                <w:sz w:val="20"/>
              </w:rPr>
              <w:t xml:space="preserve"> in 1-y</w:t>
            </w:r>
            <w:r w:rsidR="00704E4E">
              <w:rPr>
                <w:b/>
                <w:bCs/>
                <w:sz w:val="20"/>
              </w:rPr>
              <w:t>ea</w:t>
            </w:r>
            <w:r w:rsidRPr="00EE4134">
              <w:rPr>
                <w:b/>
                <w:bCs/>
                <w:sz w:val="20"/>
              </w:rPr>
              <w:t>r prior to index</w:t>
            </w:r>
          </w:p>
        </w:tc>
        <w:tc>
          <w:tcPr>
            <w:tcW w:w="1980" w:type="dxa"/>
            <w:noWrap/>
          </w:tcPr>
          <w:p w14:paraId="5E775C3A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191" w:type="dxa"/>
            <w:noWrap/>
          </w:tcPr>
          <w:p w14:paraId="241A0A65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64" w:type="dxa"/>
            <w:noWrap/>
          </w:tcPr>
          <w:p w14:paraId="160D78B2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993237" w:rsidRPr="00BD701B" w14:paraId="54B4B544" w14:textId="77777777" w:rsidTr="00042A1E">
        <w:trPr>
          <w:trHeight w:val="290"/>
        </w:trPr>
        <w:tc>
          <w:tcPr>
            <w:tcW w:w="3415" w:type="dxa"/>
            <w:noWrap/>
            <w:hideMark/>
          </w:tcPr>
          <w:p w14:paraId="1B218ADF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Glucocorticoids</w:t>
            </w:r>
          </w:p>
        </w:tc>
        <w:tc>
          <w:tcPr>
            <w:tcW w:w="1980" w:type="dxa"/>
            <w:noWrap/>
            <w:hideMark/>
          </w:tcPr>
          <w:p w14:paraId="70D95DDB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4.5 (8.5)</w:t>
            </w:r>
          </w:p>
        </w:tc>
        <w:tc>
          <w:tcPr>
            <w:tcW w:w="2191" w:type="dxa"/>
            <w:noWrap/>
            <w:hideMark/>
          </w:tcPr>
          <w:p w14:paraId="5DF29A63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3.4 (6.9)</w:t>
            </w:r>
          </w:p>
        </w:tc>
        <w:tc>
          <w:tcPr>
            <w:tcW w:w="1764" w:type="dxa"/>
            <w:noWrap/>
            <w:hideMark/>
          </w:tcPr>
          <w:p w14:paraId="3F199D4F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0.14</w:t>
            </w:r>
          </w:p>
        </w:tc>
      </w:tr>
      <w:tr w:rsidR="00993237" w:rsidRPr="00BD701B" w14:paraId="07F42C19" w14:textId="77777777" w:rsidTr="00042A1E">
        <w:trPr>
          <w:trHeight w:val="290"/>
        </w:trPr>
        <w:tc>
          <w:tcPr>
            <w:tcW w:w="3415" w:type="dxa"/>
            <w:hideMark/>
          </w:tcPr>
          <w:p w14:paraId="339ADC2D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Immunosuppressants</w:t>
            </w:r>
          </w:p>
        </w:tc>
        <w:tc>
          <w:tcPr>
            <w:tcW w:w="1980" w:type="dxa"/>
            <w:noWrap/>
            <w:hideMark/>
          </w:tcPr>
          <w:p w14:paraId="56FD8875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1.6 (2.8)</w:t>
            </w:r>
          </w:p>
        </w:tc>
        <w:tc>
          <w:tcPr>
            <w:tcW w:w="2191" w:type="dxa"/>
            <w:noWrap/>
            <w:hideMark/>
          </w:tcPr>
          <w:p w14:paraId="5768CFBD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0.8 (2.3)</w:t>
            </w:r>
          </w:p>
        </w:tc>
        <w:tc>
          <w:tcPr>
            <w:tcW w:w="1764" w:type="dxa"/>
            <w:noWrap/>
            <w:hideMark/>
          </w:tcPr>
          <w:p w14:paraId="6AF65A5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0.29</w:t>
            </w:r>
          </w:p>
        </w:tc>
      </w:tr>
      <w:tr w:rsidR="00993237" w:rsidRPr="00BD701B" w14:paraId="43036875" w14:textId="77777777" w:rsidTr="00042A1E">
        <w:trPr>
          <w:trHeight w:val="290"/>
        </w:trPr>
        <w:tc>
          <w:tcPr>
            <w:tcW w:w="3415" w:type="dxa"/>
            <w:hideMark/>
          </w:tcPr>
          <w:p w14:paraId="3D4C7DF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Long-acting bronchodilators</w:t>
            </w:r>
          </w:p>
        </w:tc>
        <w:tc>
          <w:tcPr>
            <w:tcW w:w="1980" w:type="dxa"/>
            <w:noWrap/>
            <w:hideMark/>
          </w:tcPr>
          <w:p w14:paraId="3A8A5AFB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2.1 (7.4)</w:t>
            </w:r>
          </w:p>
        </w:tc>
        <w:tc>
          <w:tcPr>
            <w:tcW w:w="2191" w:type="dxa"/>
            <w:noWrap/>
            <w:hideMark/>
          </w:tcPr>
          <w:p w14:paraId="68D123A0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1.3 (5.9)</w:t>
            </w:r>
          </w:p>
        </w:tc>
        <w:tc>
          <w:tcPr>
            <w:tcW w:w="1764" w:type="dxa"/>
            <w:noWrap/>
            <w:hideMark/>
          </w:tcPr>
          <w:p w14:paraId="3A50A62A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0.12</w:t>
            </w:r>
          </w:p>
        </w:tc>
      </w:tr>
      <w:tr w:rsidR="00993237" w:rsidRPr="00BD701B" w14:paraId="499F2C53" w14:textId="77777777" w:rsidTr="00042A1E">
        <w:trPr>
          <w:trHeight w:val="290"/>
        </w:trPr>
        <w:tc>
          <w:tcPr>
            <w:tcW w:w="3415" w:type="dxa"/>
            <w:hideMark/>
          </w:tcPr>
          <w:p w14:paraId="74CB2A1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Short-acting bronchodilators</w:t>
            </w:r>
          </w:p>
        </w:tc>
        <w:tc>
          <w:tcPr>
            <w:tcW w:w="1980" w:type="dxa"/>
            <w:noWrap/>
            <w:hideMark/>
          </w:tcPr>
          <w:p w14:paraId="311BA408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2.8 (7.1)</w:t>
            </w:r>
          </w:p>
        </w:tc>
        <w:tc>
          <w:tcPr>
            <w:tcW w:w="2191" w:type="dxa"/>
            <w:noWrap/>
            <w:hideMark/>
          </w:tcPr>
          <w:p w14:paraId="0C708660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1.7 (5.4)</w:t>
            </w:r>
          </w:p>
        </w:tc>
        <w:tc>
          <w:tcPr>
            <w:tcW w:w="1764" w:type="dxa"/>
            <w:noWrap/>
            <w:hideMark/>
          </w:tcPr>
          <w:p w14:paraId="53DFBE95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0.16</w:t>
            </w:r>
          </w:p>
        </w:tc>
      </w:tr>
      <w:tr w:rsidR="00993237" w:rsidRPr="00BD701B" w14:paraId="5000F308" w14:textId="77777777" w:rsidTr="00042A1E">
        <w:trPr>
          <w:trHeight w:val="290"/>
        </w:trPr>
        <w:tc>
          <w:tcPr>
            <w:tcW w:w="3415" w:type="dxa"/>
            <w:hideMark/>
          </w:tcPr>
          <w:p w14:paraId="7A744FF4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Inhaled corticosteroids</w:t>
            </w:r>
          </w:p>
        </w:tc>
        <w:tc>
          <w:tcPr>
            <w:tcW w:w="1980" w:type="dxa"/>
            <w:noWrap/>
            <w:hideMark/>
          </w:tcPr>
          <w:p w14:paraId="5B2C41BE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2.0 (7.2)</w:t>
            </w:r>
          </w:p>
        </w:tc>
        <w:tc>
          <w:tcPr>
            <w:tcW w:w="2191" w:type="dxa"/>
            <w:noWrap/>
            <w:hideMark/>
          </w:tcPr>
          <w:p w14:paraId="4BE30AD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1.4 (6.0)</w:t>
            </w:r>
          </w:p>
        </w:tc>
        <w:tc>
          <w:tcPr>
            <w:tcW w:w="1764" w:type="dxa"/>
            <w:noWrap/>
            <w:hideMark/>
          </w:tcPr>
          <w:p w14:paraId="6023946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0.1</w:t>
            </w:r>
          </w:p>
        </w:tc>
      </w:tr>
      <w:tr w:rsidR="00993237" w:rsidRPr="00BD701B" w14:paraId="7D1E39D9" w14:textId="77777777" w:rsidTr="00042A1E">
        <w:trPr>
          <w:trHeight w:val="290"/>
        </w:trPr>
        <w:tc>
          <w:tcPr>
            <w:tcW w:w="3415" w:type="dxa"/>
            <w:hideMark/>
          </w:tcPr>
          <w:p w14:paraId="4F785BE9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Oral corticosteroids</w:t>
            </w:r>
          </w:p>
        </w:tc>
        <w:tc>
          <w:tcPr>
            <w:tcW w:w="1980" w:type="dxa"/>
            <w:noWrap/>
            <w:hideMark/>
          </w:tcPr>
          <w:p w14:paraId="576AE9F6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2.5 (5.7)</w:t>
            </w:r>
          </w:p>
        </w:tc>
        <w:tc>
          <w:tcPr>
            <w:tcW w:w="2191" w:type="dxa"/>
            <w:noWrap/>
            <w:hideMark/>
          </w:tcPr>
          <w:p w14:paraId="3B9E66EC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1.8 (4.6)</w:t>
            </w:r>
          </w:p>
        </w:tc>
        <w:tc>
          <w:tcPr>
            <w:tcW w:w="1764" w:type="dxa"/>
            <w:noWrap/>
            <w:hideMark/>
          </w:tcPr>
          <w:p w14:paraId="46DF3C6F" w14:textId="77777777" w:rsidR="00993237" w:rsidRPr="00BD701B" w:rsidRDefault="00993237" w:rsidP="00042A1E">
            <w:pPr>
              <w:spacing w:after="0" w:line="240" w:lineRule="auto"/>
              <w:contextualSpacing/>
              <w:rPr>
                <w:sz w:val="20"/>
              </w:rPr>
            </w:pPr>
            <w:r w:rsidRPr="00BD701B">
              <w:rPr>
                <w:sz w:val="20"/>
              </w:rPr>
              <w:t>0.14</w:t>
            </w:r>
          </w:p>
        </w:tc>
      </w:tr>
    </w:tbl>
    <w:p w14:paraId="10F82D63" w14:textId="3C648EDE" w:rsidR="006877BB" w:rsidRDefault="006877BB" w:rsidP="006877BB">
      <w:pPr>
        <w:spacing w:after="0" w:line="240" w:lineRule="auto"/>
        <w:rPr>
          <w:sz w:val="18"/>
          <w:szCs w:val="18"/>
        </w:rPr>
      </w:pPr>
      <w:r w:rsidRPr="00BD701B">
        <w:rPr>
          <w:b/>
          <w:bCs/>
          <w:sz w:val="18"/>
          <w:szCs w:val="18"/>
        </w:rPr>
        <w:t xml:space="preserve">Abbreviations: </w:t>
      </w:r>
      <w:r w:rsidRPr="00BD701B">
        <w:rPr>
          <w:sz w:val="18"/>
          <w:szCs w:val="18"/>
        </w:rPr>
        <w:t xml:space="preserve">AECOPD, acute exacerbation of </w:t>
      </w:r>
      <w:r>
        <w:rPr>
          <w:sz w:val="18"/>
          <w:szCs w:val="18"/>
        </w:rPr>
        <w:t>chronic obstructive pulmonary disease</w:t>
      </w:r>
      <w:r w:rsidRPr="00BD701B">
        <w:rPr>
          <w:sz w:val="18"/>
          <w:szCs w:val="18"/>
        </w:rPr>
        <w:t xml:space="preserve">; CV, cardiovascular; </w:t>
      </w:r>
      <w:r w:rsidR="00704E4E">
        <w:rPr>
          <w:sz w:val="18"/>
          <w:szCs w:val="18"/>
        </w:rPr>
        <w:t xml:space="preserve">N, number; SD, standard </w:t>
      </w:r>
      <w:r w:rsidR="00B123E9">
        <w:rPr>
          <w:sz w:val="18"/>
          <w:szCs w:val="18"/>
        </w:rPr>
        <w:t>deviation</w:t>
      </w:r>
    </w:p>
    <w:p w14:paraId="29458E77" w14:textId="77777777" w:rsidR="000B671E" w:rsidRDefault="000B671E" w:rsidP="006877BB">
      <w:pPr>
        <w:rPr>
          <w:b/>
          <w:bCs/>
        </w:rPr>
      </w:pPr>
    </w:p>
    <w:bookmarkEnd w:id="17"/>
    <w:p w14:paraId="33EFB440" w14:textId="77777777" w:rsidR="000B671E" w:rsidRDefault="000B671E" w:rsidP="006877BB">
      <w:pPr>
        <w:rPr>
          <w:b/>
          <w:bCs/>
        </w:rPr>
      </w:pPr>
    </w:p>
    <w:p w14:paraId="5BEB59D6" w14:textId="77777777" w:rsidR="00704E4E" w:rsidRDefault="00704E4E" w:rsidP="006877BB">
      <w:pPr>
        <w:rPr>
          <w:b/>
          <w:bCs/>
        </w:rPr>
      </w:pPr>
    </w:p>
    <w:p w14:paraId="5C33D450" w14:textId="2CB20AE5" w:rsidR="006877BB" w:rsidRPr="009330F8" w:rsidRDefault="008F0A6E" w:rsidP="006877BB">
      <w:pPr>
        <w:rPr>
          <w:b/>
          <w:bCs/>
        </w:rPr>
      </w:pPr>
      <w:bookmarkStart w:id="18" w:name="_Hlk145584423"/>
      <w:r>
        <w:rPr>
          <w:b/>
          <w:bCs/>
        </w:rPr>
        <w:lastRenderedPageBreak/>
        <w:t xml:space="preserve">Supplemental </w:t>
      </w:r>
      <w:r w:rsidR="006877BB" w:rsidRPr="009330F8">
        <w:rPr>
          <w:b/>
          <w:bCs/>
        </w:rPr>
        <w:t xml:space="preserve">Table </w:t>
      </w:r>
      <w:r w:rsidR="000B671E">
        <w:rPr>
          <w:b/>
          <w:bCs/>
        </w:rPr>
        <w:t>6</w:t>
      </w:r>
      <w:r w:rsidR="006877BB" w:rsidRPr="009330F8">
        <w:rPr>
          <w:b/>
          <w:bCs/>
        </w:rPr>
        <w:t xml:space="preserve">. Patient characteristics during follow-up by cohort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800"/>
        <w:gridCol w:w="2340"/>
      </w:tblGrid>
      <w:tr w:rsidR="006877BB" w:rsidRPr="007C4FBB" w14:paraId="799B9A26" w14:textId="77777777" w:rsidTr="00066DCE">
        <w:trPr>
          <w:trHeight w:val="332"/>
        </w:trPr>
        <w:tc>
          <w:tcPr>
            <w:tcW w:w="3775" w:type="dxa"/>
            <w:vMerge w:val="restart"/>
            <w:noWrap/>
            <w:vAlign w:val="bottom"/>
            <w:hideMark/>
          </w:tcPr>
          <w:p w14:paraId="4B64EB89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 w:rsidRPr="007C4FBB">
              <w:rPr>
                <w:b/>
                <w:bCs/>
              </w:rPr>
              <w:t> </w:t>
            </w:r>
          </w:p>
          <w:p w14:paraId="79ACC4E0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 w:rsidRPr="007C4FBB">
              <w:rPr>
                <w:b/>
                <w:bCs/>
              </w:rPr>
              <w:t>Follow-up Characteristics</w:t>
            </w:r>
          </w:p>
        </w:tc>
        <w:tc>
          <w:tcPr>
            <w:tcW w:w="1800" w:type="dxa"/>
            <w:noWrap/>
            <w:hideMark/>
          </w:tcPr>
          <w:p w14:paraId="7409CAF8" w14:textId="7248B8A4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6131D">
              <w:rPr>
                <w:b/>
                <w:bCs/>
              </w:rPr>
              <w:t>-</w:t>
            </w:r>
            <w:r w:rsidRPr="007C4FBB">
              <w:rPr>
                <w:b/>
                <w:bCs/>
              </w:rPr>
              <w:t>AECOPD</w:t>
            </w:r>
          </w:p>
        </w:tc>
        <w:tc>
          <w:tcPr>
            <w:tcW w:w="2340" w:type="dxa"/>
            <w:noWrap/>
            <w:hideMark/>
          </w:tcPr>
          <w:p w14:paraId="36BC8734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0-AECOPD Comparator </w:t>
            </w:r>
          </w:p>
        </w:tc>
      </w:tr>
      <w:tr w:rsidR="006877BB" w:rsidRPr="007C4FBB" w14:paraId="509D8D07" w14:textId="77777777" w:rsidTr="00066DCE">
        <w:trPr>
          <w:trHeight w:val="350"/>
        </w:trPr>
        <w:tc>
          <w:tcPr>
            <w:tcW w:w="3775" w:type="dxa"/>
            <w:vMerge/>
            <w:noWrap/>
            <w:hideMark/>
          </w:tcPr>
          <w:p w14:paraId="61758FD9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00" w:type="dxa"/>
            <w:noWrap/>
            <w:vAlign w:val="bottom"/>
            <w:hideMark/>
          </w:tcPr>
          <w:p w14:paraId="761C7555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 w:rsidRPr="007C4FBB">
              <w:rPr>
                <w:b/>
                <w:bCs/>
              </w:rPr>
              <w:t>N=145,838</w:t>
            </w:r>
          </w:p>
        </w:tc>
        <w:tc>
          <w:tcPr>
            <w:tcW w:w="2340" w:type="dxa"/>
            <w:noWrap/>
            <w:vAlign w:val="bottom"/>
            <w:hideMark/>
          </w:tcPr>
          <w:p w14:paraId="3CCE4799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 w:rsidRPr="007C4FBB">
              <w:rPr>
                <w:b/>
                <w:bCs/>
              </w:rPr>
              <w:t>N=249,703</w:t>
            </w:r>
          </w:p>
        </w:tc>
      </w:tr>
      <w:tr w:rsidR="006877BB" w:rsidRPr="007C4FBB" w14:paraId="1D25BA4E" w14:textId="77777777" w:rsidTr="00066DCE">
        <w:trPr>
          <w:trHeight w:val="314"/>
        </w:trPr>
        <w:tc>
          <w:tcPr>
            <w:tcW w:w="3775" w:type="dxa"/>
            <w:noWrap/>
            <w:hideMark/>
          </w:tcPr>
          <w:p w14:paraId="47381438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 w:rsidRPr="007C4FBB">
              <w:rPr>
                <w:b/>
                <w:bCs/>
              </w:rPr>
              <w:t>Duration of follow-up</w:t>
            </w:r>
            <w:r>
              <w:rPr>
                <w:b/>
                <w:bCs/>
              </w:rPr>
              <w:t xml:space="preserve"> (months)</w:t>
            </w:r>
          </w:p>
        </w:tc>
        <w:tc>
          <w:tcPr>
            <w:tcW w:w="1800" w:type="dxa"/>
            <w:noWrap/>
            <w:hideMark/>
          </w:tcPr>
          <w:p w14:paraId="4D6C778B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 w:rsidRPr="007C4FBB">
              <w:rPr>
                <w:b/>
                <w:bCs/>
              </w:rPr>
              <w:t> </w:t>
            </w:r>
          </w:p>
        </w:tc>
        <w:tc>
          <w:tcPr>
            <w:tcW w:w="2340" w:type="dxa"/>
            <w:noWrap/>
            <w:hideMark/>
          </w:tcPr>
          <w:p w14:paraId="5532E91C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 w:rsidRPr="007C4FBB">
              <w:rPr>
                <w:b/>
                <w:bCs/>
              </w:rPr>
              <w:t> </w:t>
            </w:r>
          </w:p>
        </w:tc>
      </w:tr>
      <w:tr w:rsidR="006877BB" w:rsidRPr="007C4FBB" w14:paraId="361A58E7" w14:textId="77777777" w:rsidTr="00066DCE">
        <w:trPr>
          <w:trHeight w:val="290"/>
        </w:trPr>
        <w:tc>
          <w:tcPr>
            <w:tcW w:w="3775" w:type="dxa"/>
            <w:hideMark/>
          </w:tcPr>
          <w:p w14:paraId="4B6901BA" w14:textId="77777777" w:rsidR="006877BB" w:rsidRPr="007C4FBB" w:rsidRDefault="006877BB" w:rsidP="00066DCE">
            <w:pPr>
              <w:spacing w:after="0" w:line="240" w:lineRule="auto"/>
            </w:pPr>
            <w:r w:rsidRPr="007C4FBB">
              <w:t>Mean (SD)</w:t>
            </w:r>
          </w:p>
        </w:tc>
        <w:tc>
          <w:tcPr>
            <w:tcW w:w="1800" w:type="dxa"/>
            <w:noWrap/>
            <w:hideMark/>
          </w:tcPr>
          <w:p w14:paraId="167409AD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17 (19)</w:t>
            </w:r>
          </w:p>
        </w:tc>
        <w:tc>
          <w:tcPr>
            <w:tcW w:w="2340" w:type="dxa"/>
            <w:noWrap/>
            <w:hideMark/>
          </w:tcPr>
          <w:p w14:paraId="7CA3E1CC" w14:textId="77777777" w:rsidR="006877BB" w:rsidRPr="007C4FBB" w:rsidRDefault="006877BB" w:rsidP="00066DCE">
            <w:pPr>
              <w:spacing w:after="0" w:line="240" w:lineRule="auto"/>
            </w:pPr>
            <w:r w:rsidRPr="007C4FBB">
              <w:t>21 (20)</w:t>
            </w:r>
          </w:p>
        </w:tc>
      </w:tr>
      <w:tr w:rsidR="006877BB" w:rsidRPr="007C4FBB" w14:paraId="47703E72" w14:textId="77777777" w:rsidTr="00066DCE">
        <w:trPr>
          <w:trHeight w:val="290"/>
        </w:trPr>
        <w:tc>
          <w:tcPr>
            <w:tcW w:w="3775" w:type="dxa"/>
            <w:hideMark/>
          </w:tcPr>
          <w:p w14:paraId="2BD17142" w14:textId="77777777" w:rsidR="006877BB" w:rsidRPr="007C4FBB" w:rsidRDefault="006877BB" w:rsidP="00066DCE">
            <w:pPr>
              <w:spacing w:after="0" w:line="240" w:lineRule="auto"/>
            </w:pPr>
            <w:r w:rsidRPr="007C4FBB">
              <w:t>Median (IQR)</w:t>
            </w:r>
          </w:p>
        </w:tc>
        <w:tc>
          <w:tcPr>
            <w:tcW w:w="1800" w:type="dxa"/>
            <w:noWrap/>
            <w:hideMark/>
          </w:tcPr>
          <w:p w14:paraId="1CF2B490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10 (2-24)</w:t>
            </w:r>
          </w:p>
        </w:tc>
        <w:tc>
          <w:tcPr>
            <w:tcW w:w="2340" w:type="dxa"/>
            <w:noWrap/>
            <w:hideMark/>
          </w:tcPr>
          <w:p w14:paraId="2605CC02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15 (6-32)</w:t>
            </w:r>
          </w:p>
        </w:tc>
      </w:tr>
      <w:tr w:rsidR="006877BB" w:rsidRPr="007C4FBB" w14:paraId="63D4B8C8" w14:textId="77777777" w:rsidTr="00066DCE">
        <w:trPr>
          <w:trHeight w:val="290"/>
        </w:trPr>
        <w:tc>
          <w:tcPr>
            <w:tcW w:w="3775" w:type="dxa"/>
            <w:hideMark/>
          </w:tcPr>
          <w:p w14:paraId="38186D76" w14:textId="77777777" w:rsidR="006877BB" w:rsidRPr="007C4FBB" w:rsidRDefault="006877BB" w:rsidP="00066DCE">
            <w:pPr>
              <w:spacing w:after="0" w:line="240" w:lineRule="auto"/>
            </w:pPr>
            <w:r w:rsidRPr="007C4FBB">
              <w:t>Min</w:t>
            </w:r>
            <w:r>
              <w:t xml:space="preserve"> (</w:t>
            </w:r>
            <w:r w:rsidRPr="007C4FBB">
              <w:t>Max</w:t>
            </w:r>
            <w:r>
              <w:t>)</w:t>
            </w:r>
          </w:p>
        </w:tc>
        <w:tc>
          <w:tcPr>
            <w:tcW w:w="1800" w:type="dxa"/>
            <w:noWrap/>
            <w:hideMark/>
          </w:tcPr>
          <w:p w14:paraId="1C2C1DBD" w14:textId="77777777" w:rsidR="006877BB" w:rsidRPr="007C4FBB" w:rsidRDefault="006877BB" w:rsidP="00066DCE">
            <w:pPr>
              <w:spacing w:after="0" w:line="240" w:lineRule="auto"/>
            </w:pPr>
            <w:r w:rsidRPr="007C4FBB">
              <w:t>0.0 (96.0)</w:t>
            </w:r>
          </w:p>
        </w:tc>
        <w:tc>
          <w:tcPr>
            <w:tcW w:w="2340" w:type="dxa"/>
            <w:noWrap/>
            <w:hideMark/>
          </w:tcPr>
          <w:p w14:paraId="637D9547" w14:textId="77777777" w:rsidR="006877BB" w:rsidRPr="007C4FBB" w:rsidRDefault="006877BB" w:rsidP="00066DCE">
            <w:pPr>
              <w:spacing w:after="0" w:line="240" w:lineRule="auto"/>
            </w:pPr>
            <w:r w:rsidRPr="007C4FBB">
              <w:t>0.0 (95.9)</w:t>
            </w:r>
          </w:p>
        </w:tc>
      </w:tr>
      <w:tr w:rsidR="006877BB" w:rsidRPr="007C4FBB" w14:paraId="0B485A7B" w14:textId="77777777" w:rsidTr="00066DCE">
        <w:trPr>
          <w:trHeight w:val="290"/>
        </w:trPr>
        <w:tc>
          <w:tcPr>
            <w:tcW w:w="3775" w:type="dxa"/>
            <w:hideMark/>
          </w:tcPr>
          <w:p w14:paraId="72C1B163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Additional </w:t>
            </w:r>
            <w:r w:rsidRPr="007C4FBB">
              <w:rPr>
                <w:b/>
                <w:bCs/>
              </w:rPr>
              <w:t>COPD diagnoses over follow-up</w:t>
            </w:r>
            <w:r>
              <w:rPr>
                <w:b/>
                <w:bCs/>
              </w:rPr>
              <w:t>, N (%)</w:t>
            </w:r>
          </w:p>
        </w:tc>
        <w:tc>
          <w:tcPr>
            <w:tcW w:w="1800" w:type="dxa"/>
            <w:noWrap/>
            <w:hideMark/>
          </w:tcPr>
          <w:p w14:paraId="0BBF0FEA" w14:textId="77777777" w:rsidR="006877BB" w:rsidRPr="007C4FBB" w:rsidRDefault="006877BB" w:rsidP="00066DCE">
            <w:pPr>
              <w:spacing w:after="0" w:line="240" w:lineRule="auto"/>
            </w:pPr>
            <w:r w:rsidRPr="007C4FBB">
              <w:t> </w:t>
            </w:r>
          </w:p>
        </w:tc>
        <w:tc>
          <w:tcPr>
            <w:tcW w:w="2340" w:type="dxa"/>
            <w:noWrap/>
            <w:hideMark/>
          </w:tcPr>
          <w:p w14:paraId="3BD23BAE" w14:textId="77777777" w:rsidR="006877BB" w:rsidRPr="007C4FBB" w:rsidRDefault="006877BB" w:rsidP="00066DCE">
            <w:pPr>
              <w:spacing w:after="0" w:line="240" w:lineRule="auto"/>
            </w:pPr>
            <w:r w:rsidRPr="007C4FBB">
              <w:t> </w:t>
            </w:r>
          </w:p>
        </w:tc>
      </w:tr>
      <w:tr w:rsidR="006877BB" w:rsidRPr="007C4FBB" w14:paraId="285F0591" w14:textId="77777777" w:rsidTr="00066DCE">
        <w:trPr>
          <w:trHeight w:val="290"/>
        </w:trPr>
        <w:tc>
          <w:tcPr>
            <w:tcW w:w="3775" w:type="dxa"/>
            <w:hideMark/>
          </w:tcPr>
          <w:p w14:paraId="71C3D31C" w14:textId="77777777" w:rsidR="006877BB" w:rsidRPr="007C4FBB" w:rsidRDefault="006877BB" w:rsidP="00066DCE">
            <w:pPr>
              <w:spacing w:after="0" w:line="240" w:lineRule="auto"/>
            </w:pPr>
            <w:r w:rsidRPr="007C4FBB">
              <w:t>0</w:t>
            </w:r>
          </w:p>
        </w:tc>
        <w:tc>
          <w:tcPr>
            <w:tcW w:w="1800" w:type="dxa"/>
            <w:noWrap/>
            <w:hideMark/>
          </w:tcPr>
          <w:p w14:paraId="0086BC62" w14:textId="77777777" w:rsidR="006877BB" w:rsidRPr="007C4FBB" w:rsidRDefault="006877BB" w:rsidP="00066DCE">
            <w:pPr>
              <w:spacing w:after="0" w:line="240" w:lineRule="auto"/>
            </w:pPr>
            <w:r w:rsidRPr="007C4FBB">
              <w:t>311 (0.2)</w:t>
            </w:r>
          </w:p>
        </w:tc>
        <w:tc>
          <w:tcPr>
            <w:tcW w:w="2340" w:type="dxa"/>
            <w:noWrap/>
            <w:hideMark/>
          </w:tcPr>
          <w:p w14:paraId="4BF59B98" w14:textId="77777777" w:rsidR="006877BB" w:rsidRPr="007C4FBB" w:rsidRDefault="006877BB" w:rsidP="00066DCE">
            <w:pPr>
              <w:spacing w:after="0" w:line="240" w:lineRule="auto"/>
            </w:pPr>
            <w:r w:rsidRPr="007C4FBB">
              <w:t>99,563 (39.9)</w:t>
            </w:r>
          </w:p>
        </w:tc>
      </w:tr>
      <w:tr w:rsidR="006877BB" w:rsidRPr="007C4FBB" w14:paraId="20B9B5DF" w14:textId="77777777" w:rsidTr="00066DCE">
        <w:trPr>
          <w:trHeight w:val="290"/>
        </w:trPr>
        <w:tc>
          <w:tcPr>
            <w:tcW w:w="3775" w:type="dxa"/>
            <w:hideMark/>
          </w:tcPr>
          <w:p w14:paraId="60654778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</w:t>
            </w:r>
          </w:p>
        </w:tc>
        <w:tc>
          <w:tcPr>
            <w:tcW w:w="1800" w:type="dxa"/>
            <w:noWrap/>
            <w:hideMark/>
          </w:tcPr>
          <w:p w14:paraId="28739E7D" w14:textId="77777777" w:rsidR="006877BB" w:rsidRPr="007C4FBB" w:rsidRDefault="006877BB" w:rsidP="00066DCE">
            <w:pPr>
              <w:spacing w:after="0" w:line="240" w:lineRule="auto"/>
            </w:pPr>
            <w:r w:rsidRPr="007C4FBB">
              <w:t>51,675 (35.4)</w:t>
            </w:r>
          </w:p>
        </w:tc>
        <w:tc>
          <w:tcPr>
            <w:tcW w:w="2340" w:type="dxa"/>
            <w:noWrap/>
            <w:hideMark/>
          </w:tcPr>
          <w:p w14:paraId="7693D75B" w14:textId="77777777" w:rsidR="006877BB" w:rsidRPr="007C4FBB" w:rsidRDefault="006877BB" w:rsidP="00066DCE">
            <w:pPr>
              <w:spacing w:after="0" w:line="240" w:lineRule="auto"/>
            </w:pPr>
            <w:r w:rsidRPr="007C4FBB">
              <w:t>60,240 (24.1)</w:t>
            </w:r>
          </w:p>
        </w:tc>
      </w:tr>
      <w:tr w:rsidR="006877BB" w:rsidRPr="007C4FBB" w14:paraId="6253AF45" w14:textId="77777777" w:rsidTr="00066DCE">
        <w:trPr>
          <w:trHeight w:val="290"/>
        </w:trPr>
        <w:tc>
          <w:tcPr>
            <w:tcW w:w="3775" w:type="dxa"/>
            <w:hideMark/>
          </w:tcPr>
          <w:p w14:paraId="0F82F093" w14:textId="77777777" w:rsidR="006877BB" w:rsidRPr="007C4FBB" w:rsidRDefault="006877BB" w:rsidP="00066DCE">
            <w:pPr>
              <w:spacing w:after="0" w:line="240" w:lineRule="auto"/>
            </w:pPr>
            <w:r w:rsidRPr="007C4FBB">
              <w:t>2</w:t>
            </w:r>
          </w:p>
        </w:tc>
        <w:tc>
          <w:tcPr>
            <w:tcW w:w="1800" w:type="dxa"/>
            <w:noWrap/>
            <w:hideMark/>
          </w:tcPr>
          <w:p w14:paraId="2D53F299" w14:textId="77777777" w:rsidR="006877BB" w:rsidRPr="007C4FBB" w:rsidRDefault="006877BB" w:rsidP="00066DCE">
            <w:pPr>
              <w:spacing w:after="0" w:line="240" w:lineRule="auto"/>
            </w:pPr>
            <w:r w:rsidRPr="007C4FBB">
              <w:t>40,755 (27.9)</w:t>
            </w:r>
          </w:p>
        </w:tc>
        <w:tc>
          <w:tcPr>
            <w:tcW w:w="2340" w:type="dxa"/>
            <w:noWrap/>
            <w:hideMark/>
          </w:tcPr>
          <w:p w14:paraId="088E9E18" w14:textId="77777777" w:rsidR="006877BB" w:rsidRPr="007C4FBB" w:rsidRDefault="006877BB" w:rsidP="00066DCE">
            <w:pPr>
              <w:spacing w:after="0" w:line="240" w:lineRule="auto"/>
            </w:pPr>
            <w:r w:rsidRPr="007C4FBB">
              <w:t>30,593 (12.3)</w:t>
            </w:r>
          </w:p>
        </w:tc>
      </w:tr>
      <w:tr w:rsidR="006877BB" w:rsidRPr="007C4FBB" w14:paraId="201A1834" w14:textId="77777777" w:rsidTr="00066DCE">
        <w:trPr>
          <w:trHeight w:val="290"/>
        </w:trPr>
        <w:tc>
          <w:tcPr>
            <w:tcW w:w="3775" w:type="dxa"/>
            <w:hideMark/>
          </w:tcPr>
          <w:p w14:paraId="3F77DEE1" w14:textId="77777777" w:rsidR="006877BB" w:rsidRPr="007C4FBB" w:rsidRDefault="006877BB" w:rsidP="00066DCE">
            <w:pPr>
              <w:spacing w:after="0" w:line="240" w:lineRule="auto"/>
            </w:pPr>
            <w:r w:rsidRPr="007C4FBB">
              <w:t>3+</w:t>
            </w:r>
          </w:p>
        </w:tc>
        <w:tc>
          <w:tcPr>
            <w:tcW w:w="1800" w:type="dxa"/>
            <w:noWrap/>
            <w:hideMark/>
          </w:tcPr>
          <w:p w14:paraId="74AE3E65" w14:textId="77777777" w:rsidR="006877BB" w:rsidRPr="007C4FBB" w:rsidRDefault="006877BB" w:rsidP="00066DCE">
            <w:pPr>
              <w:spacing w:after="0" w:line="240" w:lineRule="auto"/>
            </w:pPr>
            <w:r w:rsidRPr="007C4FBB">
              <w:t>53,097 (36.4)</w:t>
            </w:r>
          </w:p>
        </w:tc>
        <w:tc>
          <w:tcPr>
            <w:tcW w:w="2340" w:type="dxa"/>
            <w:noWrap/>
            <w:hideMark/>
          </w:tcPr>
          <w:p w14:paraId="5B9C8EAB" w14:textId="77777777" w:rsidR="006877BB" w:rsidRPr="007C4FBB" w:rsidRDefault="006877BB" w:rsidP="00066DCE">
            <w:pPr>
              <w:spacing w:after="0" w:line="240" w:lineRule="auto"/>
            </w:pPr>
            <w:r w:rsidRPr="007C4FBB">
              <w:t>59,307 (23.8)</w:t>
            </w:r>
          </w:p>
        </w:tc>
      </w:tr>
      <w:tr w:rsidR="006877BB" w:rsidRPr="007C4FBB" w14:paraId="34E3DB20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241F53D1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 w:rsidRPr="007C4FBB">
              <w:rPr>
                <w:b/>
                <w:bCs/>
              </w:rPr>
              <w:t xml:space="preserve">Reasons for censoring, N </w:t>
            </w:r>
            <w:r>
              <w:rPr>
                <w:b/>
                <w:bCs/>
              </w:rPr>
              <w:t>(</w:t>
            </w:r>
            <w:r w:rsidRPr="007C4FBB">
              <w:rPr>
                <w:b/>
                <w:bCs/>
              </w:rPr>
              <w:t>%</w:t>
            </w:r>
            <w:r>
              <w:rPr>
                <w:b/>
                <w:bCs/>
              </w:rPr>
              <w:t>)</w:t>
            </w:r>
          </w:p>
        </w:tc>
        <w:tc>
          <w:tcPr>
            <w:tcW w:w="1800" w:type="dxa"/>
            <w:noWrap/>
            <w:hideMark/>
          </w:tcPr>
          <w:p w14:paraId="60DF32FE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 w:rsidRPr="007C4FBB">
              <w:rPr>
                <w:b/>
                <w:bCs/>
              </w:rPr>
              <w:t> </w:t>
            </w:r>
          </w:p>
        </w:tc>
        <w:tc>
          <w:tcPr>
            <w:tcW w:w="2340" w:type="dxa"/>
            <w:noWrap/>
            <w:hideMark/>
          </w:tcPr>
          <w:p w14:paraId="6DB431B5" w14:textId="77777777" w:rsidR="006877BB" w:rsidRPr="007C4FBB" w:rsidRDefault="006877BB" w:rsidP="00066DCE">
            <w:pPr>
              <w:spacing w:after="0" w:line="240" w:lineRule="auto"/>
              <w:rPr>
                <w:b/>
                <w:bCs/>
              </w:rPr>
            </w:pPr>
            <w:r w:rsidRPr="007C4FBB">
              <w:rPr>
                <w:b/>
                <w:bCs/>
              </w:rPr>
              <w:t> </w:t>
            </w:r>
          </w:p>
        </w:tc>
      </w:tr>
      <w:tr w:rsidR="006877BB" w:rsidRPr="007C4FBB" w14:paraId="6DA36C19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245A2388" w14:textId="77777777" w:rsidR="006877BB" w:rsidRPr="007C4FBB" w:rsidRDefault="006877BB" w:rsidP="00066DCE">
            <w:pPr>
              <w:spacing w:after="0" w:line="240" w:lineRule="auto"/>
            </w:pPr>
            <w:r w:rsidRPr="007C4FBB">
              <w:t>Death</w:t>
            </w:r>
          </w:p>
        </w:tc>
        <w:tc>
          <w:tcPr>
            <w:tcW w:w="1800" w:type="dxa"/>
            <w:noWrap/>
            <w:hideMark/>
          </w:tcPr>
          <w:p w14:paraId="3111E822" w14:textId="77777777" w:rsidR="006877BB" w:rsidRPr="007C4FBB" w:rsidRDefault="006877BB" w:rsidP="00066DCE">
            <w:pPr>
              <w:spacing w:after="0" w:line="240" w:lineRule="auto"/>
            </w:pPr>
            <w:r w:rsidRPr="007C4FBB">
              <w:t>2,732 (1.9)</w:t>
            </w:r>
          </w:p>
        </w:tc>
        <w:tc>
          <w:tcPr>
            <w:tcW w:w="2340" w:type="dxa"/>
            <w:noWrap/>
            <w:hideMark/>
          </w:tcPr>
          <w:p w14:paraId="17031E05" w14:textId="77777777" w:rsidR="006877BB" w:rsidRPr="007C4FBB" w:rsidRDefault="006877BB" w:rsidP="00066DCE">
            <w:pPr>
              <w:spacing w:after="0" w:line="240" w:lineRule="auto"/>
            </w:pPr>
            <w:r w:rsidRPr="007C4FBB">
              <w:t>6,026 (2.4)</w:t>
            </w:r>
          </w:p>
        </w:tc>
      </w:tr>
      <w:tr w:rsidR="006877BB" w:rsidRPr="007C4FBB" w14:paraId="2076F570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3176E375" w14:textId="77777777" w:rsidR="006877BB" w:rsidRPr="007C4FBB" w:rsidRDefault="006877BB" w:rsidP="00066DCE">
            <w:pPr>
              <w:spacing w:after="0" w:line="240" w:lineRule="auto"/>
            </w:pPr>
            <w:r w:rsidRPr="007C4FBB">
              <w:t>End of study period</w:t>
            </w:r>
          </w:p>
        </w:tc>
        <w:tc>
          <w:tcPr>
            <w:tcW w:w="1800" w:type="dxa"/>
            <w:noWrap/>
            <w:hideMark/>
          </w:tcPr>
          <w:p w14:paraId="3900DA65" w14:textId="77777777" w:rsidR="006877BB" w:rsidRPr="007C4FBB" w:rsidRDefault="006877BB" w:rsidP="00066DCE">
            <w:pPr>
              <w:spacing w:after="0" w:line="240" w:lineRule="auto"/>
            </w:pPr>
            <w:r w:rsidRPr="007C4FBB">
              <w:t>97 (0.1)</w:t>
            </w:r>
          </w:p>
        </w:tc>
        <w:tc>
          <w:tcPr>
            <w:tcW w:w="2340" w:type="dxa"/>
            <w:noWrap/>
            <w:hideMark/>
          </w:tcPr>
          <w:p w14:paraId="70C714D4" w14:textId="77777777" w:rsidR="006877BB" w:rsidRPr="007C4FBB" w:rsidRDefault="006877BB" w:rsidP="00066DCE">
            <w:pPr>
              <w:spacing w:after="0" w:line="240" w:lineRule="auto"/>
            </w:pPr>
            <w:r w:rsidRPr="007C4FBB">
              <w:t>0 (0.0)</w:t>
            </w:r>
          </w:p>
        </w:tc>
      </w:tr>
      <w:tr w:rsidR="006877BB" w:rsidRPr="007C4FBB" w14:paraId="36A69448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0EB29D3C" w14:textId="77777777" w:rsidR="006877BB" w:rsidRPr="007C4FBB" w:rsidRDefault="006877BB" w:rsidP="00066DCE">
            <w:pPr>
              <w:spacing w:after="0" w:line="240" w:lineRule="auto"/>
            </w:pPr>
            <w:r w:rsidRPr="007C4FBB">
              <w:t>Disenrollment from health insurance</w:t>
            </w:r>
          </w:p>
        </w:tc>
        <w:tc>
          <w:tcPr>
            <w:tcW w:w="1800" w:type="dxa"/>
            <w:noWrap/>
            <w:hideMark/>
          </w:tcPr>
          <w:p w14:paraId="7546CE93" w14:textId="77777777" w:rsidR="006877BB" w:rsidRPr="007C4FBB" w:rsidRDefault="006877BB" w:rsidP="00066DCE">
            <w:pPr>
              <w:spacing w:after="0" w:line="240" w:lineRule="auto"/>
            </w:pPr>
            <w:r w:rsidRPr="007C4FBB">
              <w:t>82,107 (56.3)</w:t>
            </w:r>
          </w:p>
        </w:tc>
        <w:tc>
          <w:tcPr>
            <w:tcW w:w="2340" w:type="dxa"/>
            <w:noWrap/>
            <w:hideMark/>
          </w:tcPr>
          <w:p w14:paraId="386FDE0E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190,898 (76.5)</w:t>
            </w:r>
          </w:p>
        </w:tc>
      </w:tr>
      <w:tr w:rsidR="006877BB" w:rsidRPr="007C4FBB" w14:paraId="770A5A4E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2F9355CA" w14:textId="77777777" w:rsidR="006877BB" w:rsidRPr="007C4FBB" w:rsidRDefault="006877BB" w:rsidP="00066DCE">
            <w:pPr>
              <w:spacing w:after="0" w:line="240" w:lineRule="auto"/>
            </w:pPr>
            <w:r w:rsidRPr="007C4FBB">
              <w:t>Subsequent AECOPD</w:t>
            </w:r>
          </w:p>
        </w:tc>
        <w:tc>
          <w:tcPr>
            <w:tcW w:w="1800" w:type="dxa"/>
            <w:noWrap/>
            <w:hideMark/>
          </w:tcPr>
          <w:p w14:paraId="424EF2BC" w14:textId="77777777" w:rsidR="006877BB" w:rsidRPr="007C4FBB" w:rsidRDefault="006877BB" w:rsidP="00066DCE">
            <w:pPr>
              <w:spacing w:after="0" w:line="240" w:lineRule="auto"/>
            </w:pPr>
            <w:r w:rsidRPr="007C4FBB">
              <w:t>55,486 (38.0)</w:t>
            </w:r>
          </w:p>
        </w:tc>
        <w:tc>
          <w:tcPr>
            <w:tcW w:w="2340" w:type="dxa"/>
            <w:noWrap/>
            <w:hideMark/>
          </w:tcPr>
          <w:p w14:paraId="69C2F3A8" w14:textId="77777777" w:rsidR="006877BB" w:rsidRPr="007C4FBB" w:rsidRDefault="006877BB" w:rsidP="00066DCE">
            <w:pPr>
              <w:spacing w:after="0" w:line="240" w:lineRule="auto"/>
            </w:pPr>
            <w:r w:rsidRPr="007C4FBB">
              <w:t>40,292 (16.1)</w:t>
            </w:r>
          </w:p>
        </w:tc>
      </w:tr>
      <w:tr w:rsidR="006877BB" w:rsidRPr="007C4FBB" w14:paraId="54BE4202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63376037" w14:textId="77777777" w:rsidR="006877BB" w:rsidRPr="007C4FBB" w:rsidRDefault="006877BB" w:rsidP="00066DCE">
            <w:pPr>
              <w:spacing w:after="0" w:line="240" w:lineRule="auto"/>
            </w:pPr>
            <w:r w:rsidRPr="007C4FBB">
              <w:t>Acute CV events</w:t>
            </w:r>
          </w:p>
        </w:tc>
        <w:tc>
          <w:tcPr>
            <w:tcW w:w="1800" w:type="dxa"/>
            <w:noWrap/>
            <w:hideMark/>
          </w:tcPr>
          <w:p w14:paraId="5E72FDD0" w14:textId="77777777" w:rsidR="006877BB" w:rsidRPr="007C4FBB" w:rsidRDefault="006877BB" w:rsidP="00066DCE">
            <w:pPr>
              <w:spacing w:after="0" w:line="240" w:lineRule="auto"/>
            </w:pPr>
            <w:r w:rsidRPr="007C4FBB">
              <w:t>5,416 (3.7)</w:t>
            </w:r>
          </w:p>
        </w:tc>
        <w:tc>
          <w:tcPr>
            <w:tcW w:w="2340" w:type="dxa"/>
            <w:noWrap/>
            <w:hideMark/>
          </w:tcPr>
          <w:p w14:paraId="7C7FFA9D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12,487 (5.0)</w:t>
            </w:r>
          </w:p>
        </w:tc>
      </w:tr>
      <w:tr w:rsidR="006877BB" w:rsidRPr="007C4FBB" w14:paraId="604A3850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21F73300" w14:textId="77777777" w:rsidR="006877BB" w:rsidRPr="007C4FBB" w:rsidRDefault="006877BB" w:rsidP="00066DCE">
            <w:pPr>
              <w:spacing w:after="0" w:line="240" w:lineRule="auto"/>
              <w:ind w:left="288"/>
            </w:pPr>
            <w:r w:rsidRPr="007C4FBB">
              <w:t>MI</w:t>
            </w:r>
          </w:p>
        </w:tc>
        <w:tc>
          <w:tcPr>
            <w:tcW w:w="1800" w:type="dxa"/>
            <w:noWrap/>
            <w:hideMark/>
          </w:tcPr>
          <w:p w14:paraId="236C4C89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1,135 (0.8)</w:t>
            </w:r>
          </w:p>
        </w:tc>
        <w:tc>
          <w:tcPr>
            <w:tcW w:w="2340" w:type="dxa"/>
            <w:noWrap/>
            <w:hideMark/>
          </w:tcPr>
          <w:p w14:paraId="0CC0ECD4" w14:textId="77777777" w:rsidR="006877BB" w:rsidRPr="007C4FBB" w:rsidRDefault="006877BB" w:rsidP="00066DCE">
            <w:pPr>
              <w:spacing w:after="0" w:line="240" w:lineRule="auto"/>
            </w:pPr>
            <w:r w:rsidRPr="007C4FBB">
              <w:t>2,535 (1.0)</w:t>
            </w:r>
          </w:p>
        </w:tc>
      </w:tr>
      <w:tr w:rsidR="006877BB" w:rsidRPr="007C4FBB" w14:paraId="08D2C363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1A5F30DA" w14:textId="77777777" w:rsidR="006877BB" w:rsidRPr="007C4FBB" w:rsidRDefault="006877BB" w:rsidP="00066DCE">
            <w:pPr>
              <w:spacing w:after="0" w:line="240" w:lineRule="auto"/>
              <w:ind w:left="288"/>
            </w:pPr>
            <w:r w:rsidRPr="007C4FBB">
              <w:t>Ischemic stroke</w:t>
            </w:r>
          </w:p>
        </w:tc>
        <w:tc>
          <w:tcPr>
            <w:tcW w:w="1800" w:type="dxa"/>
            <w:noWrap/>
            <w:hideMark/>
          </w:tcPr>
          <w:p w14:paraId="50E1E23A" w14:textId="77777777" w:rsidR="006877BB" w:rsidRPr="007C4FBB" w:rsidRDefault="006877BB" w:rsidP="00066DCE">
            <w:pPr>
              <w:spacing w:after="0" w:line="240" w:lineRule="auto"/>
            </w:pPr>
            <w:r w:rsidRPr="007C4FBB">
              <w:t>696 (0.5)</w:t>
            </w:r>
          </w:p>
        </w:tc>
        <w:tc>
          <w:tcPr>
            <w:tcW w:w="2340" w:type="dxa"/>
            <w:noWrap/>
            <w:hideMark/>
          </w:tcPr>
          <w:p w14:paraId="04B0AC68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1,837 (0.7)</w:t>
            </w:r>
          </w:p>
        </w:tc>
      </w:tr>
      <w:tr w:rsidR="006877BB" w:rsidRPr="007C4FBB" w14:paraId="754FDF5A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189E69E2" w14:textId="77777777" w:rsidR="006877BB" w:rsidRPr="007C4FBB" w:rsidRDefault="006877BB" w:rsidP="00066DCE">
            <w:pPr>
              <w:spacing w:after="0" w:line="240" w:lineRule="auto"/>
              <w:ind w:left="288"/>
            </w:pPr>
            <w:r w:rsidRPr="007C4FBB">
              <w:t>Unstable angina</w:t>
            </w:r>
          </w:p>
        </w:tc>
        <w:tc>
          <w:tcPr>
            <w:tcW w:w="1800" w:type="dxa"/>
            <w:noWrap/>
            <w:hideMark/>
          </w:tcPr>
          <w:p w14:paraId="1050D06E" w14:textId="77777777" w:rsidR="006877BB" w:rsidRPr="007C4FBB" w:rsidRDefault="006877BB" w:rsidP="00066DCE">
            <w:pPr>
              <w:spacing w:after="0" w:line="240" w:lineRule="auto"/>
            </w:pPr>
            <w:r w:rsidRPr="007C4FBB">
              <w:t>556 (0.4)</w:t>
            </w:r>
          </w:p>
        </w:tc>
        <w:tc>
          <w:tcPr>
            <w:tcW w:w="2340" w:type="dxa"/>
            <w:noWrap/>
            <w:hideMark/>
          </w:tcPr>
          <w:p w14:paraId="0758D0D3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1,364 (0.5)</w:t>
            </w:r>
          </w:p>
        </w:tc>
      </w:tr>
      <w:tr w:rsidR="006877BB" w:rsidRPr="007C4FBB" w14:paraId="702E7BE0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14388273" w14:textId="77777777" w:rsidR="006877BB" w:rsidRPr="007C4FBB" w:rsidRDefault="006877BB" w:rsidP="00066DCE">
            <w:pPr>
              <w:spacing w:after="0" w:line="240" w:lineRule="auto"/>
              <w:ind w:left="288"/>
            </w:pPr>
            <w:r w:rsidRPr="007C4FBB">
              <w:t>Acute heart failure</w:t>
            </w:r>
          </w:p>
        </w:tc>
        <w:tc>
          <w:tcPr>
            <w:tcW w:w="1800" w:type="dxa"/>
            <w:noWrap/>
            <w:hideMark/>
          </w:tcPr>
          <w:p w14:paraId="56F127E7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1,594 (1.1)</w:t>
            </w:r>
          </w:p>
        </w:tc>
        <w:tc>
          <w:tcPr>
            <w:tcW w:w="2340" w:type="dxa"/>
            <w:noWrap/>
            <w:hideMark/>
          </w:tcPr>
          <w:p w14:paraId="7C94B69C" w14:textId="77777777" w:rsidR="006877BB" w:rsidRPr="007C4FBB" w:rsidRDefault="006877BB" w:rsidP="00066DCE">
            <w:pPr>
              <w:spacing w:after="0" w:line="240" w:lineRule="auto"/>
            </w:pPr>
            <w:r w:rsidRPr="007C4FBB">
              <w:t>3,366 (1.3)</w:t>
            </w:r>
          </w:p>
        </w:tc>
      </w:tr>
      <w:tr w:rsidR="006877BB" w:rsidRPr="007C4FBB" w14:paraId="1FC716E9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42532E4C" w14:textId="77777777" w:rsidR="006877BB" w:rsidRPr="007C4FBB" w:rsidRDefault="006877BB" w:rsidP="00066DCE">
            <w:pPr>
              <w:spacing w:after="0" w:line="240" w:lineRule="auto"/>
              <w:ind w:left="288"/>
            </w:pPr>
            <w:r w:rsidRPr="007C4FBB">
              <w:t>Pulmonary embolism</w:t>
            </w:r>
          </w:p>
        </w:tc>
        <w:tc>
          <w:tcPr>
            <w:tcW w:w="1800" w:type="dxa"/>
            <w:noWrap/>
            <w:hideMark/>
          </w:tcPr>
          <w:p w14:paraId="0C23DF12" w14:textId="77777777" w:rsidR="006877BB" w:rsidRPr="007C4FBB" w:rsidRDefault="006877BB" w:rsidP="00066DCE">
            <w:pPr>
              <w:spacing w:after="0" w:line="240" w:lineRule="auto"/>
            </w:pPr>
            <w:r w:rsidRPr="007C4FBB">
              <w:t>489 (0.3)</w:t>
            </w:r>
          </w:p>
        </w:tc>
        <w:tc>
          <w:tcPr>
            <w:tcW w:w="2340" w:type="dxa"/>
            <w:noWrap/>
            <w:hideMark/>
          </w:tcPr>
          <w:p w14:paraId="573177A0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1,019 (0.4)</w:t>
            </w:r>
          </w:p>
        </w:tc>
      </w:tr>
      <w:tr w:rsidR="006877BB" w:rsidRPr="007C4FBB" w14:paraId="69D61476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33C69DB2" w14:textId="77777777" w:rsidR="006877BB" w:rsidRPr="007C4FBB" w:rsidRDefault="006877BB" w:rsidP="00066DCE">
            <w:pPr>
              <w:spacing w:after="0" w:line="240" w:lineRule="auto"/>
              <w:ind w:left="288"/>
            </w:pPr>
            <w:r w:rsidRPr="007C4FBB">
              <w:t>Cardiac arrhythmia</w:t>
            </w:r>
          </w:p>
        </w:tc>
        <w:tc>
          <w:tcPr>
            <w:tcW w:w="1800" w:type="dxa"/>
            <w:noWrap/>
            <w:hideMark/>
          </w:tcPr>
          <w:p w14:paraId="659C8037" w14:textId="77777777" w:rsidR="006877BB" w:rsidRPr="007C4FBB" w:rsidRDefault="006877BB" w:rsidP="00066DCE">
            <w:pPr>
              <w:spacing w:after="0" w:line="240" w:lineRule="auto"/>
            </w:pPr>
            <w:r w:rsidRPr="007C4FBB">
              <w:t>906 (0.6)</w:t>
            </w:r>
          </w:p>
        </w:tc>
        <w:tc>
          <w:tcPr>
            <w:tcW w:w="2340" w:type="dxa"/>
            <w:noWrap/>
            <w:hideMark/>
          </w:tcPr>
          <w:p w14:paraId="3FEFB3EB" w14:textId="77777777" w:rsidR="006877BB" w:rsidRPr="007C4FBB" w:rsidRDefault="006877BB" w:rsidP="00066DCE">
            <w:pPr>
              <w:spacing w:after="0" w:line="240" w:lineRule="auto"/>
            </w:pPr>
            <w:r w:rsidRPr="007C4FBB">
              <w:t>2,285 (0.9)</w:t>
            </w:r>
          </w:p>
        </w:tc>
      </w:tr>
      <w:tr w:rsidR="006877BB" w:rsidRPr="007C4FBB" w14:paraId="1231BC56" w14:textId="77777777" w:rsidTr="00066DCE">
        <w:trPr>
          <w:trHeight w:val="290"/>
        </w:trPr>
        <w:tc>
          <w:tcPr>
            <w:tcW w:w="3775" w:type="dxa"/>
            <w:noWrap/>
            <w:hideMark/>
          </w:tcPr>
          <w:p w14:paraId="54DBE7C1" w14:textId="77777777" w:rsidR="006877BB" w:rsidRPr="007C4FBB" w:rsidRDefault="006877BB" w:rsidP="00066DCE">
            <w:pPr>
              <w:spacing w:after="0" w:line="240" w:lineRule="auto"/>
              <w:ind w:left="288"/>
            </w:pPr>
            <w:r w:rsidRPr="007C4FBB">
              <w:t>Atrial fibrillation and flutter</w:t>
            </w:r>
          </w:p>
        </w:tc>
        <w:tc>
          <w:tcPr>
            <w:tcW w:w="1800" w:type="dxa"/>
            <w:noWrap/>
            <w:hideMark/>
          </w:tcPr>
          <w:p w14:paraId="1356BEBE" w14:textId="77777777" w:rsidR="006877BB" w:rsidRPr="007C4FBB" w:rsidRDefault="006877BB" w:rsidP="00066DCE">
            <w:pPr>
              <w:spacing w:after="0" w:line="240" w:lineRule="auto"/>
            </w:pPr>
            <w:r w:rsidRPr="007C4FBB">
              <w:t>702 (0.5)</w:t>
            </w:r>
          </w:p>
        </w:tc>
        <w:tc>
          <w:tcPr>
            <w:tcW w:w="2340" w:type="dxa"/>
            <w:noWrap/>
            <w:hideMark/>
          </w:tcPr>
          <w:p w14:paraId="01E03A85" w14:textId="77777777" w:rsidR="006877BB" w:rsidRPr="007C4FBB" w:rsidRDefault="006877BB" w:rsidP="00066DCE">
            <w:pPr>
              <w:spacing w:after="0" w:line="240" w:lineRule="auto"/>
            </w:pPr>
            <w:r w:rsidRPr="007C4FBB">
              <w:t>1,632 (0.7)</w:t>
            </w:r>
          </w:p>
        </w:tc>
      </w:tr>
      <w:tr w:rsidR="006877BB" w:rsidRPr="007C4FBB" w14:paraId="132FA8EE" w14:textId="77777777" w:rsidTr="00066DCE">
        <w:trPr>
          <w:trHeight w:val="290"/>
        </w:trPr>
        <w:tc>
          <w:tcPr>
            <w:tcW w:w="3775" w:type="dxa"/>
            <w:tcBorders>
              <w:bottom w:val="single" w:sz="4" w:space="0" w:color="auto"/>
            </w:tcBorders>
            <w:noWrap/>
            <w:hideMark/>
          </w:tcPr>
          <w:p w14:paraId="1912F5AE" w14:textId="77777777" w:rsidR="006877BB" w:rsidRPr="007C4FBB" w:rsidRDefault="006877BB" w:rsidP="00066DCE">
            <w:pPr>
              <w:spacing w:after="0" w:line="240" w:lineRule="auto"/>
              <w:ind w:left="288"/>
            </w:pPr>
            <w:r w:rsidRPr="007C4FBB">
              <w:t>Other serious arrhythmias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0767D4CE" w14:textId="77777777" w:rsidR="006877BB" w:rsidRPr="007C4FBB" w:rsidRDefault="006877BB" w:rsidP="00066DCE">
            <w:pPr>
              <w:spacing w:after="0" w:line="240" w:lineRule="auto"/>
            </w:pPr>
            <w:r w:rsidRPr="007C4FBB">
              <w:t>204 (0.1)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hideMark/>
          </w:tcPr>
          <w:p w14:paraId="355B85FA" w14:textId="77777777" w:rsidR="006877BB" w:rsidRPr="007C4FBB" w:rsidRDefault="006877BB" w:rsidP="00066DCE">
            <w:pPr>
              <w:spacing w:after="0" w:line="240" w:lineRule="auto"/>
            </w:pPr>
            <w:r w:rsidRPr="007C4FBB">
              <w:t>653 (0.3)</w:t>
            </w:r>
          </w:p>
        </w:tc>
      </w:tr>
      <w:tr w:rsidR="006877BB" w:rsidRPr="007C4FBB" w14:paraId="58D3E376" w14:textId="77777777" w:rsidTr="00066DCE">
        <w:trPr>
          <w:trHeight w:val="300"/>
        </w:trPr>
        <w:tc>
          <w:tcPr>
            <w:tcW w:w="3775" w:type="dxa"/>
            <w:tcBorders>
              <w:bottom w:val="single" w:sz="4" w:space="0" w:color="auto"/>
            </w:tcBorders>
            <w:noWrap/>
            <w:hideMark/>
          </w:tcPr>
          <w:p w14:paraId="26707586" w14:textId="77777777" w:rsidR="006877BB" w:rsidRPr="007C4FBB" w:rsidRDefault="006877BB" w:rsidP="00066DCE">
            <w:pPr>
              <w:spacing w:after="0" w:line="240" w:lineRule="auto"/>
              <w:ind w:left="288"/>
            </w:pPr>
            <w:r w:rsidRPr="007C4FBB">
              <w:t>Cardiac arrest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43595EF6" w14:textId="77777777" w:rsidR="006877BB" w:rsidRPr="007C4FBB" w:rsidRDefault="006877BB" w:rsidP="00066DCE">
            <w:pPr>
              <w:spacing w:after="0" w:line="240" w:lineRule="auto"/>
            </w:pPr>
            <w:r w:rsidRPr="007C4FBB">
              <w:t>40 (0.03)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hideMark/>
          </w:tcPr>
          <w:p w14:paraId="569CCF91" w14:textId="77777777" w:rsidR="006877BB" w:rsidRPr="007C4FBB" w:rsidRDefault="006877BB" w:rsidP="00066DCE">
            <w:pPr>
              <w:spacing w:after="0" w:line="240" w:lineRule="auto"/>
            </w:pPr>
            <w:r w:rsidRPr="007C4FBB">
              <w:t>81 (0.03)</w:t>
            </w:r>
          </w:p>
        </w:tc>
      </w:tr>
    </w:tbl>
    <w:p w14:paraId="53CA1463" w14:textId="78C9A3B3" w:rsidR="006877BB" w:rsidRDefault="006877BB" w:rsidP="006877BB">
      <w:r w:rsidRPr="00D2384F">
        <w:rPr>
          <w:b/>
          <w:bCs/>
          <w:sz w:val="18"/>
          <w:szCs w:val="18"/>
        </w:rPr>
        <w:t>Abbreviations:</w:t>
      </w:r>
      <w:r w:rsidRPr="00D2384F">
        <w:rPr>
          <w:sz w:val="18"/>
          <w:szCs w:val="18"/>
        </w:rPr>
        <w:t xml:space="preserve"> AECOPD, acute exacerbation of chronic obstructive pulmonary disease;</w:t>
      </w:r>
      <w:r w:rsidR="00704E4E" w:rsidRPr="00704E4E">
        <w:t xml:space="preserve"> </w:t>
      </w:r>
      <w:r w:rsidR="00704E4E" w:rsidRPr="00704E4E">
        <w:rPr>
          <w:sz w:val="18"/>
          <w:szCs w:val="18"/>
        </w:rPr>
        <w:t>COPD, chronic obstructive pulmonary disease</w:t>
      </w:r>
      <w:r w:rsidR="00704E4E">
        <w:rPr>
          <w:sz w:val="18"/>
          <w:szCs w:val="18"/>
        </w:rPr>
        <w:t>;</w:t>
      </w:r>
      <w:r w:rsidRPr="00D2384F">
        <w:rPr>
          <w:sz w:val="18"/>
          <w:szCs w:val="18"/>
        </w:rPr>
        <w:t xml:space="preserve"> CV, cardiovascular; </w:t>
      </w:r>
      <w:r w:rsidR="00704E4E" w:rsidRPr="00704E4E">
        <w:rPr>
          <w:sz w:val="18"/>
          <w:szCs w:val="18"/>
        </w:rPr>
        <w:t>IQR, interquartile range</w:t>
      </w:r>
      <w:r w:rsidR="00704E4E">
        <w:rPr>
          <w:sz w:val="18"/>
          <w:szCs w:val="18"/>
        </w:rPr>
        <w:t xml:space="preserve">; </w:t>
      </w:r>
      <w:r w:rsidRPr="00D2384F">
        <w:rPr>
          <w:sz w:val="18"/>
          <w:szCs w:val="18"/>
        </w:rPr>
        <w:t xml:space="preserve">MI, myocardial infarction; </w:t>
      </w:r>
      <w:r w:rsidR="00704E4E">
        <w:rPr>
          <w:sz w:val="18"/>
          <w:szCs w:val="18"/>
        </w:rPr>
        <w:t>N, number;</w:t>
      </w:r>
      <w:r>
        <w:rPr>
          <w:sz w:val="18"/>
          <w:szCs w:val="18"/>
        </w:rPr>
        <w:t xml:space="preserve"> SD, standard deviation </w:t>
      </w:r>
    </w:p>
    <w:bookmarkEnd w:id="18"/>
    <w:p w14:paraId="0A7CF0BC" w14:textId="77777777" w:rsidR="006877BB" w:rsidRDefault="006877BB" w:rsidP="006877BB">
      <w:pPr>
        <w:rPr>
          <w:b/>
          <w:bCs/>
        </w:rPr>
      </w:pPr>
    </w:p>
    <w:p w14:paraId="1E00DD0C" w14:textId="77777777" w:rsidR="006877BB" w:rsidRDefault="006877BB"/>
    <w:p w14:paraId="124D322E" w14:textId="77777777" w:rsidR="006877BB" w:rsidRDefault="006877BB"/>
    <w:p w14:paraId="02FDEBFC" w14:textId="77777777" w:rsidR="006877BB" w:rsidRDefault="006877BB"/>
    <w:p w14:paraId="20E07F39" w14:textId="77777777" w:rsidR="006877BB" w:rsidRDefault="006877BB"/>
    <w:p w14:paraId="5435A99A" w14:textId="77777777" w:rsidR="006877BB" w:rsidRDefault="006877BB">
      <w:pPr>
        <w:sectPr w:rsidR="006877BB" w:rsidSect="000B671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89B8F1" w14:textId="300CD3CC" w:rsidR="006877BB" w:rsidRDefault="008F0A6E" w:rsidP="006877BB">
      <w:bookmarkStart w:id="19" w:name="_Hlk145584630"/>
      <w:r>
        <w:rPr>
          <w:b/>
          <w:bCs/>
        </w:rPr>
        <w:lastRenderedPageBreak/>
        <w:t xml:space="preserve">Supplemental </w:t>
      </w:r>
      <w:r w:rsidR="006877BB" w:rsidRPr="000E1B0E">
        <w:rPr>
          <w:b/>
          <w:bCs/>
        </w:rPr>
        <w:t xml:space="preserve">Table </w:t>
      </w:r>
      <w:r w:rsidR="000B671E">
        <w:rPr>
          <w:b/>
          <w:bCs/>
        </w:rPr>
        <w:t>7</w:t>
      </w:r>
      <w:r w:rsidR="006877BB" w:rsidRPr="000E1B0E">
        <w:rPr>
          <w:b/>
          <w:bCs/>
        </w:rPr>
        <w:t>.</w:t>
      </w:r>
      <w:r w:rsidR="006877BB">
        <w:t xml:space="preserve"> </w:t>
      </w:r>
      <w:r w:rsidR="006877BB" w:rsidRPr="00D27943">
        <w:rPr>
          <w:b/>
          <w:bCs/>
        </w:rPr>
        <w:t xml:space="preserve">Hazard ratios of acute </w:t>
      </w:r>
      <w:r w:rsidR="006877BB">
        <w:rPr>
          <w:b/>
          <w:bCs/>
        </w:rPr>
        <w:t>CV</w:t>
      </w:r>
      <w:r w:rsidR="006877BB" w:rsidRPr="00D27943">
        <w:rPr>
          <w:b/>
          <w:bCs/>
        </w:rPr>
        <w:t xml:space="preserve"> events by patient characteristic subgroup</w:t>
      </w:r>
      <w:r w:rsidR="006877BB">
        <w:rPr>
          <w:b/>
          <w:bCs/>
        </w:rPr>
        <w:t xml:space="preserve"> including and excluding CV events occurring on the COPD diagnosis date</w:t>
      </w:r>
    </w:p>
    <w:tbl>
      <w:tblPr>
        <w:tblW w:w="13590" w:type="dxa"/>
        <w:tblInd w:w="-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50"/>
        <w:gridCol w:w="810"/>
        <w:gridCol w:w="1260"/>
        <w:gridCol w:w="810"/>
        <w:gridCol w:w="1170"/>
        <w:gridCol w:w="1620"/>
        <w:gridCol w:w="810"/>
        <w:gridCol w:w="1260"/>
        <w:gridCol w:w="810"/>
        <w:gridCol w:w="1170"/>
        <w:gridCol w:w="1620"/>
      </w:tblGrid>
      <w:tr w:rsidR="006877BB" w:rsidRPr="00616FF7" w14:paraId="0E49A94B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8B804" w14:textId="77777777" w:rsidR="006877BB" w:rsidRPr="00616FF7" w:rsidRDefault="006877BB" w:rsidP="00066DCE">
            <w:pPr>
              <w:spacing w:after="0" w:line="240" w:lineRule="auto"/>
              <w:ind w:firstLineChars="41" w:firstLine="82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295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>Including acute CV events occurring on the COPD diagnosis date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7288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>Excluding acute CV events occurring on the COPD diagnosis date</w:t>
            </w:r>
          </w:p>
        </w:tc>
      </w:tr>
      <w:tr w:rsidR="006877BB" w:rsidRPr="00616FF7" w14:paraId="64339D8E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06036" w14:textId="77777777" w:rsidR="006877BB" w:rsidRPr="00616FF7" w:rsidRDefault="006877BB" w:rsidP="00066DCE">
            <w:pPr>
              <w:spacing w:after="0" w:line="240" w:lineRule="auto"/>
              <w:ind w:firstLineChars="41" w:firstLine="82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D9C6" w14:textId="77777777" w:rsidR="006877BB" w:rsidRPr="00616FF7" w:rsidRDefault="006877BB" w:rsidP="00066D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>1 AECOPD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A58D1" w14:textId="77777777" w:rsidR="006877BB" w:rsidRPr="00616FF7" w:rsidRDefault="006877BB" w:rsidP="00066D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>0- AECOPD Comparator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4C99" w14:textId="77777777" w:rsidR="006877BB" w:rsidRPr="00616FF7" w:rsidRDefault="006877BB" w:rsidP="00066D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 w:rsidRPr="00616FF7">
              <w:rPr>
                <w:rFonts w:cstheme="minorHAnsi"/>
                <w:b/>
                <w:bCs/>
                <w:sz w:val="20"/>
              </w:rPr>
              <w:t>Adjusted</w:t>
            </w:r>
            <w:r w:rsidRPr="003166F0">
              <w:rPr>
                <w:rFonts w:cstheme="minorHAnsi"/>
                <w:b/>
                <w:bCs/>
                <w:sz w:val="20"/>
                <w:vertAlign w:val="superscript"/>
              </w:rPr>
              <w:t>a</w:t>
            </w:r>
            <w:proofErr w:type="spellEnd"/>
            <w:r w:rsidRPr="00616FF7">
              <w:rPr>
                <w:rFonts w:cstheme="minorHAnsi"/>
                <w:b/>
                <w:bCs/>
                <w:sz w:val="20"/>
              </w:rPr>
              <w:t xml:space="preserve"> HR </w:t>
            </w:r>
            <w:r w:rsidRPr="00616FF7">
              <w:rPr>
                <w:rFonts w:cstheme="minorHAnsi"/>
                <w:b/>
                <w:bCs/>
                <w:sz w:val="20"/>
              </w:rPr>
              <w:br/>
              <w:t>(95% CI)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8164" w14:textId="77777777" w:rsidR="006877BB" w:rsidRPr="00616FF7" w:rsidRDefault="006877BB" w:rsidP="00066D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>1 AECOPD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9C42D" w14:textId="77777777" w:rsidR="006877BB" w:rsidRPr="00616FF7" w:rsidRDefault="006877BB" w:rsidP="00066D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>0- AECOPD Comparator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7CD15" w14:textId="77777777" w:rsidR="006877BB" w:rsidRPr="00616FF7" w:rsidRDefault="006877BB" w:rsidP="00066DC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proofErr w:type="spellStart"/>
            <w:r w:rsidRPr="00616FF7">
              <w:rPr>
                <w:rFonts w:cstheme="minorHAnsi"/>
                <w:b/>
                <w:bCs/>
                <w:sz w:val="20"/>
              </w:rPr>
              <w:t>Adjusted</w:t>
            </w:r>
            <w:r w:rsidRPr="003166F0">
              <w:rPr>
                <w:rFonts w:cstheme="minorHAnsi"/>
                <w:b/>
                <w:bCs/>
                <w:sz w:val="20"/>
                <w:vertAlign w:val="superscript"/>
              </w:rPr>
              <w:t>a</w:t>
            </w:r>
            <w:proofErr w:type="spellEnd"/>
            <w:r w:rsidRPr="00616FF7">
              <w:rPr>
                <w:rFonts w:cstheme="minorHAnsi"/>
                <w:b/>
                <w:bCs/>
                <w:sz w:val="20"/>
              </w:rPr>
              <w:t xml:space="preserve"> HR </w:t>
            </w:r>
            <w:r w:rsidRPr="00616FF7">
              <w:rPr>
                <w:rFonts w:cstheme="minorHAnsi"/>
                <w:b/>
                <w:bCs/>
                <w:sz w:val="20"/>
              </w:rPr>
              <w:br/>
              <w:t>(95% CI)</w:t>
            </w:r>
          </w:p>
        </w:tc>
      </w:tr>
      <w:tr w:rsidR="006877BB" w:rsidRPr="00616FF7" w14:paraId="7C5FA327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4567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color w:val="000000"/>
                <w:sz w:val="20"/>
              </w:rPr>
              <w:t>Subgroup analyses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33AB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 xml:space="preserve">Cases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03E19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>Person-years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B00C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 xml:space="preserve">Cases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896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>Person-years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C81F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44B4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 xml:space="preserve">Cases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74F30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>Person-years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594D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 xml:space="preserve">Cases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BE2FD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b/>
                <w:bCs/>
                <w:sz w:val="20"/>
              </w:rPr>
              <w:t>Person-years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FB71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</w:p>
        </w:tc>
      </w:tr>
      <w:tr w:rsidR="006877BB" w:rsidRPr="00616FF7" w14:paraId="304C2605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F90A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Insurance payor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E7CD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5DFD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ADCB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1A63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3968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724C4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A792D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7847F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2CB1D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6DC3F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</w:p>
        </w:tc>
      </w:tr>
      <w:tr w:rsidR="006877BB" w:rsidRPr="00616FF7" w14:paraId="474B60A0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4C14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Commercial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994B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3,011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02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154,812.96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F71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6,749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A2B7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326,287.10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2843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1.14 (1.09, 1.19)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A6DC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2,978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14FA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154,812.96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A22B2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6,521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DCC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326,287.10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ECD0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1.18 (1.13, 1.24)</w:t>
            </w:r>
          </w:p>
        </w:tc>
      </w:tr>
      <w:tr w:rsidR="006877BB" w:rsidRPr="00616FF7" w14:paraId="61A877FF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BBFC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Medicare advantage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6E9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1,444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771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27,448.72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3D1F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3,274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A0D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65,640.40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EBA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1.07 (1.00, 1.14)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29BE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1,431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707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27,448.72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D6723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3,166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A5327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65,640.40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C3C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1.10 (1.03, 1.18)</w:t>
            </w:r>
          </w:p>
        </w:tc>
      </w:tr>
      <w:tr w:rsidR="006877BB" w:rsidRPr="00616FF7" w14:paraId="1F6A5C79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5A64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Other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5F4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1,024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31E7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20,971.96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5D5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2,507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6DBB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54,793.22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6F5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1.07 (1.00, 1.16)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0FCE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1,021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2E86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20,971.96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ACA5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2,457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1C019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54,793.22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3846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1.10 (1.02, 1.18)</w:t>
            </w:r>
          </w:p>
        </w:tc>
      </w:tr>
      <w:tr w:rsidR="006877BB" w:rsidRPr="00616FF7" w14:paraId="625677B4" w14:textId="77777777" w:rsidTr="00066DCE">
        <w:tc>
          <w:tcPr>
            <w:tcW w:w="1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2A0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 xml:space="preserve">Urbanicity of home </w:t>
            </w:r>
            <w:proofErr w:type="spellStart"/>
            <w:r w:rsidRPr="00616FF7">
              <w:rPr>
                <w:rFonts w:cstheme="minorHAnsi"/>
                <w:color w:val="000000"/>
                <w:sz w:val="20"/>
              </w:rPr>
              <w:t>neighborhood</w:t>
            </w:r>
            <w:proofErr w:type="spellEnd"/>
            <w:r w:rsidRPr="00616FF7">
              <w:rPr>
                <w:rFonts w:cstheme="minorHAnsi"/>
                <w:color w:val="000000"/>
                <w:sz w:val="20"/>
              </w:rPr>
              <w:t> </w:t>
            </w:r>
          </w:p>
        </w:tc>
      </w:tr>
      <w:tr w:rsidR="006877BB" w:rsidRPr="00616FF7" w14:paraId="1CE67F87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1D97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Urban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049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2,857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13C9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107,177.83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D45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6,693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2083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241,941.34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097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1.10 (1.05, 1.15)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3BA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2,841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A06A2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107,177.83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D43D3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6,494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FE0B9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241,941.34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D08C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1.13 (1.08, 1.18)</w:t>
            </w:r>
          </w:p>
        </w:tc>
      </w:tr>
      <w:tr w:rsidR="006877BB" w:rsidRPr="00616FF7" w14:paraId="43D10712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3196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Semi-urban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5A2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1,413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888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52,051.95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920F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3,360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1114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114,567.18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1EF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1.10 (1.03, 1.17)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6609F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1,402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7AA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52,051.95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EDF5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3,254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AC673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114,567.18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C0C4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1.14 (1.07, 1.21)</w:t>
            </w:r>
          </w:p>
        </w:tc>
      </w:tr>
      <w:tr w:rsidR="006877BB" w:rsidRPr="00616FF7" w14:paraId="3F6D5781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0565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Rural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D4F4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1,209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3F47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44,003.86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47D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2,477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835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90,212.21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1C44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1.14 (1.06, 1.23)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612A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1,187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6621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44,003.86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EDD62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2,396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FD33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90,212.21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5C96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1.17 (1.09, 1.26)</w:t>
            </w:r>
          </w:p>
        </w:tc>
      </w:tr>
      <w:tr w:rsidR="006877BB" w:rsidRPr="00616FF7" w14:paraId="2A92FDA5" w14:textId="77777777" w:rsidTr="00066DCE">
        <w:tc>
          <w:tcPr>
            <w:tcW w:w="1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C1D5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  <w:proofErr w:type="spellStart"/>
            <w:r w:rsidRPr="00616FF7">
              <w:rPr>
                <w:rFonts w:cstheme="minorHAnsi"/>
                <w:color w:val="000000"/>
                <w:sz w:val="20"/>
              </w:rPr>
              <w:t>Neighborhood</w:t>
            </w:r>
            <w:proofErr w:type="spellEnd"/>
            <w:r w:rsidRPr="00616FF7">
              <w:rPr>
                <w:rFonts w:cstheme="minorHAnsi"/>
                <w:color w:val="000000"/>
                <w:sz w:val="20"/>
              </w:rPr>
              <w:t xml:space="preserve"> socioeconomic status quartile</w:t>
            </w:r>
          </w:p>
        </w:tc>
      </w:tr>
      <w:tr w:rsidR="006877BB" w:rsidRPr="00616FF7" w14:paraId="2E205648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60AE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 (0-25%)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E6D3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1,018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10E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35,360.77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6F79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2,093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A9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71,434.13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583F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1.12 (1.04, 1.21)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53DD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1,010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2D3A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35,360.77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E600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2,025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7C0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71,434.13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EF9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1.16 (1.07, 1.26)</w:t>
            </w:r>
          </w:p>
        </w:tc>
      </w:tr>
      <w:tr w:rsidR="006877BB" w:rsidRPr="00616FF7" w14:paraId="612550CA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E25F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 (26-50%)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24A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1,510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528B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53,820.93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6E9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3,241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9DB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113,585.68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C09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1.14 (1.07, 1.22)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50AE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1,492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0C8F0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53,820.93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8AC9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3,135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E149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113,585.68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7C67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1.18 (1.11, 1.26)</w:t>
            </w:r>
          </w:p>
        </w:tc>
      </w:tr>
      <w:tr w:rsidR="006877BB" w:rsidRPr="00616FF7" w14:paraId="6A8C6768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50DD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 (51-75%)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154F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1,559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6E9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57,237.90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3AA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3,562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F1CD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128,507.09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31F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1.14 (1.07, 1.21)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9D18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1,544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317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57,237.90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5AA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3,451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889F6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128,507.09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1A5A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1.17 (1.10, 1.25)</w:t>
            </w:r>
          </w:p>
        </w:tc>
      </w:tr>
      <w:tr w:rsidR="006877BB" w:rsidRPr="00616FF7" w14:paraId="0773B020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F107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4 (76-100%)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50C4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1,392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440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56,814.04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655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3,634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4EE9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133,193.83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231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1.03 (0.97, 1.10)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669D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1,384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775A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56,814.04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9A75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3,533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5915F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133,193.83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6980B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1.06 (0.99, 1.13)</w:t>
            </w:r>
          </w:p>
        </w:tc>
      </w:tr>
      <w:tr w:rsidR="006877BB" w:rsidRPr="00616FF7" w14:paraId="1A30BF75" w14:textId="77777777" w:rsidTr="00066DCE">
        <w:tc>
          <w:tcPr>
            <w:tcW w:w="1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62BC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SABA dispensings in 1-y</w:t>
            </w:r>
            <w:r>
              <w:rPr>
                <w:rFonts w:cstheme="minorHAnsi"/>
                <w:color w:val="000000"/>
                <w:sz w:val="20"/>
              </w:rPr>
              <w:t>ea</w:t>
            </w:r>
            <w:r w:rsidRPr="00616FF7">
              <w:rPr>
                <w:rFonts w:cstheme="minorHAnsi"/>
                <w:color w:val="000000"/>
                <w:sz w:val="20"/>
              </w:rPr>
              <w:t>r prior to index </w:t>
            </w:r>
          </w:p>
        </w:tc>
      </w:tr>
      <w:tr w:rsidR="006877BB" w:rsidRPr="00616FF7" w14:paraId="073B80C1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BA67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None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E587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2,970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12E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109,955.04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18B7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8,467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FFAB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286,010.62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1F23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1.09 (1.04, 1.13)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5374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2,940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6E6D9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109,955.04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31249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8,169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1533D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286,010.62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010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1.13 (1.08, 1.18)</w:t>
            </w:r>
          </w:p>
        </w:tc>
      </w:tr>
      <w:tr w:rsidR="006877BB" w:rsidRPr="00616FF7" w14:paraId="34C2474B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2570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 or more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EB7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2,509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18E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93,278.60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415D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4,063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78C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160,710.11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7A7F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1.13 (1.07, 1.19)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55A0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2,490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C0DE0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93,278.60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CEE7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3,975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62062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160,710.11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0373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1.15 (1.09, 1.21)</w:t>
            </w:r>
          </w:p>
        </w:tc>
      </w:tr>
      <w:tr w:rsidR="006877BB" w:rsidRPr="00616FF7" w14:paraId="57077C01" w14:textId="77777777" w:rsidTr="00066DCE">
        <w:tc>
          <w:tcPr>
            <w:tcW w:w="1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D08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History of respiratory infections in the 1-y</w:t>
            </w:r>
            <w:r>
              <w:rPr>
                <w:rFonts w:cstheme="minorHAnsi"/>
                <w:color w:val="000000"/>
                <w:sz w:val="20"/>
              </w:rPr>
              <w:t>ea</w:t>
            </w:r>
            <w:r w:rsidRPr="00616FF7">
              <w:rPr>
                <w:rFonts w:cstheme="minorHAnsi"/>
                <w:color w:val="000000"/>
                <w:sz w:val="20"/>
              </w:rPr>
              <w:t>r prior to index </w:t>
            </w:r>
          </w:p>
        </w:tc>
      </w:tr>
      <w:tr w:rsidR="006877BB" w:rsidRPr="00616FF7" w14:paraId="25023C66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12DF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None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CD0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4,566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55F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190,999.80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FAA9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10,736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1112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418,888.58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3B0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1.09 (1.05, 1.13)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4B0F7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4,518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5A81B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190,999.80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EEC6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10,376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EED2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418,888.58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AA12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1.13 (1.09, 1.17)</w:t>
            </w:r>
          </w:p>
        </w:tc>
      </w:tr>
      <w:tr w:rsidR="006877BB" w:rsidRPr="00616FF7" w14:paraId="71BF4656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CFF2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 or more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6E47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913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5AD4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12,233.84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6A5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1,794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75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27,832.14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3A8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1.21 (1.11, 1.31)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4D6B5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912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C827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12,233.84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4574F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1,768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6550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27,832.14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9CE6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1.23 (1.13, 1.34)</w:t>
            </w:r>
          </w:p>
        </w:tc>
      </w:tr>
      <w:tr w:rsidR="006877BB" w:rsidRPr="00616FF7" w14:paraId="0AB7584E" w14:textId="77777777" w:rsidTr="00066DCE">
        <w:tc>
          <w:tcPr>
            <w:tcW w:w="1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4F0C" w14:textId="77777777" w:rsidR="006877BB" w:rsidRPr="00616FF7" w:rsidRDefault="006877BB" w:rsidP="00066DCE">
            <w:pPr>
              <w:spacing w:after="0" w:line="240" w:lineRule="auto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 xml:space="preserve">History of acute CV </w:t>
            </w:r>
            <w:proofErr w:type="spellStart"/>
            <w:r w:rsidRPr="00616FF7">
              <w:rPr>
                <w:rFonts w:cstheme="minorHAnsi"/>
                <w:color w:val="000000"/>
                <w:sz w:val="20"/>
              </w:rPr>
              <w:t>events</w:t>
            </w:r>
            <w:r>
              <w:rPr>
                <w:rFonts w:cstheme="minorHAnsi"/>
                <w:color w:val="000000"/>
                <w:sz w:val="20"/>
                <w:vertAlign w:val="superscript"/>
              </w:rPr>
              <w:t>b</w:t>
            </w:r>
            <w:proofErr w:type="spellEnd"/>
          </w:p>
        </w:tc>
      </w:tr>
      <w:tr w:rsidR="006877BB" w:rsidRPr="00616FF7" w14:paraId="00736FA5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4CC1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463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1,636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0F2B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18,522.21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8DE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3,663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DA5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47,554.25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2C5F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1.15 (1.08, 1.22)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2084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1,627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D1FE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18,522.21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E94E0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3,586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1DA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47,554.25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980EA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sz w:val="20"/>
              </w:rPr>
              <w:t>1.17 (1.10, 1.24)</w:t>
            </w:r>
          </w:p>
        </w:tc>
      </w:tr>
      <w:tr w:rsidR="006877BB" w:rsidRPr="00616FF7" w14:paraId="24691480" w14:textId="77777777" w:rsidTr="00066DC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ED03A" w14:textId="77777777" w:rsidR="006877BB" w:rsidRPr="00616FF7" w:rsidRDefault="006877BB" w:rsidP="00066DCE">
            <w:pPr>
              <w:spacing w:after="0" w:line="240" w:lineRule="auto"/>
              <w:ind w:firstLineChars="200" w:firstLine="400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1F4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3,843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F248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184,711.42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97CC3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8,867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1F0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399,166.48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2A3D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1.10 (1.06, 1.14)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92AF1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3,803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5603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184,711.42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D91AC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8,558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A527E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</w:rPr>
            </w:pPr>
            <w:r w:rsidRPr="00616FF7">
              <w:rPr>
                <w:rFonts w:cstheme="minorHAnsi"/>
                <w:color w:val="000000"/>
                <w:sz w:val="20"/>
              </w:rPr>
              <w:t>399,166.48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91E7" w14:textId="77777777" w:rsidR="006877BB" w:rsidRPr="00616FF7" w:rsidRDefault="006877BB" w:rsidP="00066DCE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r w:rsidRPr="00616FF7">
              <w:rPr>
                <w:rFonts w:cstheme="minorHAnsi"/>
                <w:sz w:val="20"/>
              </w:rPr>
              <w:t>1.14 (1.10, 1.19)</w:t>
            </w:r>
          </w:p>
        </w:tc>
      </w:tr>
    </w:tbl>
    <w:p w14:paraId="0365FC5E" w14:textId="77777777" w:rsidR="00B123E9" w:rsidRDefault="006877BB" w:rsidP="00B123E9">
      <w:pPr>
        <w:rPr>
          <w:b/>
          <w:bCs/>
          <w:sz w:val="18"/>
          <w:szCs w:val="18"/>
        </w:rPr>
      </w:pPr>
      <w:r w:rsidRPr="00D2384F">
        <w:rPr>
          <w:b/>
          <w:bCs/>
          <w:sz w:val="18"/>
          <w:szCs w:val="18"/>
        </w:rPr>
        <w:t xml:space="preserve">Abbreviations: </w:t>
      </w:r>
      <w:r w:rsidR="00704E4E" w:rsidRPr="00D2384F">
        <w:rPr>
          <w:sz w:val="18"/>
          <w:szCs w:val="18"/>
        </w:rPr>
        <w:t>AECOPD, acute exacerbation of chronic obstructive pulmonary disease;</w:t>
      </w:r>
      <w:r w:rsidR="00704E4E" w:rsidRPr="00704E4E">
        <w:t xml:space="preserve"> </w:t>
      </w:r>
      <w:r w:rsidR="00704E4E" w:rsidRPr="00704E4E">
        <w:rPr>
          <w:sz w:val="18"/>
          <w:szCs w:val="14"/>
        </w:rPr>
        <w:t xml:space="preserve">CI, confidence interval; </w:t>
      </w:r>
      <w:r w:rsidR="00704E4E" w:rsidRPr="00704E4E">
        <w:rPr>
          <w:sz w:val="18"/>
          <w:szCs w:val="18"/>
        </w:rPr>
        <w:t>COPD, chronic obstructive pulmonary disease</w:t>
      </w:r>
      <w:r w:rsidR="00704E4E">
        <w:rPr>
          <w:sz w:val="18"/>
          <w:szCs w:val="18"/>
        </w:rPr>
        <w:t>;</w:t>
      </w:r>
      <w:r w:rsidR="00704E4E" w:rsidRPr="00D2384F">
        <w:rPr>
          <w:sz w:val="18"/>
          <w:szCs w:val="18"/>
        </w:rPr>
        <w:t xml:space="preserve"> CV, cardiovascular;</w:t>
      </w:r>
      <w:r w:rsidR="00704E4E">
        <w:rPr>
          <w:sz w:val="18"/>
          <w:szCs w:val="18"/>
        </w:rPr>
        <w:t xml:space="preserve"> </w:t>
      </w:r>
      <w:r w:rsidRPr="00D2384F">
        <w:rPr>
          <w:sz w:val="18"/>
          <w:szCs w:val="18"/>
        </w:rPr>
        <w:t>HR, Hazard</w:t>
      </w:r>
      <w:r w:rsidR="00704E4E">
        <w:rPr>
          <w:sz w:val="18"/>
          <w:szCs w:val="18"/>
        </w:rPr>
        <w:t xml:space="preserve"> r</w:t>
      </w:r>
      <w:r w:rsidRPr="00D2384F">
        <w:rPr>
          <w:sz w:val="18"/>
          <w:szCs w:val="18"/>
        </w:rPr>
        <w:t xml:space="preserve">atio; </w:t>
      </w:r>
      <w:r w:rsidR="00660A9C">
        <w:rPr>
          <w:sz w:val="18"/>
          <w:szCs w:val="18"/>
        </w:rPr>
        <w:t xml:space="preserve">SABA, </w:t>
      </w:r>
      <w:r w:rsidR="00660A9C" w:rsidRPr="00660A9C">
        <w:rPr>
          <w:sz w:val="18"/>
          <w:szCs w:val="18"/>
        </w:rPr>
        <w:t>short-acting beta 2-agonists</w:t>
      </w:r>
    </w:p>
    <w:p w14:paraId="4993E0EC" w14:textId="3319E4A9" w:rsidR="006877BB" w:rsidRPr="00B123E9" w:rsidRDefault="006877BB" w:rsidP="00B123E9">
      <w:pPr>
        <w:rPr>
          <w:b/>
          <w:bCs/>
          <w:sz w:val="18"/>
          <w:szCs w:val="18"/>
        </w:rPr>
      </w:pPr>
      <w:proofErr w:type="spellStart"/>
      <w:r>
        <w:rPr>
          <w:sz w:val="18"/>
          <w:szCs w:val="18"/>
          <w:vertAlign w:val="superscript"/>
        </w:rPr>
        <w:t>a</w:t>
      </w:r>
      <w:r>
        <w:rPr>
          <w:sz w:val="18"/>
          <w:szCs w:val="18"/>
        </w:rPr>
        <w:t>Cox</w:t>
      </w:r>
      <w:proofErr w:type="spellEnd"/>
      <w:r>
        <w:rPr>
          <w:sz w:val="18"/>
          <w:szCs w:val="18"/>
        </w:rPr>
        <w:t xml:space="preserve"> proportional hazards models were adjusted for the following baseline demographics, comorbidities and medications: age, sex, urbanicity, region, insurance coverage, Index calendar year, </w:t>
      </w:r>
      <w:r w:rsidR="00704E4E">
        <w:rPr>
          <w:sz w:val="18"/>
          <w:szCs w:val="18"/>
        </w:rPr>
        <w:t>socioeconomic status</w:t>
      </w:r>
      <w:r>
        <w:rPr>
          <w:sz w:val="18"/>
          <w:szCs w:val="18"/>
        </w:rPr>
        <w:t xml:space="preserve">, COPD duration, serious lower respiratory infections, congestive heart failure, </w:t>
      </w:r>
      <w:proofErr w:type="spellStart"/>
      <w:r>
        <w:rPr>
          <w:sz w:val="18"/>
          <w:szCs w:val="18"/>
        </w:rPr>
        <w:t>hyperlipidemia</w:t>
      </w:r>
      <w:proofErr w:type="spellEnd"/>
      <w:r>
        <w:rPr>
          <w:sz w:val="18"/>
          <w:szCs w:val="18"/>
        </w:rPr>
        <w:t xml:space="preserve">, hypertension, Charlson Comorbidity Index, chronic kidney disease, pneumothorax, pulmonary </w:t>
      </w:r>
      <w:proofErr w:type="spellStart"/>
      <w:r>
        <w:rPr>
          <w:sz w:val="18"/>
          <w:szCs w:val="18"/>
        </w:rPr>
        <w:t>edema</w:t>
      </w:r>
      <w:proofErr w:type="spellEnd"/>
      <w:r>
        <w:rPr>
          <w:sz w:val="18"/>
          <w:szCs w:val="18"/>
        </w:rPr>
        <w:t xml:space="preserve">, sleep </w:t>
      </w:r>
      <w:proofErr w:type="spellStart"/>
      <w:r>
        <w:rPr>
          <w:sz w:val="18"/>
          <w:szCs w:val="18"/>
        </w:rPr>
        <w:t>apnea</w:t>
      </w:r>
      <w:proofErr w:type="spellEnd"/>
      <w:r>
        <w:rPr>
          <w:sz w:val="18"/>
          <w:szCs w:val="18"/>
        </w:rPr>
        <w:t xml:space="preserve">, cancer, alpha-1 antitrypsin deficiency, bronchiectasis, extrinsic allergic alveolitis, interstitial lung disease, pleural disease, sarcoidosis, acute CV events, CV procedures, antihistamines, lipid-lowering agents, antihypertensive agents, antiarrhythmics, antianginal agents, other CV agents (including </w:t>
      </w:r>
      <w:proofErr w:type="spellStart"/>
      <w:r>
        <w:rPr>
          <w:sz w:val="18"/>
          <w:szCs w:val="18"/>
        </w:rPr>
        <w:t>letairis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ambrisentan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caduet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tracleer</w:t>
      </w:r>
      <w:proofErr w:type="spellEnd"/>
      <w:r>
        <w:rPr>
          <w:sz w:val="18"/>
          <w:szCs w:val="18"/>
        </w:rPr>
        <w:t xml:space="preserve">, etc.), anticoagulants, immunosuppressants, antidiabetics, antifungals, antivirals, </w:t>
      </w:r>
      <w:r w:rsidR="00B123E9">
        <w:rPr>
          <w:sz w:val="18"/>
          <w:szCs w:val="18"/>
        </w:rPr>
        <w:t>inhaled corticosteroids</w:t>
      </w:r>
      <w:r>
        <w:rPr>
          <w:sz w:val="18"/>
          <w:szCs w:val="18"/>
        </w:rPr>
        <w:t xml:space="preserve">, oral corticosteroids, </w:t>
      </w:r>
      <w:r w:rsidR="00B123E9">
        <w:rPr>
          <w:sz w:val="18"/>
          <w:szCs w:val="18"/>
        </w:rPr>
        <w:t>l</w:t>
      </w:r>
      <w:r w:rsidR="00B123E9" w:rsidRPr="00B123E9">
        <w:rPr>
          <w:sz w:val="18"/>
          <w:szCs w:val="18"/>
        </w:rPr>
        <w:t>ong-acting bronchodilators</w:t>
      </w:r>
      <w:r>
        <w:rPr>
          <w:sz w:val="18"/>
          <w:szCs w:val="18"/>
        </w:rPr>
        <w:t>, SABA, glucocorticoids, antibiotics, hospitalizations, outpatient visits, pulmonologist visits, and cardiologist visits.</w:t>
      </w:r>
    </w:p>
    <w:p w14:paraId="2D99EEF7" w14:textId="7A8F54DF" w:rsidR="006877BB" w:rsidRDefault="006877BB">
      <w:proofErr w:type="spellStart"/>
      <w:r>
        <w:rPr>
          <w:sz w:val="18"/>
          <w:szCs w:val="18"/>
          <w:vertAlign w:val="superscript"/>
        </w:rPr>
        <w:t>b</w:t>
      </w:r>
      <w:r w:rsidRPr="00D2384F">
        <w:rPr>
          <w:sz w:val="18"/>
          <w:szCs w:val="18"/>
        </w:rPr>
        <w:t>Acute</w:t>
      </w:r>
      <w:proofErr w:type="spellEnd"/>
      <w:r w:rsidRPr="00D2384F">
        <w:rPr>
          <w:sz w:val="18"/>
          <w:szCs w:val="18"/>
        </w:rPr>
        <w:t xml:space="preserve"> CV events are measured from the start of the study period until six months prior to the index </w:t>
      </w:r>
      <w:proofErr w:type="gramStart"/>
      <w:r w:rsidRPr="00D2384F">
        <w:rPr>
          <w:sz w:val="18"/>
          <w:szCs w:val="18"/>
        </w:rPr>
        <w:t>date</w:t>
      </w:r>
      <w:bookmarkEnd w:id="19"/>
      <w:proofErr w:type="gramEnd"/>
    </w:p>
    <w:sectPr w:rsidR="006877BB" w:rsidSect="006877B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48"/>
    <w:rsid w:val="0006642B"/>
    <w:rsid w:val="000B4AE7"/>
    <w:rsid w:val="000B671E"/>
    <w:rsid w:val="0015675D"/>
    <w:rsid w:val="0020262A"/>
    <w:rsid w:val="003D579E"/>
    <w:rsid w:val="005B212C"/>
    <w:rsid w:val="005E0B14"/>
    <w:rsid w:val="00620FAE"/>
    <w:rsid w:val="00660A9C"/>
    <w:rsid w:val="006877BB"/>
    <w:rsid w:val="00704E4E"/>
    <w:rsid w:val="007158DD"/>
    <w:rsid w:val="007726A8"/>
    <w:rsid w:val="00790CD0"/>
    <w:rsid w:val="008C2087"/>
    <w:rsid w:val="008D4930"/>
    <w:rsid w:val="008F0A6E"/>
    <w:rsid w:val="00993237"/>
    <w:rsid w:val="00994C10"/>
    <w:rsid w:val="00A6786B"/>
    <w:rsid w:val="00AD2C48"/>
    <w:rsid w:val="00B00399"/>
    <w:rsid w:val="00B123E9"/>
    <w:rsid w:val="00B33A4D"/>
    <w:rsid w:val="00BC367D"/>
    <w:rsid w:val="00CF6A46"/>
    <w:rsid w:val="00E008E3"/>
    <w:rsid w:val="00E2364A"/>
    <w:rsid w:val="00E37D63"/>
    <w:rsid w:val="00EA10BE"/>
    <w:rsid w:val="00F6131D"/>
    <w:rsid w:val="00F61F0B"/>
    <w:rsid w:val="00FA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4895"/>
  <w15:chartTrackingRefBased/>
  <w15:docId w15:val="{7059CFB5-6836-465E-B56F-E9DA1DEC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C48"/>
    <w:pPr>
      <w:spacing w:after="240" w:line="280" w:lineRule="atLeast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text">
    <w:name w:val="heading 2 text"/>
    <w:rsid w:val="00AD2C48"/>
    <w:pPr>
      <w:spacing w:after="24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AD2C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rsid w:val="00AD2C48"/>
    <w:rPr>
      <w:i/>
      <w:iCs/>
      <w:color w:val="008000"/>
    </w:rPr>
  </w:style>
  <w:style w:type="paragraph" w:styleId="Revision">
    <w:name w:val="Revision"/>
    <w:hidden/>
    <w:uiPriority w:val="99"/>
    <w:semiHidden/>
    <w:rsid w:val="00BC36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90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C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CD0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CD0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70DA-2697-45D3-97B2-E265F22A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4033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Elizabeth A.</dc:creator>
  <cp:keywords/>
  <dc:description/>
  <cp:lastModifiedBy>Fournakis, Nicole</cp:lastModifiedBy>
  <cp:revision>3</cp:revision>
  <dcterms:created xsi:type="dcterms:W3CDTF">2023-12-19T15:05:00Z</dcterms:created>
  <dcterms:modified xsi:type="dcterms:W3CDTF">2023-12-19T16:24:00Z</dcterms:modified>
</cp:coreProperties>
</file>