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D577" w14:textId="77777777" w:rsidR="005D723A" w:rsidRPr="00F211A0" w:rsidRDefault="005D723A" w:rsidP="005D723A">
      <w:pPr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sz w:val="24"/>
        </w:rPr>
        <w:t xml:space="preserve">  </w:t>
      </w:r>
      <w:bookmarkStart w:id="0" w:name="_Hlk132634931"/>
      <w:r w:rsidRPr="00CF3862">
        <w:rPr>
          <w:rFonts w:ascii="Times New Roman" w:eastAsia="SimSun" w:hAnsi="Times New Roman" w:cs="Times New Roman"/>
        </w:rPr>
        <w:t xml:space="preserve">Supplementary Table </w:t>
      </w:r>
      <w:r>
        <w:rPr>
          <w:rFonts w:ascii="Times New Roman" w:eastAsia="SimSun" w:hAnsi="Times New Roman" w:cs="Times New Roman"/>
        </w:rPr>
        <w:t>1</w:t>
      </w:r>
      <w:r w:rsidRPr="00CF3862">
        <w:rPr>
          <w:rFonts w:ascii="Times New Roman" w:eastAsia="SimSun" w:hAnsi="Times New Roman" w:cs="Times New Roman"/>
        </w:rPr>
        <w:t>. Diagnostic criteria of the cardiac arrhythmia diseases in current study</w:t>
      </w:r>
    </w:p>
    <w:tbl>
      <w:tblPr>
        <w:tblStyle w:val="TableGrid"/>
        <w:tblW w:w="14708" w:type="dxa"/>
        <w:jc w:val="center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10318"/>
      </w:tblGrid>
      <w:tr w:rsidR="005D723A" w:rsidRPr="00F211A0" w14:paraId="3F8FA7B7" w14:textId="77777777" w:rsidTr="00126FF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62AAB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Disease Diagnosis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FC673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Minnesota code</w:t>
            </w:r>
          </w:p>
        </w:tc>
        <w:tc>
          <w:tcPr>
            <w:tcW w:w="10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D0BEE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Diagnostic criteria</w:t>
            </w:r>
          </w:p>
        </w:tc>
      </w:tr>
      <w:tr w:rsidR="005D723A" w:rsidRPr="00F211A0" w14:paraId="2317A91A" w14:textId="77777777" w:rsidTr="00126FF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1F3DF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Atrioventricular block (AVB)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56411" w14:textId="77777777" w:rsidR="005D723A" w:rsidRPr="00F211A0" w:rsidRDefault="005D723A" w:rsidP="00126FFC">
            <w:pPr>
              <w:rPr>
                <w:szCs w:val="21"/>
              </w:rPr>
            </w:pPr>
          </w:p>
        </w:tc>
        <w:tc>
          <w:tcPr>
            <w:tcW w:w="10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CA08A" w14:textId="77777777" w:rsidR="005D723A" w:rsidRPr="00F211A0" w:rsidRDefault="005D723A" w:rsidP="00126FFC">
            <w:pPr>
              <w:rPr>
                <w:szCs w:val="21"/>
              </w:rPr>
            </w:pPr>
          </w:p>
        </w:tc>
      </w:tr>
      <w:tr w:rsidR="005D723A" w:rsidRPr="00F211A0" w14:paraId="76CA6CC4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DBF0231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First-degree AVB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C3F10A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6-3</w:t>
            </w:r>
          </w:p>
        </w:tc>
        <w:tc>
          <w:tcPr>
            <w:tcW w:w="10318" w:type="dxa"/>
            <w:shd w:val="clear" w:color="auto" w:fill="auto"/>
            <w:vAlign w:val="center"/>
          </w:tcPr>
          <w:p w14:paraId="0F02BAF1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P waves associated with 1:1 atrioventricular conduction and a PR interval &gt;200ms (this is more accurately defined as atrioventricular delay because no P waves are blocked).</w:t>
            </w:r>
          </w:p>
        </w:tc>
      </w:tr>
      <w:tr w:rsidR="005D723A" w:rsidRPr="00F211A0" w14:paraId="73745661" w14:textId="77777777" w:rsidTr="00126FFC">
        <w:trPr>
          <w:jc w:val="center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14:paraId="4EBB8467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Second-degree AVB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AD33E29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6-2</w:t>
            </w:r>
          </w:p>
        </w:tc>
        <w:tc>
          <w:tcPr>
            <w:tcW w:w="10318" w:type="dxa"/>
            <w:shd w:val="clear" w:color="auto" w:fill="auto"/>
            <w:vAlign w:val="center"/>
          </w:tcPr>
          <w:p w14:paraId="65045D18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P waves with a constant rate (&lt;100 bpm) where atrioventricular conduction is present but not 1:1</w:t>
            </w:r>
          </w:p>
        </w:tc>
      </w:tr>
      <w:tr w:rsidR="005D723A" w:rsidRPr="00F211A0" w14:paraId="0C7CA58C" w14:textId="77777777" w:rsidTr="00126FFC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14:paraId="5122C052" w14:textId="77777777" w:rsidR="005D723A" w:rsidRPr="00F211A0" w:rsidRDefault="005D723A" w:rsidP="00126FFC">
            <w:pPr>
              <w:rPr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D38F802" w14:textId="77777777" w:rsidR="005D723A" w:rsidRPr="00F211A0" w:rsidRDefault="005D723A" w:rsidP="00126FFC">
            <w:pPr>
              <w:rPr>
                <w:szCs w:val="20"/>
              </w:rPr>
            </w:pPr>
          </w:p>
        </w:tc>
        <w:tc>
          <w:tcPr>
            <w:tcW w:w="10318" w:type="dxa"/>
            <w:shd w:val="clear" w:color="auto" w:fill="auto"/>
            <w:vAlign w:val="center"/>
          </w:tcPr>
          <w:p w14:paraId="4D8F45FC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Mobitz type I: P waves with a constant rate (&lt;100 bpm) with a periodic single nonconducted P wave associated with P waves before and after the nonconducted P wave with inconstant PR intervals.</w:t>
            </w:r>
          </w:p>
        </w:tc>
      </w:tr>
      <w:tr w:rsidR="005D723A" w:rsidRPr="00F211A0" w14:paraId="34053CFB" w14:textId="77777777" w:rsidTr="00126FFC">
        <w:trPr>
          <w:jc w:val="center"/>
        </w:trPr>
        <w:tc>
          <w:tcPr>
            <w:tcW w:w="2830" w:type="dxa"/>
            <w:vMerge/>
            <w:shd w:val="clear" w:color="auto" w:fill="auto"/>
            <w:vAlign w:val="center"/>
          </w:tcPr>
          <w:p w14:paraId="24E7ACE6" w14:textId="77777777" w:rsidR="005D723A" w:rsidRPr="00F211A0" w:rsidRDefault="005D723A" w:rsidP="00126FFC">
            <w:pPr>
              <w:rPr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6E0C081" w14:textId="77777777" w:rsidR="005D723A" w:rsidRPr="00F211A0" w:rsidRDefault="005D723A" w:rsidP="00126FFC">
            <w:pPr>
              <w:rPr>
                <w:szCs w:val="20"/>
              </w:rPr>
            </w:pPr>
          </w:p>
        </w:tc>
        <w:tc>
          <w:tcPr>
            <w:tcW w:w="10318" w:type="dxa"/>
            <w:shd w:val="clear" w:color="auto" w:fill="auto"/>
            <w:vAlign w:val="center"/>
          </w:tcPr>
          <w:p w14:paraId="5746039B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Mobitz type II is characterized by fixed PR intervals before and after blocked beats and is usually associated with a wide QRS complex.</w:t>
            </w:r>
          </w:p>
        </w:tc>
      </w:tr>
      <w:tr w:rsidR="005D723A" w:rsidRPr="00F211A0" w14:paraId="5E310CB1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80143B2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Third-degree AVB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8EEDAF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6-1</w:t>
            </w:r>
          </w:p>
        </w:tc>
        <w:tc>
          <w:tcPr>
            <w:tcW w:w="10318" w:type="dxa"/>
            <w:shd w:val="clear" w:color="auto" w:fill="auto"/>
            <w:vAlign w:val="center"/>
          </w:tcPr>
          <w:p w14:paraId="4D41539A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P wave and QRS wave were rhythmical and uncorrelated with each other. Atrial rate was faster than ventricular rate.</w:t>
            </w:r>
          </w:p>
        </w:tc>
      </w:tr>
      <w:tr w:rsidR="005D723A" w:rsidRPr="00F211A0" w14:paraId="4F8849F1" w14:textId="77777777" w:rsidTr="00126FFC">
        <w:trPr>
          <w:trHeight w:hRule="exact" w:val="34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AC0C2A9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Bundle branch block (BBB)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F8977F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</w:p>
        </w:tc>
        <w:tc>
          <w:tcPr>
            <w:tcW w:w="10318" w:type="dxa"/>
            <w:shd w:val="clear" w:color="auto" w:fill="auto"/>
            <w:vAlign w:val="center"/>
          </w:tcPr>
          <w:p w14:paraId="2ED8D5A1" w14:textId="77777777" w:rsidR="005D723A" w:rsidRPr="00F211A0" w:rsidRDefault="005D723A" w:rsidP="00126FFC">
            <w:pPr>
              <w:rPr>
                <w:szCs w:val="21"/>
              </w:rPr>
            </w:pPr>
          </w:p>
        </w:tc>
      </w:tr>
      <w:tr w:rsidR="005D723A" w:rsidRPr="00F211A0" w14:paraId="5E227CAB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A899531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Right BBB (RBBB)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2D4F31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</w:p>
        </w:tc>
        <w:tc>
          <w:tcPr>
            <w:tcW w:w="10318" w:type="dxa"/>
            <w:shd w:val="clear" w:color="auto" w:fill="auto"/>
            <w:vAlign w:val="center"/>
          </w:tcPr>
          <w:p w14:paraId="2443F533" w14:textId="77777777" w:rsidR="005D723A" w:rsidRPr="00F211A0" w:rsidRDefault="005D723A" w:rsidP="00126FFC">
            <w:pPr>
              <w:rPr>
                <w:szCs w:val="21"/>
              </w:rPr>
            </w:pPr>
          </w:p>
        </w:tc>
      </w:tr>
      <w:tr w:rsidR="005D723A" w:rsidRPr="00F211A0" w14:paraId="57E1B307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C158F79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Complete RBBB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2E0F9E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7-2</w:t>
            </w:r>
          </w:p>
        </w:tc>
        <w:tc>
          <w:tcPr>
            <w:tcW w:w="10318" w:type="dxa"/>
            <w:shd w:val="clear" w:color="auto" w:fill="auto"/>
            <w:vAlign w:val="center"/>
          </w:tcPr>
          <w:p w14:paraId="0C19E137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1) QRS duration of 120ms or longer in the presence of normal sinus rhythm or supraventricular rhythm; 2) R or rSR</w:t>
            </w:r>
            <w:r w:rsidRPr="00F211A0">
              <w:rPr>
                <w:rFonts w:eastAsia="DengXian" w:hint="eastAsia"/>
                <w:szCs w:val="21"/>
                <w:lang w:bidi="ar"/>
              </w:rPr>
              <w:t>′</w:t>
            </w:r>
            <w:r w:rsidRPr="00F211A0">
              <w:rPr>
                <w:rFonts w:eastAsia="DengXian"/>
                <w:szCs w:val="21"/>
                <w:lang w:bidi="ar"/>
              </w:rPr>
              <w:t xml:space="preserve"> complex in lead V1; 3) rS in leads V5, V6, I, or aVL with prolonged shallow S wave.</w:t>
            </w:r>
          </w:p>
        </w:tc>
      </w:tr>
      <w:tr w:rsidR="005D723A" w:rsidRPr="00F211A0" w14:paraId="423820BA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89DE84A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Incomplete RBBB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E52312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7-3</w:t>
            </w:r>
          </w:p>
        </w:tc>
        <w:tc>
          <w:tcPr>
            <w:tcW w:w="10318" w:type="dxa"/>
            <w:shd w:val="clear" w:color="auto" w:fill="auto"/>
            <w:vAlign w:val="center"/>
          </w:tcPr>
          <w:p w14:paraId="6D7F2840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Same QRS morphology criteria as complete RBBB but with a QRS duration between 110 and 119ms.</w:t>
            </w:r>
          </w:p>
        </w:tc>
      </w:tr>
      <w:tr w:rsidR="005D723A" w:rsidRPr="00F211A0" w14:paraId="3E01B56A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E4C549C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Left BBB (LBBB)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56EB18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</w:p>
        </w:tc>
        <w:tc>
          <w:tcPr>
            <w:tcW w:w="10318" w:type="dxa"/>
            <w:shd w:val="clear" w:color="auto" w:fill="auto"/>
            <w:vAlign w:val="center"/>
          </w:tcPr>
          <w:p w14:paraId="0E85CC77" w14:textId="77777777" w:rsidR="005D723A" w:rsidRPr="00F211A0" w:rsidRDefault="005D723A" w:rsidP="00126FFC">
            <w:pPr>
              <w:rPr>
                <w:szCs w:val="21"/>
              </w:rPr>
            </w:pPr>
          </w:p>
        </w:tc>
      </w:tr>
      <w:tr w:rsidR="005D723A" w:rsidRPr="00F211A0" w14:paraId="72F0A4DB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2998896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</w:p>
          <w:p w14:paraId="3719BD9B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Complete LBBB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BB859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7-1</w:t>
            </w:r>
          </w:p>
        </w:tc>
        <w:tc>
          <w:tcPr>
            <w:tcW w:w="10318" w:type="dxa"/>
            <w:shd w:val="clear" w:color="auto" w:fill="auto"/>
            <w:vAlign w:val="center"/>
          </w:tcPr>
          <w:p w14:paraId="182C34C2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1) QRS duration of 120ms or longer in the presence of normal sinus rhythm or supraventricular rhythm (not atrial fibrillation); 2) QS or rS complex in lead V1; 3) broad R waves in leads I, aVL, V5-V6 (or an rS pattern in V5-V6); 4) absence of Q waves in leads V5, V6, or I.</w:t>
            </w:r>
          </w:p>
        </w:tc>
      </w:tr>
      <w:tr w:rsidR="005D723A" w:rsidRPr="00F211A0" w14:paraId="7D83D996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4F1501C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Incomplete LBBB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9B010A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7-6</w:t>
            </w:r>
          </w:p>
        </w:tc>
        <w:tc>
          <w:tcPr>
            <w:tcW w:w="10318" w:type="dxa"/>
            <w:shd w:val="clear" w:color="auto" w:fill="auto"/>
            <w:vAlign w:val="center"/>
          </w:tcPr>
          <w:p w14:paraId="3D839F52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1) QRS duration between 110 and 119ms in adults; 2) Presence of left ventricular hypertrophy pattern; 3) R peak time &gt;60ms in leads V4, V5, and V6; 4) Absence of Q wave in leads I, V5, and V6.</w:t>
            </w:r>
          </w:p>
        </w:tc>
      </w:tr>
      <w:tr w:rsidR="005D723A" w:rsidRPr="00F211A0" w14:paraId="661BFCEF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3F56AA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Left anterior fascicular block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EC8550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</w:p>
        </w:tc>
        <w:tc>
          <w:tcPr>
            <w:tcW w:w="10318" w:type="dxa"/>
            <w:shd w:val="clear" w:color="auto" w:fill="auto"/>
            <w:vAlign w:val="center"/>
          </w:tcPr>
          <w:p w14:paraId="3AC30177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 xml:space="preserve">1) QRS duration &lt;120ms; 2) Frontal plane axis between </w:t>
            </w:r>
            <w:r w:rsidRPr="00F211A0">
              <w:rPr>
                <w:rFonts w:eastAsia="Microsoft YaHei"/>
                <w:szCs w:val="21"/>
                <w:lang w:bidi="ar"/>
              </w:rPr>
              <w:t>−</w:t>
            </w:r>
            <w:r w:rsidRPr="00F211A0">
              <w:rPr>
                <w:rFonts w:eastAsia="DengXian"/>
                <w:szCs w:val="21"/>
                <w:lang w:bidi="ar"/>
              </w:rPr>
              <w:t xml:space="preserve">45° and </w:t>
            </w:r>
            <w:r w:rsidRPr="00F211A0">
              <w:rPr>
                <w:rFonts w:eastAsia="Microsoft YaHei"/>
                <w:szCs w:val="21"/>
                <w:lang w:bidi="ar"/>
              </w:rPr>
              <w:t>−</w:t>
            </w:r>
            <w:r w:rsidRPr="00F211A0">
              <w:rPr>
                <w:rFonts w:eastAsia="DengXian"/>
                <w:szCs w:val="21"/>
                <w:lang w:bidi="ar"/>
              </w:rPr>
              <w:t xml:space="preserve">90°; 3) R-peak time in lead aVL of </w:t>
            </w:r>
            <w:r w:rsidRPr="00F211A0">
              <w:rPr>
                <w:rFonts w:eastAsia="DengXian" w:hint="eastAsia"/>
                <w:szCs w:val="21"/>
                <w:lang w:bidi="ar"/>
              </w:rPr>
              <w:t>≥</w:t>
            </w:r>
            <w:r w:rsidRPr="00F211A0">
              <w:rPr>
                <w:rFonts w:eastAsia="DengXian"/>
                <w:szCs w:val="21"/>
                <w:lang w:bidi="ar"/>
              </w:rPr>
              <w:t>45ms; 4) qR (small r, tall R) pattern in lead aVL; 5) rS pattern (small r, deep S) in leads II, III, and aVF.</w:t>
            </w:r>
          </w:p>
        </w:tc>
      </w:tr>
      <w:tr w:rsidR="005D723A" w:rsidRPr="00F211A0" w14:paraId="23BB8EA5" w14:textId="77777777" w:rsidTr="00126FFC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AC33A55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Left posterior fascicular block</w:t>
            </w:r>
          </w:p>
          <w:p w14:paraId="0EA1C319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C63EFE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</w:p>
        </w:tc>
        <w:tc>
          <w:tcPr>
            <w:tcW w:w="10318" w:type="dxa"/>
            <w:shd w:val="clear" w:color="auto" w:fill="auto"/>
            <w:vAlign w:val="center"/>
          </w:tcPr>
          <w:p w14:paraId="466B76DB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rFonts w:eastAsia="DengXian"/>
                <w:szCs w:val="21"/>
                <w:lang w:bidi="ar"/>
              </w:rPr>
              <w:t>1) QRS duration &lt;120ms; 2) Frontal plane axis between 90° and 180°; 3) rS (small r, deep S) pattern in leads I and aVL4) qR (small q, tall R) pattern in leads III and aVF.</w:t>
            </w:r>
          </w:p>
        </w:tc>
      </w:tr>
      <w:tr w:rsidR="00A76FB1" w:rsidRPr="00F211A0" w14:paraId="5691D1CF" w14:textId="77777777" w:rsidTr="008226D7">
        <w:trPr>
          <w:jc w:val="center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121E5" w14:textId="5212F243" w:rsidR="00A76FB1" w:rsidRPr="00F211A0" w:rsidRDefault="00A76FB1" w:rsidP="00A76FB1">
            <w:pPr>
              <w:jc w:val="center"/>
              <w:rPr>
                <w:szCs w:val="21"/>
              </w:rPr>
            </w:pPr>
            <w:r w:rsidRPr="008A18F1">
              <w:rPr>
                <w:rFonts w:eastAsia="STSong"/>
                <w:sz w:val="18"/>
                <w:szCs w:val="18"/>
              </w:rPr>
              <w:t>Nonspecific</w:t>
            </w:r>
            <w:r w:rsidRPr="008A18F1">
              <w:rPr>
                <w:rFonts w:eastAsia="STSong" w:hint="eastAsia"/>
                <w:sz w:val="18"/>
                <w:szCs w:val="18"/>
              </w:rPr>
              <w:t xml:space="preserve"> intraventricular conduction disturbance (NS-IVCD)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8E06B1" w14:textId="3BE4D7EC" w:rsidR="00A76FB1" w:rsidRPr="00F211A0" w:rsidRDefault="00A76FB1" w:rsidP="00A76FB1">
            <w:pPr>
              <w:jc w:val="center"/>
              <w:rPr>
                <w:szCs w:val="21"/>
              </w:rPr>
            </w:pPr>
            <w:r w:rsidRPr="008A18F1">
              <w:rPr>
                <w:rFonts w:eastAsia="STSong" w:hint="eastAsia"/>
                <w:sz w:val="18"/>
                <w:szCs w:val="18"/>
              </w:rPr>
              <w:t>7-4</w:t>
            </w:r>
          </w:p>
        </w:tc>
        <w:tc>
          <w:tcPr>
            <w:tcW w:w="10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36621" w14:textId="02C62AC8" w:rsidR="00A76FB1" w:rsidRPr="00F211A0" w:rsidRDefault="00A76FB1" w:rsidP="00A76FB1">
            <w:pPr>
              <w:rPr>
                <w:szCs w:val="21"/>
              </w:rPr>
            </w:pPr>
            <w:r w:rsidRPr="008A18F1">
              <w:rPr>
                <w:rFonts w:eastAsia="STSong"/>
                <w:sz w:val="18"/>
                <w:szCs w:val="18"/>
              </w:rPr>
              <w:t>QRS</w:t>
            </w:r>
            <w:r w:rsidRPr="008A18F1">
              <w:rPr>
                <w:rFonts w:eastAsia="STSong" w:hint="eastAsia"/>
                <w:sz w:val="18"/>
                <w:szCs w:val="18"/>
              </w:rPr>
              <w:t xml:space="preserve"> </w:t>
            </w:r>
            <w:r w:rsidRPr="008A18F1">
              <w:rPr>
                <w:rFonts w:eastAsia="STSong"/>
                <w:sz w:val="18"/>
                <w:szCs w:val="18"/>
              </w:rPr>
              <w:t>duration</w:t>
            </w:r>
            <w:r w:rsidRPr="008A18F1">
              <w:rPr>
                <w:rFonts w:eastAsia="STSong" w:hint="eastAsia"/>
                <w:sz w:val="18"/>
                <w:szCs w:val="18"/>
              </w:rPr>
              <w:t xml:space="preserve"> &gt;</w:t>
            </w:r>
            <w:r w:rsidRPr="008A18F1">
              <w:rPr>
                <w:rFonts w:eastAsia="STSong"/>
                <w:sz w:val="18"/>
                <w:szCs w:val="18"/>
              </w:rPr>
              <w:t>1</w:t>
            </w:r>
            <w:r w:rsidRPr="008A18F1">
              <w:rPr>
                <w:rFonts w:eastAsia="STSong" w:hint="eastAsia"/>
                <w:sz w:val="18"/>
                <w:szCs w:val="18"/>
              </w:rPr>
              <w:t>1</w:t>
            </w:r>
            <w:r w:rsidRPr="008A18F1">
              <w:rPr>
                <w:rFonts w:eastAsia="STSong"/>
                <w:sz w:val="18"/>
                <w:szCs w:val="18"/>
              </w:rPr>
              <w:t>0 ms when both RBBB and</w:t>
            </w:r>
            <w:r w:rsidRPr="008A18F1">
              <w:rPr>
                <w:rFonts w:eastAsia="STSong" w:hint="eastAsia"/>
                <w:sz w:val="18"/>
                <w:szCs w:val="18"/>
              </w:rPr>
              <w:t xml:space="preserve"> </w:t>
            </w:r>
            <w:r w:rsidRPr="008A18F1">
              <w:rPr>
                <w:rFonts w:eastAsia="STSong"/>
                <w:sz w:val="18"/>
                <w:szCs w:val="18"/>
              </w:rPr>
              <w:t xml:space="preserve">LBBB </w:t>
            </w:r>
            <w:r w:rsidRPr="008A18F1">
              <w:rPr>
                <w:rFonts w:eastAsia="STSong" w:hint="eastAsia"/>
                <w:sz w:val="18"/>
                <w:szCs w:val="18"/>
              </w:rPr>
              <w:t>are</w:t>
            </w:r>
            <w:r w:rsidRPr="008A18F1">
              <w:rPr>
                <w:rFonts w:eastAsia="STSong"/>
                <w:sz w:val="18"/>
                <w:szCs w:val="18"/>
              </w:rPr>
              <w:t xml:space="preserve"> excluded.</w:t>
            </w:r>
          </w:p>
        </w:tc>
      </w:tr>
    </w:tbl>
    <w:p w14:paraId="332AD987" w14:textId="77777777" w:rsidR="005D723A" w:rsidRPr="00F211A0" w:rsidRDefault="005D723A" w:rsidP="005D723A"/>
    <w:p w14:paraId="0DE7D608" w14:textId="77777777" w:rsidR="005D723A" w:rsidRDefault="005D723A" w:rsidP="005D723A">
      <w:pPr>
        <w:widowControl/>
        <w:jc w:val="left"/>
        <w:rPr>
          <w:rFonts w:ascii="Times New Roman" w:eastAsia="DengXian" w:hAnsi="Times New Roman" w:cs="Times New Roman"/>
          <w:color w:val="000000"/>
          <w:kern w:val="0"/>
          <w:szCs w:val="21"/>
        </w:rPr>
      </w:pPr>
      <w:r>
        <w:rPr>
          <w:rFonts w:ascii="Times New Roman" w:eastAsia="DengXian" w:hAnsi="Times New Roman" w:cs="Times New Roman"/>
          <w:color w:val="000000"/>
          <w:kern w:val="0"/>
          <w:szCs w:val="21"/>
        </w:rPr>
        <w:br w:type="page"/>
      </w:r>
    </w:p>
    <w:p w14:paraId="120A970C" w14:textId="77777777" w:rsidR="005D723A" w:rsidRPr="00F211A0" w:rsidRDefault="005D723A" w:rsidP="005D723A">
      <w:pPr>
        <w:widowControl/>
        <w:jc w:val="center"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CF3862">
        <w:rPr>
          <w:rFonts w:ascii="Times New Roman" w:eastAsia="DengXian" w:hAnsi="Times New Roman" w:cs="Times New Roman"/>
          <w:color w:val="000000"/>
          <w:kern w:val="0"/>
          <w:szCs w:val="21"/>
        </w:rPr>
        <w:lastRenderedPageBreak/>
        <w:t>Supplementary Table 2. Associations between the level of MLR and the risk of CCB and its subtypes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194"/>
        <w:gridCol w:w="2126"/>
        <w:gridCol w:w="2126"/>
        <w:gridCol w:w="2147"/>
      </w:tblGrid>
      <w:tr w:rsidR="002A49FD" w:rsidRPr="00F211A0" w14:paraId="4A853D6C" w14:textId="77777777" w:rsidTr="002A49FD">
        <w:trPr>
          <w:trHeight w:val="254"/>
          <w:jc w:val="center"/>
        </w:trPr>
        <w:tc>
          <w:tcPr>
            <w:tcW w:w="3909" w:type="dxa"/>
            <w:vMerge w:val="restart"/>
            <w:tcBorders>
              <w:top w:val="single" w:sz="4" w:space="0" w:color="auto"/>
            </w:tcBorders>
          </w:tcPr>
          <w:p w14:paraId="3B516C4B" w14:textId="77777777" w:rsidR="002A49FD" w:rsidRPr="00F211A0" w:rsidRDefault="002A49FD" w:rsidP="002A49FD">
            <w:pPr>
              <w:jc w:val="left"/>
              <w:rPr>
                <w:szCs w:val="21"/>
              </w:rPr>
            </w:pPr>
          </w:p>
        </w:tc>
        <w:tc>
          <w:tcPr>
            <w:tcW w:w="8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B45748" w14:textId="5F722129" w:rsidR="002A49FD" w:rsidRPr="00F211A0" w:rsidRDefault="002A49FD" w:rsidP="002A49FD">
            <w:pPr>
              <w:jc w:val="center"/>
              <w:rPr>
                <w:szCs w:val="21"/>
              </w:rPr>
            </w:pPr>
            <w:r w:rsidRPr="00C3739C">
              <w:rPr>
                <w:color w:val="000000"/>
                <w:lang w:bidi="ar"/>
              </w:rPr>
              <w:t>HR (95% CI)</w:t>
            </w:r>
          </w:p>
        </w:tc>
      </w:tr>
      <w:tr w:rsidR="002A49FD" w:rsidRPr="00F211A0" w14:paraId="0BD25BA6" w14:textId="77777777" w:rsidTr="002A49FD">
        <w:trPr>
          <w:jc w:val="center"/>
        </w:trPr>
        <w:tc>
          <w:tcPr>
            <w:tcW w:w="3909" w:type="dxa"/>
            <w:vMerge/>
            <w:tcBorders>
              <w:bottom w:val="single" w:sz="4" w:space="0" w:color="auto"/>
            </w:tcBorders>
          </w:tcPr>
          <w:p w14:paraId="74923106" w14:textId="77777777" w:rsidR="002A49FD" w:rsidRPr="00F211A0" w:rsidRDefault="002A49FD" w:rsidP="002A49FD">
            <w:pPr>
              <w:jc w:val="left"/>
              <w:rPr>
                <w:szCs w:val="21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76F9663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E91A5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A3AB2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Q3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54E90E31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Q4</w:t>
            </w:r>
          </w:p>
        </w:tc>
      </w:tr>
      <w:tr w:rsidR="002A49FD" w:rsidRPr="00F211A0" w14:paraId="7469B093" w14:textId="77777777" w:rsidTr="002A49FD">
        <w:trPr>
          <w:jc w:val="center"/>
        </w:trPr>
        <w:tc>
          <w:tcPr>
            <w:tcW w:w="3909" w:type="dxa"/>
          </w:tcPr>
          <w:p w14:paraId="2012ADB9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Cardiac conduction block, N (%)</w:t>
            </w:r>
          </w:p>
        </w:tc>
        <w:tc>
          <w:tcPr>
            <w:tcW w:w="2194" w:type="dxa"/>
          </w:tcPr>
          <w:p w14:paraId="079F5173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806 (4.05)</w:t>
            </w:r>
          </w:p>
        </w:tc>
        <w:tc>
          <w:tcPr>
            <w:tcW w:w="2126" w:type="dxa"/>
          </w:tcPr>
          <w:p w14:paraId="060467F2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719 (3.49)</w:t>
            </w:r>
          </w:p>
        </w:tc>
        <w:tc>
          <w:tcPr>
            <w:tcW w:w="2126" w:type="dxa"/>
          </w:tcPr>
          <w:p w14:paraId="7214671C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836 (3.89)</w:t>
            </w:r>
          </w:p>
        </w:tc>
        <w:tc>
          <w:tcPr>
            <w:tcW w:w="2147" w:type="dxa"/>
          </w:tcPr>
          <w:p w14:paraId="13C47FDB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861 (4.21)</w:t>
            </w:r>
          </w:p>
        </w:tc>
      </w:tr>
      <w:tr w:rsidR="002A49FD" w:rsidRPr="00F211A0" w14:paraId="2A9652BC" w14:textId="77777777" w:rsidTr="002A49FD">
        <w:trPr>
          <w:jc w:val="center"/>
        </w:trPr>
        <w:tc>
          <w:tcPr>
            <w:tcW w:w="3909" w:type="dxa"/>
          </w:tcPr>
          <w:p w14:paraId="15A7E433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bookmarkStart w:id="1" w:name="_Hlk132729566"/>
            <w:r w:rsidRPr="00F211A0">
              <w:rPr>
                <w:szCs w:val="21"/>
              </w:rPr>
              <w:t>Incidence density (per 1000 persons-years)</w:t>
            </w:r>
          </w:p>
        </w:tc>
        <w:tc>
          <w:tcPr>
            <w:tcW w:w="2194" w:type="dxa"/>
          </w:tcPr>
          <w:p w14:paraId="64EA4879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3.829</w:t>
            </w:r>
          </w:p>
        </w:tc>
        <w:tc>
          <w:tcPr>
            <w:tcW w:w="2126" w:type="dxa"/>
          </w:tcPr>
          <w:p w14:paraId="0AEB42E5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3.322</w:t>
            </w:r>
          </w:p>
        </w:tc>
        <w:tc>
          <w:tcPr>
            <w:tcW w:w="2126" w:type="dxa"/>
          </w:tcPr>
          <w:p w14:paraId="7E72051C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3.756</w:t>
            </w:r>
          </w:p>
        </w:tc>
        <w:tc>
          <w:tcPr>
            <w:tcW w:w="2147" w:type="dxa"/>
          </w:tcPr>
          <w:p w14:paraId="773AECAB" w14:textId="77777777" w:rsidR="002A49FD" w:rsidRPr="00F211A0" w:rsidRDefault="002A49FD" w:rsidP="002A49FD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4.121</w:t>
            </w:r>
          </w:p>
        </w:tc>
      </w:tr>
      <w:bookmarkEnd w:id="1"/>
      <w:tr w:rsidR="002A49FD" w:rsidRPr="00F211A0" w14:paraId="58AAAB7C" w14:textId="77777777" w:rsidTr="002A49FD">
        <w:trPr>
          <w:jc w:val="center"/>
        </w:trPr>
        <w:tc>
          <w:tcPr>
            <w:tcW w:w="3909" w:type="dxa"/>
          </w:tcPr>
          <w:p w14:paraId="63F0BE73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1</w:t>
            </w:r>
          </w:p>
        </w:tc>
        <w:tc>
          <w:tcPr>
            <w:tcW w:w="2194" w:type="dxa"/>
          </w:tcPr>
          <w:p w14:paraId="25C73EE9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1.106 (1.000-1.223)</w:t>
            </w:r>
          </w:p>
        </w:tc>
        <w:tc>
          <w:tcPr>
            <w:tcW w:w="2126" w:type="dxa"/>
          </w:tcPr>
          <w:p w14:paraId="67C53128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12FBB46F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1.134 (1.027-1.253)</w:t>
            </w:r>
          </w:p>
        </w:tc>
        <w:tc>
          <w:tcPr>
            <w:tcW w:w="2147" w:type="dxa"/>
          </w:tcPr>
          <w:p w14:paraId="5D45C530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1.218 (1.102-1.345)</w:t>
            </w:r>
          </w:p>
        </w:tc>
      </w:tr>
      <w:tr w:rsidR="002A49FD" w:rsidRPr="00F211A0" w14:paraId="51CD5A88" w14:textId="77777777" w:rsidTr="002A49FD">
        <w:trPr>
          <w:jc w:val="center"/>
        </w:trPr>
        <w:tc>
          <w:tcPr>
            <w:tcW w:w="3909" w:type="dxa"/>
          </w:tcPr>
          <w:p w14:paraId="2681A73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2</w:t>
            </w:r>
          </w:p>
        </w:tc>
        <w:tc>
          <w:tcPr>
            <w:tcW w:w="2194" w:type="dxa"/>
          </w:tcPr>
          <w:p w14:paraId="56F8A36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1.106 (1.000-1.223)</w:t>
            </w:r>
          </w:p>
        </w:tc>
        <w:tc>
          <w:tcPr>
            <w:tcW w:w="2126" w:type="dxa"/>
          </w:tcPr>
          <w:p w14:paraId="1BA25A2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3E693D9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1.134 (1.027-1.253)</w:t>
            </w:r>
          </w:p>
        </w:tc>
        <w:tc>
          <w:tcPr>
            <w:tcW w:w="2147" w:type="dxa"/>
          </w:tcPr>
          <w:p w14:paraId="666BD4BE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1.216 (1.101-1.344)</w:t>
            </w:r>
          </w:p>
        </w:tc>
      </w:tr>
      <w:tr w:rsidR="002A49FD" w:rsidRPr="00F211A0" w14:paraId="4B3DDB65" w14:textId="77777777" w:rsidTr="002A49FD">
        <w:trPr>
          <w:jc w:val="center"/>
        </w:trPr>
        <w:tc>
          <w:tcPr>
            <w:tcW w:w="3909" w:type="dxa"/>
          </w:tcPr>
          <w:p w14:paraId="4E17079F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3</w:t>
            </w:r>
          </w:p>
        </w:tc>
        <w:tc>
          <w:tcPr>
            <w:tcW w:w="2194" w:type="dxa"/>
          </w:tcPr>
          <w:p w14:paraId="648C2E09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1.107 (1.001-1.224)</w:t>
            </w:r>
          </w:p>
        </w:tc>
        <w:tc>
          <w:tcPr>
            <w:tcW w:w="2126" w:type="dxa"/>
          </w:tcPr>
          <w:p w14:paraId="70CEEFD9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4DD45D34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1.133 (1.026-1.252)</w:t>
            </w:r>
          </w:p>
        </w:tc>
        <w:tc>
          <w:tcPr>
            <w:tcW w:w="2147" w:type="dxa"/>
          </w:tcPr>
          <w:p w14:paraId="67087A04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1.211 (1.096-1.339)</w:t>
            </w:r>
          </w:p>
        </w:tc>
      </w:tr>
      <w:tr w:rsidR="002A49FD" w:rsidRPr="00F211A0" w14:paraId="4E0E69E0" w14:textId="77777777" w:rsidTr="002A49FD">
        <w:trPr>
          <w:jc w:val="center"/>
        </w:trPr>
        <w:tc>
          <w:tcPr>
            <w:tcW w:w="3909" w:type="dxa"/>
          </w:tcPr>
          <w:p w14:paraId="1F1699C5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4</w:t>
            </w:r>
          </w:p>
        </w:tc>
        <w:tc>
          <w:tcPr>
            <w:tcW w:w="2194" w:type="dxa"/>
          </w:tcPr>
          <w:p w14:paraId="4115D98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1.106 (1.000-1.224)</w:t>
            </w:r>
          </w:p>
        </w:tc>
        <w:tc>
          <w:tcPr>
            <w:tcW w:w="2126" w:type="dxa"/>
          </w:tcPr>
          <w:p w14:paraId="7E4619E1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625BBBC8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1.134 (1.026-1.253)</w:t>
            </w:r>
          </w:p>
        </w:tc>
        <w:tc>
          <w:tcPr>
            <w:tcW w:w="2147" w:type="dxa"/>
          </w:tcPr>
          <w:p w14:paraId="743FC8F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1.212 (1.097-1.340)</w:t>
            </w:r>
          </w:p>
        </w:tc>
      </w:tr>
      <w:tr w:rsidR="002A49FD" w:rsidRPr="00F211A0" w14:paraId="094D4FF3" w14:textId="77777777" w:rsidTr="002A49FD">
        <w:trPr>
          <w:jc w:val="center"/>
        </w:trPr>
        <w:tc>
          <w:tcPr>
            <w:tcW w:w="3909" w:type="dxa"/>
          </w:tcPr>
          <w:p w14:paraId="1A0099CF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Atrioventricular block, N (%)</w:t>
            </w:r>
          </w:p>
        </w:tc>
        <w:tc>
          <w:tcPr>
            <w:tcW w:w="2194" w:type="dxa"/>
          </w:tcPr>
          <w:p w14:paraId="24194F1A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256 (1.29)</w:t>
            </w:r>
          </w:p>
        </w:tc>
        <w:tc>
          <w:tcPr>
            <w:tcW w:w="2126" w:type="dxa"/>
          </w:tcPr>
          <w:p w14:paraId="79FC550F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193 (0.94)</w:t>
            </w:r>
          </w:p>
        </w:tc>
        <w:tc>
          <w:tcPr>
            <w:tcW w:w="2126" w:type="dxa"/>
          </w:tcPr>
          <w:p w14:paraId="60581EA0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250 (1.16)</w:t>
            </w:r>
          </w:p>
        </w:tc>
        <w:tc>
          <w:tcPr>
            <w:tcW w:w="2147" w:type="dxa"/>
          </w:tcPr>
          <w:p w14:paraId="2F9BDBD5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250 (1.22)</w:t>
            </w:r>
          </w:p>
        </w:tc>
      </w:tr>
      <w:tr w:rsidR="002A49FD" w:rsidRPr="00F211A0" w14:paraId="6246F8E9" w14:textId="77777777" w:rsidTr="002A49FD">
        <w:trPr>
          <w:jc w:val="center"/>
        </w:trPr>
        <w:tc>
          <w:tcPr>
            <w:tcW w:w="3909" w:type="dxa"/>
          </w:tcPr>
          <w:p w14:paraId="7600E16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Incidence density (per 1000 persons-years)</w:t>
            </w:r>
          </w:p>
        </w:tc>
        <w:tc>
          <w:tcPr>
            <w:tcW w:w="2194" w:type="dxa"/>
          </w:tcPr>
          <w:p w14:paraId="1AD37114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1.203</w:t>
            </w:r>
          </w:p>
        </w:tc>
        <w:tc>
          <w:tcPr>
            <w:tcW w:w="2126" w:type="dxa"/>
          </w:tcPr>
          <w:p w14:paraId="3CA5C523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0.882</w:t>
            </w:r>
          </w:p>
        </w:tc>
        <w:tc>
          <w:tcPr>
            <w:tcW w:w="2126" w:type="dxa"/>
          </w:tcPr>
          <w:p w14:paraId="3E88A46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1.109</w:t>
            </w:r>
          </w:p>
        </w:tc>
        <w:tc>
          <w:tcPr>
            <w:tcW w:w="2147" w:type="dxa"/>
          </w:tcPr>
          <w:p w14:paraId="1B17272F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1.182</w:t>
            </w:r>
          </w:p>
        </w:tc>
      </w:tr>
      <w:tr w:rsidR="002A49FD" w:rsidRPr="00F211A0" w14:paraId="246146AE" w14:textId="77777777" w:rsidTr="002A49FD">
        <w:trPr>
          <w:jc w:val="center"/>
        </w:trPr>
        <w:tc>
          <w:tcPr>
            <w:tcW w:w="3909" w:type="dxa"/>
          </w:tcPr>
          <w:p w14:paraId="57C7DD6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1</w:t>
            </w:r>
          </w:p>
        </w:tc>
        <w:tc>
          <w:tcPr>
            <w:tcW w:w="2194" w:type="dxa"/>
          </w:tcPr>
          <w:p w14:paraId="2984D12B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1.293 (1.072-1.558)</w:t>
            </w:r>
          </w:p>
        </w:tc>
        <w:tc>
          <w:tcPr>
            <w:tcW w:w="2126" w:type="dxa"/>
          </w:tcPr>
          <w:p w14:paraId="67592CEB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631D2C74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1.263 (1.047-1.525)</w:t>
            </w:r>
          </w:p>
        </w:tc>
        <w:tc>
          <w:tcPr>
            <w:tcW w:w="2147" w:type="dxa"/>
          </w:tcPr>
          <w:p w14:paraId="713F4C5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1.310 (1.084-1.582)</w:t>
            </w:r>
          </w:p>
        </w:tc>
      </w:tr>
      <w:tr w:rsidR="002A49FD" w:rsidRPr="00F211A0" w14:paraId="285A7AE5" w14:textId="77777777" w:rsidTr="002A49FD">
        <w:trPr>
          <w:jc w:val="center"/>
        </w:trPr>
        <w:tc>
          <w:tcPr>
            <w:tcW w:w="3909" w:type="dxa"/>
          </w:tcPr>
          <w:p w14:paraId="42E1525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2</w:t>
            </w:r>
          </w:p>
        </w:tc>
        <w:tc>
          <w:tcPr>
            <w:tcW w:w="2194" w:type="dxa"/>
          </w:tcPr>
          <w:p w14:paraId="59216265" w14:textId="77777777" w:rsidR="002A49FD" w:rsidRPr="00F211A0" w:rsidRDefault="002A49FD" w:rsidP="002A49FD">
            <w:pPr>
              <w:jc w:val="left"/>
              <w:rPr>
                <w:color w:val="FF0000"/>
                <w:szCs w:val="21"/>
              </w:rPr>
            </w:pPr>
            <w:r w:rsidRPr="00F211A0">
              <w:rPr>
                <w:szCs w:val="21"/>
              </w:rPr>
              <w:t>1.291 (1.070-1.556)</w:t>
            </w:r>
          </w:p>
        </w:tc>
        <w:tc>
          <w:tcPr>
            <w:tcW w:w="2126" w:type="dxa"/>
          </w:tcPr>
          <w:p w14:paraId="70C8A7C3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5CD8D355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1.264 (1.055-1.536)</w:t>
            </w:r>
          </w:p>
        </w:tc>
        <w:tc>
          <w:tcPr>
            <w:tcW w:w="2147" w:type="dxa"/>
          </w:tcPr>
          <w:p w14:paraId="05304883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1.322 (1.094-1.582)</w:t>
            </w:r>
          </w:p>
        </w:tc>
      </w:tr>
      <w:tr w:rsidR="002A49FD" w:rsidRPr="00F211A0" w14:paraId="2508B478" w14:textId="77777777" w:rsidTr="002A49FD">
        <w:trPr>
          <w:jc w:val="center"/>
        </w:trPr>
        <w:tc>
          <w:tcPr>
            <w:tcW w:w="3909" w:type="dxa"/>
          </w:tcPr>
          <w:p w14:paraId="32296A99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3</w:t>
            </w:r>
          </w:p>
        </w:tc>
        <w:tc>
          <w:tcPr>
            <w:tcW w:w="2194" w:type="dxa"/>
          </w:tcPr>
          <w:p w14:paraId="79EB4D64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1.283 (1.064-1.547)</w:t>
            </w:r>
          </w:p>
        </w:tc>
        <w:tc>
          <w:tcPr>
            <w:tcW w:w="2126" w:type="dxa"/>
          </w:tcPr>
          <w:p w14:paraId="5304DF0D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7CEDDAF3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1.273 (1.054-1.535)</w:t>
            </w:r>
          </w:p>
        </w:tc>
        <w:tc>
          <w:tcPr>
            <w:tcW w:w="2147" w:type="dxa"/>
          </w:tcPr>
          <w:p w14:paraId="4BF58554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1.326 (1.097-1.602)</w:t>
            </w:r>
          </w:p>
        </w:tc>
      </w:tr>
      <w:tr w:rsidR="002A49FD" w:rsidRPr="00F211A0" w14:paraId="2D1DBF91" w14:textId="77777777" w:rsidTr="002A49FD">
        <w:trPr>
          <w:jc w:val="center"/>
        </w:trPr>
        <w:tc>
          <w:tcPr>
            <w:tcW w:w="3909" w:type="dxa"/>
          </w:tcPr>
          <w:p w14:paraId="5A0027F9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4</w:t>
            </w:r>
          </w:p>
        </w:tc>
        <w:tc>
          <w:tcPr>
            <w:tcW w:w="2194" w:type="dxa"/>
          </w:tcPr>
          <w:p w14:paraId="530A6721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1.282 (1.063-1.546)</w:t>
            </w:r>
          </w:p>
        </w:tc>
        <w:tc>
          <w:tcPr>
            <w:tcW w:w="2126" w:type="dxa"/>
          </w:tcPr>
          <w:p w14:paraId="51233780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4F151386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1.273 (1.055-1.537)</w:t>
            </w:r>
          </w:p>
        </w:tc>
        <w:tc>
          <w:tcPr>
            <w:tcW w:w="2147" w:type="dxa"/>
          </w:tcPr>
          <w:p w14:paraId="769AD65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1.325 (1.096-1.601)</w:t>
            </w:r>
          </w:p>
        </w:tc>
      </w:tr>
      <w:tr w:rsidR="002A49FD" w:rsidRPr="00F211A0" w14:paraId="5C60D744" w14:textId="77777777" w:rsidTr="002A49FD">
        <w:trPr>
          <w:jc w:val="center"/>
        </w:trPr>
        <w:tc>
          <w:tcPr>
            <w:tcW w:w="3909" w:type="dxa"/>
          </w:tcPr>
          <w:p w14:paraId="694AF02B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Right bundle branch block, N (%)</w:t>
            </w:r>
          </w:p>
        </w:tc>
        <w:tc>
          <w:tcPr>
            <w:tcW w:w="2194" w:type="dxa"/>
          </w:tcPr>
          <w:p w14:paraId="7AECA14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403 (2.02)</w:t>
            </w:r>
          </w:p>
        </w:tc>
        <w:tc>
          <w:tcPr>
            <w:tcW w:w="2126" w:type="dxa"/>
          </w:tcPr>
          <w:p w14:paraId="62F4CE3A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347 (1.68)</w:t>
            </w:r>
          </w:p>
        </w:tc>
        <w:tc>
          <w:tcPr>
            <w:tcW w:w="2126" w:type="dxa"/>
          </w:tcPr>
          <w:p w14:paraId="64987D61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407 (1.89)</w:t>
            </w:r>
          </w:p>
        </w:tc>
        <w:tc>
          <w:tcPr>
            <w:tcW w:w="2147" w:type="dxa"/>
          </w:tcPr>
          <w:p w14:paraId="490EEB2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349 (1.71)</w:t>
            </w:r>
          </w:p>
        </w:tc>
      </w:tr>
      <w:tr w:rsidR="002A49FD" w:rsidRPr="00F211A0" w14:paraId="558A6A22" w14:textId="77777777" w:rsidTr="002A49FD">
        <w:trPr>
          <w:jc w:val="center"/>
        </w:trPr>
        <w:tc>
          <w:tcPr>
            <w:tcW w:w="3909" w:type="dxa"/>
          </w:tcPr>
          <w:p w14:paraId="0A2F3535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Incidence density (per 1000 persons-years)</w:t>
            </w:r>
          </w:p>
        </w:tc>
        <w:tc>
          <w:tcPr>
            <w:tcW w:w="2194" w:type="dxa"/>
          </w:tcPr>
          <w:p w14:paraId="5018DC23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1.900</w:t>
            </w:r>
          </w:p>
        </w:tc>
        <w:tc>
          <w:tcPr>
            <w:tcW w:w="2126" w:type="dxa"/>
          </w:tcPr>
          <w:p w14:paraId="64C21928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1.591</w:t>
            </w:r>
          </w:p>
        </w:tc>
        <w:tc>
          <w:tcPr>
            <w:tcW w:w="2126" w:type="dxa"/>
          </w:tcPr>
          <w:p w14:paraId="054C09B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1.812</w:t>
            </w:r>
          </w:p>
        </w:tc>
        <w:tc>
          <w:tcPr>
            <w:tcW w:w="2147" w:type="dxa"/>
          </w:tcPr>
          <w:p w14:paraId="511CB64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1.653</w:t>
            </w:r>
          </w:p>
        </w:tc>
      </w:tr>
      <w:tr w:rsidR="002A49FD" w:rsidRPr="00F211A0" w14:paraId="534584C0" w14:textId="77777777" w:rsidTr="002A49FD">
        <w:trPr>
          <w:jc w:val="center"/>
        </w:trPr>
        <w:tc>
          <w:tcPr>
            <w:tcW w:w="3909" w:type="dxa"/>
          </w:tcPr>
          <w:p w14:paraId="3A16831A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1</w:t>
            </w:r>
          </w:p>
        </w:tc>
        <w:tc>
          <w:tcPr>
            <w:tcW w:w="2194" w:type="dxa"/>
          </w:tcPr>
          <w:p w14:paraId="0CB053BD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1.149 (0.995-1.326)</w:t>
            </w:r>
          </w:p>
        </w:tc>
        <w:tc>
          <w:tcPr>
            <w:tcW w:w="2126" w:type="dxa"/>
          </w:tcPr>
          <w:p w14:paraId="63894496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241920E9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1.151 (0.997-1.328)</w:t>
            </w:r>
          </w:p>
        </w:tc>
        <w:tc>
          <w:tcPr>
            <w:tcW w:w="2147" w:type="dxa"/>
          </w:tcPr>
          <w:p w14:paraId="73104C21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1.046 (0.901-1.215)</w:t>
            </w:r>
          </w:p>
        </w:tc>
      </w:tr>
      <w:tr w:rsidR="002A49FD" w:rsidRPr="00F211A0" w14:paraId="70CA6A79" w14:textId="77777777" w:rsidTr="002A49FD">
        <w:trPr>
          <w:jc w:val="center"/>
        </w:trPr>
        <w:tc>
          <w:tcPr>
            <w:tcW w:w="3909" w:type="dxa"/>
          </w:tcPr>
          <w:p w14:paraId="2D028FD8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2</w:t>
            </w:r>
          </w:p>
        </w:tc>
        <w:tc>
          <w:tcPr>
            <w:tcW w:w="2194" w:type="dxa"/>
          </w:tcPr>
          <w:p w14:paraId="56551FFE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1.148 (0.994-1.325)</w:t>
            </w:r>
          </w:p>
        </w:tc>
        <w:tc>
          <w:tcPr>
            <w:tcW w:w="2126" w:type="dxa"/>
          </w:tcPr>
          <w:p w14:paraId="1AB93AE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4F156B69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1.151 (0.998-1.329)</w:t>
            </w:r>
          </w:p>
        </w:tc>
        <w:tc>
          <w:tcPr>
            <w:tcW w:w="2147" w:type="dxa"/>
          </w:tcPr>
          <w:p w14:paraId="03C67D88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1.046 (0.901-1.215)</w:t>
            </w:r>
          </w:p>
        </w:tc>
      </w:tr>
      <w:tr w:rsidR="002A49FD" w:rsidRPr="00F211A0" w14:paraId="34ED62AE" w14:textId="77777777" w:rsidTr="002A49FD">
        <w:trPr>
          <w:jc w:val="center"/>
        </w:trPr>
        <w:tc>
          <w:tcPr>
            <w:tcW w:w="3909" w:type="dxa"/>
          </w:tcPr>
          <w:p w14:paraId="20639A45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3</w:t>
            </w:r>
          </w:p>
        </w:tc>
        <w:tc>
          <w:tcPr>
            <w:tcW w:w="2194" w:type="dxa"/>
          </w:tcPr>
          <w:p w14:paraId="28221BB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1.148 (0.995-1.326)</w:t>
            </w:r>
          </w:p>
        </w:tc>
        <w:tc>
          <w:tcPr>
            <w:tcW w:w="2126" w:type="dxa"/>
          </w:tcPr>
          <w:p w14:paraId="3F8DFC5E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4517878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1.153 (0.999-1.331)</w:t>
            </w:r>
          </w:p>
        </w:tc>
        <w:tc>
          <w:tcPr>
            <w:tcW w:w="2147" w:type="dxa"/>
          </w:tcPr>
          <w:p w14:paraId="32B716AB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1.048 (0.902-1.218)</w:t>
            </w:r>
          </w:p>
        </w:tc>
      </w:tr>
      <w:tr w:rsidR="002A49FD" w:rsidRPr="00F211A0" w14:paraId="18447368" w14:textId="77777777" w:rsidTr="002A49FD">
        <w:trPr>
          <w:jc w:val="center"/>
        </w:trPr>
        <w:tc>
          <w:tcPr>
            <w:tcW w:w="3909" w:type="dxa"/>
          </w:tcPr>
          <w:p w14:paraId="11EF8EC5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bookmarkStart w:id="2" w:name="_Hlk137918346"/>
            <w:r w:rsidRPr="00F211A0">
              <w:rPr>
                <w:szCs w:val="21"/>
              </w:rPr>
              <w:t>Model 4</w:t>
            </w:r>
          </w:p>
        </w:tc>
        <w:tc>
          <w:tcPr>
            <w:tcW w:w="2194" w:type="dxa"/>
          </w:tcPr>
          <w:p w14:paraId="2E44E213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1.148 (0.994-1.325)</w:t>
            </w:r>
          </w:p>
        </w:tc>
        <w:tc>
          <w:tcPr>
            <w:tcW w:w="2126" w:type="dxa"/>
          </w:tcPr>
          <w:p w14:paraId="23A1C9D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10C84BBE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1.154 (1.000-1.332)</w:t>
            </w:r>
          </w:p>
        </w:tc>
        <w:tc>
          <w:tcPr>
            <w:tcW w:w="2147" w:type="dxa"/>
          </w:tcPr>
          <w:p w14:paraId="6F0E7251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1.048 (0.902-1.218)</w:t>
            </w:r>
          </w:p>
        </w:tc>
      </w:tr>
      <w:bookmarkEnd w:id="2"/>
      <w:tr w:rsidR="002A49FD" w:rsidRPr="00F211A0" w14:paraId="204439D1" w14:textId="77777777" w:rsidTr="002A49FD">
        <w:trPr>
          <w:jc w:val="center"/>
        </w:trPr>
        <w:tc>
          <w:tcPr>
            <w:tcW w:w="3909" w:type="dxa"/>
          </w:tcPr>
          <w:p w14:paraId="150C1881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Left bundle branch block, N (%)</w:t>
            </w:r>
          </w:p>
        </w:tc>
        <w:tc>
          <w:tcPr>
            <w:tcW w:w="2194" w:type="dxa"/>
          </w:tcPr>
          <w:p w14:paraId="0C14B76D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  <w:lang w:bidi="ar"/>
              </w:rPr>
              <w:t>153 (0.77)</w:t>
            </w:r>
          </w:p>
        </w:tc>
        <w:tc>
          <w:tcPr>
            <w:tcW w:w="2126" w:type="dxa"/>
          </w:tcPr>
          <w:p w14:paraId="11CD8AA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  <w:lang w:bidi="ar"/>
              </w:rPr>
              <w:t>165 (0.80)</w:t>
            </w:r>
          </w:p>
        </w:tc>
        <w:tc>
          <w:tcPr>
            <w:tcW w:w="2126" w:type="dxa"/>
          </w:tcPr>
          <w:p w14:paraId="154D9332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  <w:lang w:bidi="ar"/>
              </w:rPr>
              <w:t>168 (0.78)</w:t>
            </w:r>
          </w:p>
        </w:tc>
        <w:tc>
          <w:tcPr>
            <w:tcW w:w="2147" w:type="dxa"/>
          </w:tcPr>
          <w:p w14:paraId="5C14AD2B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  <w:lang w:bidi="ar"/>
              </w:rPr>
              <w:t>214 (1.05)</w:t>
            </w:r>
          </w:p>
        </w:tc>
      </w:tr>
      <w:tr w:rsidR="002A49FD" w:rsidRPr="00F211A0" w14:paraId="3620C3F0" w14:textId="77777777" w:rsidTr="002A49FD">
        <w:trPr>
          <w:jc w:val="center"/>
        </w:trPr>
        <w:tc>
          <w:tcPr>
            <w:tcW w:w="3909" w:type="dxa"/>
          </w:tcPr>
          <w:p w14:paraId="746ACFAE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Incidence density (per 1000 persons-years)</w:t>
            </w:r>
          </w:p>
        </w:tc>
        <w:tc>
          <w:tcPr>
            <w:tcW w:w="2194" w:type="dxa"/>
          </w:tcPr>
          <w:p w14:paraId="40AE2E5D" w14:textId="77777777" w:rsidR="002A49FD" w:rsidRPr="00F211A0" w:rsidRDefault="002A49FD" w:rsidP="002A49FD">
            <w:pPr>
              <w:jc w:val="left"/>
              <w:rPr>
                <w:szCs w:val="21"/>
                <w:lang w:bidi="ar"/>
              </w:rPr>
            </w:pPr>
            <w:r w:rsidRPr="00F211A0">
              <w:rPr>
                <w:szCs w:val="21"/>
                <w:lang w:bidi="ar"/>
              </w:rPr>
              <w:t>0.718</w:t>
            </w:r>
          </w:p>
        </w:tc>
        <w:tc>
          <w:tcPr>
            <w:tcW w:w="2126" w:type="dxa"/>
          </w:tcPr>
          <w:p w14:paraId="75356BD7" w14:textId="77777777" w:rsidR="002A49FD" w:rsidRPr="00F211A0" w:rsidRDefault="002A49FD" w:rsidP="002A49FD">
            <w:pPr>
              <w:jc w:val="left"/>
              <w:rPr>
                <w:szCs w:val="21"/>
                <w:lang w:bidi="ar"/>
              </w:rPr>
            </w:pPr>
            <w:r w:rsidRPr="00F211A0">
              <w:rPr>
                <w:szCs w:val="21"/>
                <w:lang w:bidi="ar"/>
              </w:rPr>
              <w:t>0.754</w:t>
            </w:r>
          </w:p>
        </w:tc>
        <w:tc>
          <w:tcPr>
            <w:tcW w:w="2126" w:type="dxa"/>
          </w:tcPr>
          <w:p w14:paraId="1D7710F1" w14:textId="77777777" w:rsidR="002A49FD" w:rsidRPr="00F211A0" w:rsidRDefault="002A49FD" w:rsidP="002A49FD">
            <w:pPr>
              <w:jc w:val="left"/>
              <w:rPr>
                <w:szCs w:val="21"/>
                <w:lang w:bidi="ar"/>
              </w:rPr>
            </w:pPr>
            <w:r w:rsidRPr="00F211A0">
              <w:rPr>
                <w:szCs w:val="21"/>
                <w:lang w:bidi="ar"/>
              </w:rPr>
              <w:t>0.744</w:t>
            </w:r>
          </w:p>
        </w:tc>
        <w:tc>
          <w:tcPr>
            <w:tcW w:w="2147" w:type="dxa"/>
          </w:tcPr>
          <w:p w14:paraId="7BD1AE83" w14:textId="77777777" w:rsidR="002A49FD" w:rsidRPr="00F211A0" w:rsidRDefault="002A49FD" w:rsidP="002A49FD">
            <w:pPr>
              <w:jc w:val="left"/>
              <w:rPr>
                <w:szCs w:val="21"/>
                <w:lang w:bidi="ar"/>
              </w:rPr>
            </w:pPr>
            <w:r w:rsidRPr="00F211A0">
              <w:rPr>
                <w:szCs w:val="21"/>
                <w:lang w:bidi="ar"/>
              </w:rPr>
              <w:t>1.011</w:t>
            </w:r>
          </w:p>
        </w:tc>
      </w:tr>
      <w:tr w:rsidR="002A49FD" w:rsidRPr="00F211A0" w14:paraId="2D25A7F4" w14:textId="77777777" w:rsidTr="002A49FD">
        <w:trPr>
          <w:jc w:val="center"/>
        </w:trPr>
        <w:tc>
          <w:tcPr>
            <w:tcW w:w="3909" w:type="dxa"/>
          </w:tcPr>
          <w:p w14:paraId="22099AD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1</w:t>
            </w:r>
          </w:p>
        </w:tc>
        <w:tc>
          <w:tcPr>
            <w:tcW w:w="2194" w:type="dxa"/>
          </w:tcPr>
          <w:p w14:paraId="6585FCF9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0.918 (0.736-1.144)</w:t>
            </w:r>
          </w:p>
        </w:tc>
        <w:tc>
          <w:tcPr>
            <w:tcW w:w="2126" w:type="dxa"/>
          </w:tcPr>
          <w:p w14:paraId="6046D89D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18F0D80D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0.982 (0.792-1.218)</w:t>
            </w:r>
          </w:p>
        </w:tc>
        <w:tc>
          <w:tcPr>
            <w:tcW w:w="2147" w:type="dxa"/>
          </w:tcPr>
          <w:p w14:paraId="6A9D3C78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1.281 (1.044-1.572)</w:t>
            </w:r>
          </w:p>
        </w:tc>
      </w:tr>
      <w:tr w:rsidR="002A49FD" w:rsidRPr="00F211A0" w14:paraId="4E680944" w14:textId="77777777" w:rsidTr="002A49FD">
        <w:trPr>
          <w:jc w:val="center"/>
        </w:trPr>
        <w:tc>
          <w:tcPr>
            <w:tcW w:w="3909" w:type="dxa"/>
          </w:tcPr>
          <w:p w14:paraId="18A905BF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2</w:t>
            </w:r>
          </w:p>
        </w:tc>
        <w:tc>
          <w:tcPr>
            <w:tcW w:w="2194" w:type="dxa"/>
          </w:tcPr>
          <w:p w14:paraId="274E3C84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0.919 (0.737-1.145)</w:t>
            </w:r>
          </w:p>
        </w:tc>
        <w:tc>
          <w:tcPr>
            <w:tcW w:w="2126" w:type="dxa"/>
          </w:tcPr>
          <w:p w14:paraId="7F745C68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2E09F46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0.982 (0.792-1.217)</w:t>
            </w:r>
          </w:p>
        </w:tc>
        <w:tc>
          <w:tcPr>
            <w:tcW w:w="2147" w:type="dxa"/>
          </w:tcPr>
          <w:p w14:paraId="4EF2A9C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1.278 (1.041-1.568)</w:t>
            </w:r>
          </w:p>
        </w:tc>
      </w:tr>
      <w:tr w:rsidR="002A49FD" w:rsidRPr="00F211A0" w14:paraId="5355EE3D" w14:textId="77777777" w:rsidTr="002A49FD">
        <w:trPr>
          <w:jc w:val="center"/>
        </w:trPr>
        <w:tc>
          <w:tcPr>
            <w:tcW w:w="3909" w:type="dxa"/>
          </w:tcPr>
          <w:p w14:paraId="0838449B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3</w:t>
            </w:r>
          </w:p>
        </w:tc>
        <w:tc>
          <w:tcPr>
            <w:tcW w:w="2194" w:type="dxa"/>
          </w:tcPr>
          <w:p w14:paraId="71ACAC0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0.923 (0.741-1.151)</w:t>
            </w:r>
          </w:p>
        </w:tc>
        <w:tc>
          <w:tcPr>
            <w:tcW w:w="2126" w:type="dxa"/>
          </w:tcPr>
          <w:p w14:paraId="08513BFA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</w:tcPr>
          <w:p w14:paraId="2F76A3CA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0.976 (0.787-1.210)</w:t>
            </w:r>
          </w:p>
        </w:tc>
        <w:tc>
          <w:tcPr>
            <w:tcW w:w="2147" w:type="dxa"/>
          </w:tcPr>
          <w:p w14:paraId="7576382C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1.261 (1.027-1.549)</w:t>
            </w:r>
          </w:p>
        </w:tc>
      </w:tr>
      <w:tr w:rsidR="002A49FD" w:rsidRPr="00F211A0" w14:paraId="73993BD2" w14:textId="77777777" w:rsidTr="002A49FD">
        <w:trPr>
          <w:jc w:val="center"/>
        </w:trPr>
        <w:tc>
          <w:tcPr>
            <w:tcW w:w="3909" w:type="dxa"/>
            <w:tcBorders>
              <w:bottom w:val="single" w:sz="4" w:space="0" w:color="auto"/>
            </w:tcBorders>
          </w:tcPr>
          <w:p w14:paraId="22A1768D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bookmarkStart w:id="3" w:name="_Hlk137919316"/>
            <w:r w:rsidRPr="00F211A0">
              <w:rPr>
                <w:szCs w:val="21"/>
              </w:rPr>
              <w:t>Model 4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74DB14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0.924 (0.741-1.151)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96B127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17267F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0.976 (0.787-1.210)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D2C9D3F" w14:textId="77777777" w:rsidR="002A49FD" w:rsidRPr="00F211A0" w:rsidRDefault="002A49FD" w:rsidP="002A49FD">
            <w:pPr>
              <w:jc w:val="left"/>
              <w:rPr>
                <w:szCs w:val="21"/>
              </w:rPr>
            </w:pPr>
            <w:bookmarkStart w:id="4" w:name="_Hlk140324377"/>
            <w:r w:rsidRPr="00F211A0">
              <w:rPr>
                <w:szCs w:val="21"/>
              </w:rPr>
              <w:t>1.261 (1.027-1.548)</w:t>
            </w:r>
            <w:bookmarkEnd w:id="4"/>
          </w:p>
        </w:tc>
      </w:tr>
      <w:bookmarkEnd w:id="3"/>
      <w:tr w:rsidR="002A49FD" w:rsidRPr="002A49FD" w14:paraId="7FCE1D6B" w14:textId="77777777" w:rsidTr="002A49FD">
        <w:trPr>
          <w:jc w:val="center"/>
        </w:trPr>
        <w:tc>
          <w:tcPr>
            <w:tcW w:w="12502" w:type="dxa"/>
            <w:gridSpan w:val="5"/>
            <w:tcBorders>
              <w:top w:val="single" w:sz="4" w:space="0" w:color="auto"/>
              <w:bottom w:val="nil"/>
            </w:tcBorders>
          </w:tcPr>
          <w:p w14:paraId="7C0FA8DD" w14:textId="5C0FEBA5" w:rsidR="002A49FD" w:rsidRPr="00F211A0" w:rsidRDefault="002A49FD" w:rsidP="002A49FD">
            <w:r w:rsidRPr="00F211A0">
              <w:rPr>
                <w:szCs w:val="21"/>
              </w:rPr>
              <w:t>Model 1 adjusted for age and sex. Model 2 adjusted for variables in model 1 and smoking, alcohol consumption, body mass index, and physical activity. Model 3 adjusted for variables in model 2 and</w:t>
            </w:r>
            <w:r w:rsidRPr="00F211A0">
              <w:t xml:space="preserve"> </w:t>
            </w:r>
            <w:r w:rsidRPr="00F211A0">
              <w:rPr>
                <w:szCs w:val="21"/>
              </w:rPr>
              <w:t>diabetes, hypertension, hyperlipidemia, eGFR, hs-CRP, and snoring. Model 4 adjusted for variables in model 3 and antihypertensive, lipid-lowering and glucose-lowering drugs.</w:t>
            </w:r>
            <w:r>
              <w:rPr>
                <w:rFonts w:hint="eastAsia"/>
                <w:szCs w:val="21"/>
              </w:rPr>
              <w:t xml:space="preserve"> Q</w:t>
            </w:r>
            <w:r>
              <w:rPr>
                <w:szCs w:val="21"/>
              </w:rPr>
              <w:t>1:</w:t>
            </w:r>
            <w:r w:rsidRPr="00F211A0">
              <w:rPr>
                <w:szCs w:val="21"/>
              </w:rPr>
              <w:t xml:space="preserve"> </w:t>
            </w:r>
            <w:r>
              <w:rPr>
                <w:szCs w:val="21"/>
              </w:rPr>
              <w:t>MLR</w:t>
            </w:r>
            <w:r w:rsidRPr="00F211A0">
              <w:rPr>
                <w:szCs w:val="21"/>
              </w:rPr>
              <w:t>&lt;0.125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2:</w:t>
            </w:r>
            <w:r w:rsidRPr="00F211A0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MLR </w:t>
            </w:r>
            <w:r w:rsidRPr="00C3739C">
              <w:rPr>
                <w:szCs w:val="21"/>
              </w:rPr>
              <w:t>0.125-0.167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3:</w:t>
            </w:r>
            <w:r w:rsidRPr="00F211A0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MLR </w:t>
            </w:r>
            <w:r w:rsidRPr="00F211A0">
              <w:rPr>
                <w:szCs w:val="21"/>
              </w:rPr>
              <w:t>0.167-0.219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4:</w:t>
            </w:r>
            <w:r w:rsidRPr="00F211A0">
              <w:rPr>
                <w:szCs w:val="21"/>
              </w:rPr>
              <w:t xml:space="preserve"> </w:t>
            </w:r>
            <w:r>
              <w:rPr>
                <w:szCs w:val="21"/>
              </w:rPr>
              <w:t>MLR</w:t>
            </w:r>
            <w:r w:rsidRPr="00F211A0">
              <w:rPr>
                <w:szCs w:val="21"/>
              </w:rPr>
              <w:t>≥0.219</w:t>
            </w:r>
            <w:r>
              <w:rPr>
                <w:szCs w:val="21"/>
              </w:rPr>
              <w:t xml:space="preserve">; </w:t>
            </w:r>
            <w:r w:rsidRPr="00AC624B">
              <w:t xml:space="preserve">Abbreviation: </w:t>
            </w:r>
            <w:r w:rsidRPr="00F211A0">
              <w:t>MLR, monocyte to lymphocyte ratio; hs-CRP, high-sensitivity C-reactive protein</w:t>
            </w:r>
            <w:r>
              <w:t xml:space="preserve">; </w:t>
            </w:r>
            <w:r w:rsidRPr="00F211A0">
              <w:t>eGFR</w:t>
            </w:r>
            <w:r>
              <w:t>,</w:t>
            </w:r>
            <w:r w:rsidRPr="00F211A0">
              <w:t xml:space="preserve"> estimated glomerular filtration rate</w:t>
            </w:r>
            <w:r>
              <w:t xml:space="preserve">; </w:t>
            </w:r>
            <w:r>
              <w:lastRenderedPageBreak/>
              <w:t>Ref, reference</w:t>
            </w:r>
            <w:r>
              <w:rPr>
                <w:rFonts w:hint="eastAsia"/>
              </w:rPr>
              <w:t>;</w:t>
            </w:r>
            <w:r>
              <w:t xml:space="preserve"> </w:t>
            </w:r>
            <w:r w:rsidRPr="00C3739C">
              <w:t>HR, hazard ratio</w:t>
            </w:r>
            <w:r>
              <w:t xml:space="preserve"> and</w:t>
            </w:r>
            <w:r w:rsidRPr="00C3739C">
              <w:t xml:space="preserve"> CI</w:t>
            </w:r>
            <w:r>
              <w:t xml:space="preserve">, </w:t>
            </w:r>
            <w:r w:rsidRPr="00C3739C">
              <w:t>confidence interval.</w:t>
            </w:r>
          </w:p>
        </w:tc>
      </w:tr>
    </w:tbl>
    <w:p w14:paraId="648A12E8" w14:textId="77777777" w:rsidR="005D723A" w:rsidRDefault="005D723A" w:rsidP="005D723A">
      <w:pPr>
        <w:widowControl/>
        <w:jc w:val="center"/>
        <w:rPr>
          <w:rFonts w:ascii="Times New Roman" w:eastAsia="DengXian" w:hAnsi="Times New Roman" w:cs="Times New Roman"/>
          <w:color w:val="000000"/>
          <w:kern w:val="0"/>
          <w:szCs w:val="21"/>
        </w:rPr>
      </w:pPr>
    </w:p>
    <w:p w14:paraId="214B8AE2" w14:textId="3DBA2802" w:rsidR="005D723A" w:rsidRPr="00F211A0" w:rsidRDefault="005D723A" w:rsidP="002A49FD">
      <w:pPr>
        <w:widowControl/>
        <w:jc w:val="center"/>
        <w:rPr>
          <w:rFonts w:ascii="Times New Roman" w:eastAsia="DengXian" w:hAnsi="Times New Roman" w:cs="Times New Roman"/>
          <w:color w:val="000000"/>
          <w:kern w:val="0"/>
          <w:szCs w:val="21"/>
        </w:rPr>
      </w:pPr>
      <w:r>
        <w:rPr>
          <w:rFonts w:ascii="Times New Roman" w:eastAsia="DengXian" w:hAnsi="Times New Roman" w:cs="Times New Roman"/>
          <w:color w:val="000000"/>
          <w:kern w:val="0"/>
          <w:szCs w:val="21"/>
        </w:rPr>
        <w:br w:type="page"/>
      </w:r>
      <w:r w:rsidRPr="00CF3862">
        <w:rPr>
          <w:rFonts w:ascii="Times New Roman" w:eastAsia="DengXian" w:hAnsi="Times New Roman" w:cs="Times New Roman"/>
          <w:color w:val="000000"/>
          <w:kern w:val="0"/>
          <w:szCs w:val="21"/>
        </w:rPr>
        <w:lastRenderedPageBreak/>
        <w:t xml:space="preserve">Supplementary Table </w:t>
      </w:r>
      <w:r>
        <w:rPr>
          <w:rFonts w:ascii="Times New Roman" w:eastAsia="DengXian" w:hAnsi="Times New Roman" w:cs="Times New Roman"/>
          <w:color w:val="000000"/>
          <w:kern w:val="0"/>
          <w:szCs w:val="21"/>
        </w:rPr>
        <w:t>3</w:t>
      </w:r>
      <w:r w:rsidRPr="00CF3862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. Associations between the level of MLR and the risk of </w:t>
      </w:r>
      <w:r>
        <w:rPr>
          <w:rFonts w:ascii="Times New Roman" w:eastAsia="DengXian" w:hAnsi="Times New Roman" w:cs="Times New Roman"/>
          <w:color w:val="000000"/>
          <w:kern w:val="0"/>
          <w:szCs w:val="21"/>
        </w:rPr>
        <w:t>LBBB</w:t>
      </w:r>
    </w:p>
    <w:bookmarkEnd w:id="0"/>
    <w:tbl>
      <w:tblPr>
        <w:tblStyle w:val="TableGrid"/>
        <w:tblW w:w="1482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1504"/>
        <w:gridCol w:w="2268"/>
        <w:gridCol w:w="2268"/>
        <w:gridCol w:w="2274"/>
        <w:gridCol w:w="1291"/>
        <w:gridCol w:w="1979"/>
      </w:tblGrid>
      <w:tr w:rsidR="005D723A" w:rsidRPr="00F211A0" w14:paraId="545D65CC" w14:textId="77777777" w:rsidTr="00126FFC">
        <w:trPr>
          <w:trHeight w:val="254"/>
          <w:jc w:val="center"/>
        </w:trPr>
        <w:tc>
          <w:tcPr>
            <w:tcW w:w="3245" w:type="dxa"/>
            <w:vMerge w:val="restart"/>
          </w:tcPr>
          <w:p w14:paraId="6A1BC110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8314" w:type="dxa"/>
            <w:gridSpan w:val="4"/>
            <w:tcBorders>
              <w:bottom w:val="single" w:sz="4" w:space="0" w:color="auto"/>
            </w:tcBorders>
          </w:tcPr>
          <w:p w14:paraId="45CA6F29" w14:textId="75E50AA6" w:rsidR="005D723A" w:rsidRPr="00F211A0" w:rsidRDefault="002A49FD" w:rsidP="00126FFC">
            <w:pPr>
              <w:jc w:val="center"/>
              <w:rPr>
                <w:szCs w:val="21"/>
              </w:rPr>
            </w:pPr>
            <w:r w:rsidRPr="00C3739C">
              <w:rPr>
                <w:color w:val="000000"/>
                <w:lang w:bidi="ar"/>
              </w:rPr>
              <w:t>HR (95% CI)</w:t>
            </w:r>
          </w:p>
        </w:tc>
        <w:tc>
          <w:tcPr>
            <w:tcW w:w="1291" w:type="dxa"/>
            <w:vMerge w:val="restart"/>
          </w:tcPr>
          <w:p w14:paraId="02174467" w14:textId="77777777" w:rsidR="005D723A" w:rsidRPr="00F211A0" w:rsidRDefault="005D723A" w:rsidP="00126FFC">
            <w:pPr>
              <w:jc w:val="left"/>
              <w:rPr>
                <w:i/>
                <w:iCs/>
                <w:color w:val="000000"/>
                <w:lang w:bidi="ar"/>
              </w:rPr>
            </w:pPr>
          </w:p>
          <w:p w14:paraId="51A7C1FD" w14:textId="77777777" w:rsidR="005D723A" w:rsidRPr="00F211A0" w:rsidRDefault="005D723A" w:rsidP="00126FFC">
            <w:pPr>
              <w:jc w:val="left"/>
              <w:rPr>
                <w:color w:val="000000"/>
                <w:lang w:bidi="ar"/>
              </w:rPr>
            </w:pPr>
            <w:r w:rsidRPr="00F211A0">
              <w:rPr>
                <w:i/>
                <w:iCs/>
                <w:color w:val="000000"/>
                <w:lang w:bidi="ar"/>
              </w:rPr>
              <w:t>P</w:t>
            </w:r>
            <w:r w:rsidRPr="00F211A0">
              <w:rPr>
                <w:color w:val="000000"/>
                <w:vertAlign w:val="subscript"/>
                <w:lang w:bidi="ar"/>
              </w:rPr>
              <w:t>fortrend</w:t>
            </w:r>
          </w:p>
        </w:tc>
        <w:tc>
          <w:tcPr>
            <w:tcW w:w="1979" w:type="dxa"/>
            <w:vMerge w:val="restart"/>
          </w:tcPr>
          <w:p w14:paraId="2BC9E4F3" w14:textId="77777777" w:rsidR="005D723A" w:rsidRPr="00F211A0" w:rsidRDefault="005D723A" w:rsidP="00126FFC">
            <w:pPr>
              <w:jc w:val="left"/>
              <w:rPr>
                <w:color w:val="000000"/>
                <w:lang w:bidi="ar"/>
              </w:rPr>
            </w:pPr>
          </w:p>
          <w:p w14:paraId="7B61072E" w14:textId="77777777" w:rsidR="005D723A" w:rsidRPr="00F211A0" w:rsidRDefault="005D723A" w:rsidP="00126FFC">
            <w:pPr>
              <w:jc w:val="left"/>
              <w:rPr>
                <w:color w:val="000000"/>
                <w:lang w:bidi="ar"/>
              </w:rPr>
            </w:pPr>
            <w:r w:rsidRPr="00F211A0">
              <w:rPr>
                <w:color w:val="000000"/>
                <w:lang w:bidi="ar"/>
              </w:rPr>
              <w:t>Per 1 Risk-factor Control</w:t>
            </w:r>
          </w:p>
        </w:tc>
      </w:tr>
      <w:tr w:rsidR="005D723A" w:rsidRPr="00F211A0" w14:paraId="30CBF958" w14:textId="77777777" w:rsidTr="00126FFC">
        <w:trPr>
          <w:jc w:val="center"/>
        </w:trPr>
        <w:tc>
          <w:tcPr>
            <w:tcW w:w="3245" w:type="dxa"/>
            <w:vMerge/>
            <w:tcBorders>
              <w:bottom w:val="single" w:sz="4" w:space="0" w:color="auto"/>
            </w:tcBorders>
          </w:tcPr>
          <w:p w14:paraId="1E172724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7945565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0EEFCB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123FFE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Q3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14:paraId="632E0036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Q4</w:t>
            </w: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14:paraId="76CB0B14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6674FAF2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</w:tr>
      <w:tr w:rsidR="005D723A" w:rsidRPr="00F211A0" w14:paraId="1B755ADF" w14:textId="77777777" w:rsidTr="00126FFC">
        <w:trPr>
          <w:jc w:val="center"/>
        </w:trPr>
        <w:tc>
          <w:tcPr>
            <w:tcW w:w="3245" w:type="dxa"/>
          </w:tcPr>
          <w:p w14:paraId="1C29803C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color w:val="000000"/>
                <w:szCs w:val="21"/>
                <w:lang w:bidi="ar"/>
              </w:rPr>
              <w:t>MLR score</w:t>
            </w:r>
          </w:p>
        </w:tc>
        <w:tc>
          <w:tcPr>
            <w:tcW w:w="1504" w:type="dxa"/>
          </w:tcPr>
          <w:p w14:paraId="7F293A69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&lt;0.125</w:t>
            </w:r>
          </w:p>
        </w:tc>
        <w:tc>
          <w:tcPr>
            <w:tcW w:w="2268" w:type="dxa"/>
          </w:tcPr>
          <w:p w14:paraId="6BB2CC52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0.125-0.167</w:t>
            </w:r>
          </w:p>
        </w:tc>
        <w:tc>
          <w:tcPr>
            <w:tcW w:w="2268" w:type="dxa"/>
          </w:tcPr>
          <w:p w14:paraId="4555617F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0.167-0.219</w:t>
            </w:r>
          </w:p>
        </w:tc>
        <w:tc>
          <w:tcPr>
            <w:tcW w:w="2274" w:type="dxa"/>
          </w:tcPr>
          <w:p w14:paraId="778A1AC7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≥0.219</w:t>
            </w:r>
          </w:p>
        </w:tc>
        <w:tc>
          <w:tcPr>
            <w:tcW w:w="1291" w:type="dxa"/>
          </w:tcPr>
          <w:p w14:paraId="083235BD" w14:textId="77777777" w:rsidR="005D723A" w:rsidRPr="00F211A0" w:rsidRDefault="005D723A" w:rsidP="00126FFC">
            <w:pPr>
              <w:widowControl/>
              <w:rPr>
                <w:szCs w:val="21"/>
              </w:rPr>
            </w:pPr>
          </w:p>
        </w:tc>
        <w:tc>
          <w:tcPr>
            <w:tcW w:w="1979" w:type="dxa"/>
          </w:tcPr>
          <w:p w14:paraId="09444770" w14:textId="77777777" w:rsidR="005D723A" w:rsidRPr="00F211A0" w:rsidRDefault="005D723A" w:rsidP="00126FFC">
            <w:pPr>
              <w:widowControl/>
              <w:rPr>
                <w:szCs w:val="21"/>
              </w:rPr>
            </w:pPr>
          </w:p>
        </w:tc>
      </w:tr>
      <w:tr w:rsidR="005D723A" w:rsidRPr="00F211A0" w14:paraId="38F48DF3" w14:textId="77777777" w:rsidTr="00126FFC">
        <w:trPr>
          <w:jc w:val="center"/>
        </w:trPr>
        <w:tc>
          <w:tcPr>
            <w:tcW w:w="3245" w:type="dxa"/>
          </w:tcPr>
          <w:p w14:paraId="002BE5EC" w14:textId="77777777" w:rsidR="005D723A" w:rsidRPr="00F211A0" w:rsidRDefault="005D723A" w:rsidP="00126FFC">
            <w:pPr>
              <w:widowControl/>
              <w:rPr>
                <w:color w:val="FF0000"/>
                <w:szCs w:val="21"/>
              </w:rPr>
            </w:pPr>
            <w:r w:rsidRPr="00F211A0">
              <w:rPr>
                <w:szCs w:val="21"/>
              </w:rPr>
              <w:t>Left bundle branch block</w:t>
            </w:r>
          </w:p>
        </w:tc>
        <w:tc>
          <w:tcPr>
            <w:tcW w:w="1504" w:type="dxa"/>
          </w:tcPr>
          <w:p w14:paraId="2F203819" w14:textId="77777777" w:rsidR="005D723A" w:rsidRPr="00F211A0" w:rsidRDefault="005D723A" w:rsidP="00126FFC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</w:tcPr>
          <w:p w14:paraId="0214D4C1" w14:textId="77777777" w:rsidR="005D723A" w:rsidRPr="00F211A0" w:rsidRDefault="005D723A" w:rsidP="00126FFC">
            <w:pPr>
              <w:widowControl/>
              <w:rPr>
                <w:szCs w:val="21"/>
              </w:rPr>
            </w:pPr>
          </w:p>
        </w:tc>
        <w:tc>
          <w:tcPr>
            <w:tcW w:w="2268" w:type="dxa"/>
          </w:tcPr>
          <w:p w14:paraId="74329E6B" w14:textId="77777777" w:rsidR="005D723A" w:rsidRPr="00F211A0" w:rsidRDefault="005D723A" w:rsidP="00126FFC">
            <w:pPr>
              <w:widowControl/>
              <w:rPr>
                <w:szCs w:val="21"/>
              </w:rPr>
            </w:pPr>
          </w:p>
        </w:tc>
        <w:tc>
          <w:tcPr>
            <w:tcW w:w="2274" w:type="dxa"/>
          </w:tcPr>
          <w:p w14:paraId="54F45274" w14:textId="77777777" w:rsidR="005D723A" w:rsidRPr="00F211A0" w:rsidRDefault="005D723A" w:rsidP="00126FFC">
            <w:pPr>
              <w:widowControl/>
              <w:rPr>
                <w:szCs w:val="21"/>
              </w:rPr>
            </w:pPr>
          </w:p>
        </w:tc>
        <w:tc>
          <w:tcPr>
            <w:tcW w:w="1291" w:type="dxa"/>
          </w:tcPr>
          <w:p w14:paraId="3C0C05FB" w14:textId="77777777" w:rsidR="005D723A" w:rsidRPr="00F211A0" w:rsidRDefault="005D723A" w:rsidP="00126FFC">
            <w:pPr>
              <w:widowControl/>
              <w:rPr>
                <w:szCs w:val="21"/>
              </w:rPr>
            </w:pPr>
          </w:p>
        </w:tc>
        <w:tc>
          <w:tcPr>
            <w:tcW w:w="1979" w:type="dxa"/>
          </w:tcPr>
          <w:p w14:paraId="344E3FDB" w14:textId="77777777" w:rsidR="005D723A" w:rsidRPr="00F211A0" w:rsidRDefault="005D723A" w:rsidP="00126FFC">
            <w:pPr>
              <w:widowControl/>
              <w:rPr>
                <w:szCs w:val="21"/>
              </w:rPr>
            </w:pPr>
          </w:p>
        </w:tc>
      </w:tr>
      <w:tr w:rsidR="005D723A" w:rsidRPr="00F211A0" w14:paraId="6146FFC9" w14:textId="77777777" w:rsidTr="00126FFC">
        <w:trPr>
          <w:jc w:val="center"/>
        </w:trPr>
        <w:tc>
          <w:tcPr>
            <w:tcW w:w="3245" w:type="dxa"/>
            <w:tcBorders>
              <w:top w:val="nil"/>
              <w:bottom w:val="single" w:sz="4" w:space="0" w:color="auto"/>
            </w:tcBorders>
          </w:tcPr>
          <w:p w14:paraId="18F67181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 xml:space="preserve">Model </w:t>
            </w:r>
          </w:p>
        </w:tc>
        <w:tc>
          <w:tcPr>
            <w:tcW w:w="1504" w:type="dxa"/>
            <w:tcBorders>
              <w:top w:val="nil"/>
              <w:bottom w:val="single" w:sz="4" w:space="0" w:color="auto"/>
            </w:tcBorders>
          </w:tcPr>
          <w:p w14:paraId="416D2D9E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47BD261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1.083 (0.869-1.349)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D428DC1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1.056 (0.848-1.316)</w:t>
            </w:r>
          </w:p>
        </w:tc>
        <w:tc>
          <w:tcPr>
            <w:tcW w:w="2274" w:type="dxa"/>
            <w:tcBorders>
              <w:top w:val="nil"/>
              <w:bottom w:val="single" w:sz="4" w:space="0" w:color="auto"/>
            </w:tcBorders>
          </w:tcPr>
          <w:p w14:paraId="2D451FFF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1.365 (1.106-1.685)</w:t>
            </w:r>
          </w:p>
        </w:tc>
        <w:tc>
          <w:tcPr>
            <w:tcW w:w="1291" w:type="dxa"/>
            <w:tcBorders>
              <w:top w:val="nil"/>
              <w:bottom w:val="single" w:sz="4" w:space="0" w:color="auto"/>
            </w:tcBorders>
          </w:tcPr>
          <w:p w14:paraId="4FE94F47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&lt;0.05</w:t>
            </w: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4493483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3.05 (1.520-6.118)</w:t>
            </w:r>
          </w:p>
        </w:tc>
      </w:tr>
      <w:tr w:rsidR="005D723A" w:rsidRPr="00F211A0" w14:paraId="12393244" w14:textId="77777777" w:rsidTr="00126FFC">
        <w:trPr>
          <w:jc w:val="center"/>
        </w:trPr>
        <w:tc>
          <w:tcPr>
            <w:tcW w:w="14829" w:type="dxa"/>
            <w:gridSpan w:val="7"/>
            <w:tcBorders>
              <w:top w:val="single" w:sz="4" w:space="0" w:color="auto"/>
              <w:bottom w:val="nil"/>
            </w:tcBorders>
          </w:tcPr>
          <w:p w14:paraId="7BCFA1A0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adjusted for age, sex, smoking, alcohol consumption, body mass index, physical activity, diabetes, hypertension, hyperlipidemia, eGFR, hs-CRP, snoring, antihypertensive, lipid-lowering and glucose-lowering drugs.</w:t>
            </w:r>
          </w:p>
          <w:p w14:paraId="67786EA2" w14:textId="6891AD3E" w:rsidR="005D723A" w:rsidRPr="00F211A0" w:rsidRDefault="00AC624B" w:rsidP="00126FFC">
            <w:pPr>
              <w:jc w:val="left"/>
              <w:rPr>
                <w:szCs w:val="21"/>
              </w:rPr>
            </w:pPr>
            <w:r w:rsidRPr="00AC624B">
              <w:t xml:space="preserve">Abbreviation: </w:t>
            </w:r>
            <w:r w:rsidR="005D723A" w:rsidRPr="00F211A0">
              <w:t>MLR, monocyte to lymphocyte ratio; hs-CRP, high-sensitivity C-reactive protein</w:t>
            </w:r>
            <w:r w:rsidR="00986F56">
              <w:t xml:space="preserve">; </w:t>
            </w:r>
            <w:r w:rsidR="00986F56" w:rsidRPr="00F211A0">
              <w:t>eGFR</w:t>
            </w:r>
            <w:r w:rsidR="00986F56">
              <w:t>,</w:t>
            </w:r>
            <w:r w:rsidR="00986F56" w:rsidRPr="00F211A0">
              <w:t xml:space="preserve"> estimated glomerular filtration rate</w:t>
            </w:r>
            <w:r w:rsidR="00986F56">
              <w:t>; Ref, reference</w:t>
            </w:r>
            <w:r w:rsidR="00986F56">
              <w:rPr>
                <w:rFonts w:hint="eastAsia"/>
              </w:rPr>
              <w:t>;</w:t>
            </w:r>
            <w:r w:rsidR="00986F56">
              <w:t xml:space="preserve"> </w:t>
            </w:r>
            <w:r w:rsidR="00986F56" w:rsidRPr="00C3739C">
              <w:t>HR, hazard ratio</w:t>
            </w:r>
            <w:r w:rsidR="00986F56">
              <w:t xml:space="preserve"> and</w:t>
            </w:r>
            <w:r w:rsidR="00986F56" w:rsidRPr="00C3739C">
              <w:t xml:space="preserve"> CI</w:t>
            </w:r>
            <w:r w:rsidR="00986F56">
              <w:t xml:space="preserve">, </w:t>
            </w:r>
            <w:r w:rsidR="00986F56" w:rsidRPr="00C3739C">
              <w:t>confidence interval.</w:t>
            </w:r>
          </w:p>
        </w:tc>
      </w:tr>
    </w:tbl>
    <w:p w14:paraId="374A2662" w14:textId="77777777" w:rsidR="005D723A" w:rsidRPr="00F211A0" w:rsidRDefault="005D723A" w:rsidP="005D723A">
      <w:pPr>
        <w:rPr>
          <w:rFonts w:ascii="Times New Roman" w:eastAsia="SimSun" w:hAnsi="Times New Roman" w:cs="Times New Roman"/>
        </w:rPr>
      </w:pPr>
    </w:p>
    <w:p w14:paraId="32AF429D" w14:textId="77777777" w:rsidR="005D723A" w:rsidRPr="00F211A0" w:rsidRDefault="005D723A" w:rsidP="005D723A">
      <w:pPr>
        <w:rPr>
          <w:rFonts w:ascii="Times New Roman" w:eastAsia="SimSun" w:hAnsi="Times New Roman" w:cs="Times New Roman"/>
        </w:rPr>
      </w:pPr>
    </w:p>
    <w:p w14:paraId="089B3FAE" w14:textId="77777777" w:rsidR="005D723A" w:rsidRPr="00F211A0" w:rsidRDefault="005D723A" w:rsidP="005D723A">
      <w:pPr>
        <w:widowControl/>
        <w:jc w:val="center"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CF3862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Supplementary Table </w:t>
      </w:r>
      <w:r>
        <w:rPr>
          <w:rFonts w:ascii="Times New Roman" w:eastAsia="DengXian" w:hAnsi="Times New Roman" w:cs="Times New Roman"/>
          <w:color w:val="000000"/>
          <w:kern w:val="0"/>
          <w:szCs w:val="21"/>
        </w:rPr>
        <w:t>4</w:t>
      </w:r>
      <w:r w:rsidRPr="00CF3862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. Associations between the level of </w:t>
      </w:r>
      <w:r w:rsidRPr="00F211A0">
        <w:rPr>
          <w:rFonts w:ascii="Times New Roman" w:eastAsia="SimSun" w:hAnsi="Times New Roman" w:cs="Times New Roman"/>
        </w:rPr>
        <w:t>MC and LC</w:t>
      </w:r>
      <w:r w:rsidRPr="00CF3862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 and the risk of </w:t>
      </w:r>
      <w:r>
        <w:rPr>
          <w:rFonts w:ascii="Times New Roman" w:eastAsia="DengXian" w:hAnsi="Times New Roman" w:cs="Times New Roman"/>
          <w:color w:val="000000"/>
          <w:kern w:val="0"/>
          <w:szCs w:val="21"/>
        </w:rPr>
        <w:t>CCB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026"/>
        <w:gridCol w:w="2020"/>
        <w:gridCol w:w="1985"/>
        <w:gridCol w:w="2063"/>
      </w:tblGrid>
      <w:tr w:rsidR="005D723A" w:rsidRPr="00F211A0" w14:paraId="6CC8700D" w14:textId="77777777" w:rsidTr="00126FFC">
        <w:trPr>
          <w:trHeight w:val="396"/>
          <w:jc w:val="center"/>
        </w:trPr>
        <w:tc>
          <w:tcPr>
            <w:tcW w:w="3339" w:type="dxa"/>
            <w:tcBorders>
              <w:bottom w:val="single" w:sz="4" w:space="0" w:color="auto"/>
            </w:tcBorders>
          </w:tcPr>
          <w:p w14:paraId="46E6A3FE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Cardiac conduction block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77AE5266" w14:textId="77777777" w:rsidR="005D723A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1</w:t>
            </w:r>
          </w:p>
          <w:p w14:paraId="192E2071" w14:textId="48F1ED34" w:rsidR="00986F56" w:rsidRPr="00F211A0" w:rsidRDefault="00986F56" w:rsidP="00126FFC">
            <w:pPr>
              <w:jc w:val="left"/>
              <w:rPr>
                <w:szCs w:val="21"/>
              </w:rPr>
            </w:pPr>
            <w:r w:rsidRPr="00C3739C">
              <w:rPr>
                <w:color w:val="000000"/>
                <w:lang w:bidi="ar"/>
              </w:rPr>
              <w:t>HR (95% CI)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35D88D06" w14:textId="77777777" w:rsidR="005D723A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2</w:t>
            </w:r>
          </w:p>
          <w:p w14:paraId="199F4860" w14:textId="4FA6DE32" w:rsidR="00986F56" w:rsidRPr="00F211A0" w:rsidRDefault="00986F56" w:rsidP="00126FFC">
            <w:pPr>
              <w:jc w:val="left"/>
              <w:rPr>
                <w:szCs w:val="21"/>
              </w:rPr>
            </w:pPr>
            <w:r w:rsidRPr="00C3739C">
              <w:rPr>
                <w:color w:val="000000"/>
                <w:lang w:bidi="ar"/>
              </w:rPr>
              <w:t>HR (95% CI)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09ADF1" w14:textId="77777777" w:rsidR="005D723A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3</w:t>
            </w:r>
          </w:p>
          <w:p w14:paraId="0EA83CA1" w14:textId="3562D81C" w:rsidR="00986F56" w:rsidRPr="00F211A0" w:rsidRDefault="00986F56" w:rsidP="00126FFC">
            <w:pPr>
              <w:jc w:val="left"/>
              <w:rPr>
                <w:szCs w:val="21"/>
              </w:rPr>
            </w:pPr>
            <w:r w:rsidRPr="00C3739C">
              <w:rPr>
                <w:color w:val="000000"/>
                <w:lang w:bidi="ar"/>
              </w:rPr>
              <w:t>HR (95% CI)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1349A22" w14:textId="77777777" w:rsidR="005D723A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 4</w:t>
            </w:r>
          </w:p>
          <w:p w14:paraId="672AB757" w14:textId="5A09B270" w:rsidR="00986F56" w:rsidRPr="00F211A0" w:rsidRDefault="00986F56" w:rsidP="00126FFC">
            <w:pPr>
              <w:jc w:val="left"/>
              <w:rPr>
                <w:szCs w:val="21"/>
              </w:rPr>
            </w:pPr>
            <w:r w:rsidRPr="00C3739C">
              <w:rPr>
                <w:color w:val="000000"/>
                <w:lang w:bidi="ar"/>
              </w:rPr>
              <w:t>HR (95% CI)</w:t>
            </w:r>
          </w:p>
        </w:tc>
      </w:tr>
      <w:tr w:rsidR="005D723A" w:rsidRPr="00F211A0" w14:paraId="04081D0C" w14:textId="77777777" w:rsidTr="00126FFC">
        <w:trPr>
          <w:trHeight w:val="170"/>
          <w:jc w:val="center"/>
        </w:trPr>
        <w:tc>
          <w:tcPr>
            <w:tcW w:w="3339" w:type="dxa"/>
            <w:tcBorders>
              <w:top w:val="single" w:sz="4" w:space="0" w:color="auto"/>
              <w:bottom w:val="nil"/>
            </w:tcBorders>
          </w:tcPr>
          <w:p w14:paraId="607F8EB1" w14:textId="3D0E51C5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MC</w:t>
            </w:r>
            <w:r w:rsidR="00AF332B">
              <w:rPr>
                <w:szCs w:val="21"/>
              </w:rPr>
              <w:t xml:space="preserve"> (</w:t>
            </w:r>
            <w:r w:rsidR="00AF332B" w:rsidRPr="00F211A0">
              <w:rPr>
                <w:szCs w:val="21"/>
              </w:rPr>
              <w:t>10</w:t>
            </w:r>
            <w:r w:rsidR="00AF332B" w:rsidRPr="00F211A0">
              <w:rPr>
                <w:szCs w:val="21"/>
                <w:vertAlign w:val="superscript"/>
              </w:rPr>
              <w:t>9</w:t>
            </w:r>
            <w:r w:rsidR="00AF332B" w:rsidRPr="00F211A0">
              <w:rPr>
                <w:szCs w:val="21"/>
              </w:rPr>
              <w:t>/L</w:t>
            </w:r>
            <w:r w:rsidR="00AF332B">
              <w:rPr>
                <w:szCs w:val="21"/>
              </w:rPr>
              <w:t>)</w:t>
            </w:r>
          </w:p>
        </w:tc>
        <w:tc>
          <w:tcPr>
            <w:tcW w:w="2026" w:type="dxa"/>
            <w:tcBorders>
              <w:top w:val="single" w:sz="4" w:space="0" w:color="auto"/>
              <w:bottom w:val="nil"/>
            </w:tcBorders>
          </w:tcPr>
          <w:p w14:paraId="189212C4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14:paraId="36E6A359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915655F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</w:tcPr>
          <w:p w14:paraId="54DED7C2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</w:tr>
      <w:tr w:rsidR="005D723A" w:rsidRPr="00F211A0" w14:paraId="5D243BF2" w14:textId="77777777" w:rsidTr="00126FFC">
        <w:trPr>
          <w:trHeight w:val="68"/>
          <w:jc w:val="center"/>
        </w:trPr>
        <w:tc>
          <w:tcPr>
            <w:tcW w:w="3339" w:type="dxa"/>
            <w:tcBorders>
              <w:top w:val="nil"/>
            </w:tcBorders>
          </w:tcPr>
          <w:p w14:paraId="464F1A98" w14:textId="073F5D39" w:rsidR="005D723A" w:rsidRPr="00F211A0" w:rsidRDefault="00986F56" w:rsidP="00126FF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&lt;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</w:p>
        </w:tc>
        <w:tc>
          <w:tcPr>
            <w:tcW w:w="2026" w:type="dxa"/>
            <w:tcBorders>
              <w:top w:val="nil"/>
            </w:tcBorders>
          </w:tcPr>
          <w:p w14:paraId="63BC0CC3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020" w:type="dxa"/>
            <w:tcBorders>
              <w:top w:val="nil"/>
            </w:tcBorders>
          </w:tcPr>
          <w:p w14:paraId="404282F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1985" w:type="dxa"/>
            <w:tcBorders>
              <w:top w:val="nil"/>
            </w:tcBorders>
          </w:tcPr>
          <w:p w14:paraId="52A7D7D6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063" w:type="dxa"/>
            <w:tcBorders>
              <w:top w:val="nil"/>
            </w:tcBorders>
          </w:tcPr>
          <w:p w14:paraId="0C1001DD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</w:tr>
      <w:tr w:rsidR="005D723A" w:rsidRPr="00F211A0" w14:paraId="77ED2478" w14:textId="77777777" w:rsidTr="00126FFC">
        <w:trPr>
          <w:jc w:val="center"/>
        </w:trPr>
        <w:tc>
          <w:tcPr>
            <w:tcW w:w="3339" w:type="dxa"/>
          </w:tcPr>
          <w:p w14:paraId="521CA9C0" w14:textId="24E80F6D" w:rsidR="005D723A" w:rsidRPr="00F211A0" w:rsidRDefault="00986F56" w:rsidP="00126F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.3-0.4</w:t>
            </w:r>
          </w:p>
        </w:tc>
        <w:tc>
          <w:tcPr>
            <w:tcW w:w="2026" w:type="dxa"/>
          </w:tcPr>
          <w:p w14:paraId="30A907BD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1.008 (0.911-1.115)</w:t>
            </w:r>
          </w:p>
        </w:tc>
        <w:tc>
          <w:tcPr>
            <w:tcW w:w="2020" w:type="dxa"/>
          </w:tcPr>
          <w:p w14:paraId="5F9AA118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1.007 (0.910-1.113)</w:t>
            </w:r>
          </w:p>
        </w:tc>
        <w:tc>
          <w:tcPr>
            <w:tcW w:w="1985" w:type="dxa"/>
          </w:tcPr>
          <w:p w14:paraId="4A2301D7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1.006 (0.910-1.113)</w:t>
            </w:r>
          </w:p>
        </w:tc>
        <w:tc>
          <w:tcPr>
            <w:tcW w:w="2063" w:type="dxa"/>
          </w:tcPr>
          <w:p w14:paraId="3C0A7311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1.006 (0.910-1.113)</w:t>
            </w:r>
          </w:p>
        </w:tc>
      </w:tr>
      <w:tr w:rsidR="005D723A" w:rsidRPr="00F211A0" w14:paraId="5A661C07" w14:textId="77777777" w:rsidTr="00126FFC">
        <w:trPr>
          <w:jc w:val="center"/>
        </w:trPr>
        <w:tc>
          <w:tcPr>
            <w:tcW w:w="3339" w:type="dxa"/>
          </w:tcPr>
          <w:p w14:paraId="5F9D12DE" w14:textId="75A49984" w:rsidR="005D723A" w:rsidRPr="00F211A0" w:rsidRDefault="00986F56" w:rsidP="00126F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.4-0.5</w:t>
            </w:r>
          </w:p>
        </w:tc>
        <w:tc>
          <w:tcPr>
            <w:tcW w:w="2026" w:type="dxa"/>
          </w:tcPr>
          <w:p w14:paraId="27E9B17B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1.100 (1.001-1.209)</w:t>
            </w:r>
          </w:p>
        </w:tc>
        <w:tc>
          <w:tcPr>
            <w:tcW w:w="2020" w:type="dxa"/>
          </w:tcPr>
          <w:p w14:paraId="4B4A8590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1.101 (1.002-1.210)</w:t>
            </w:r>
          </w:p>
        </w:tc>
        <w:tc>
          <w:tcPr>
            <w:tcW w:w="1985" w:type="dxa"/>
          </w:tcPr>
          <w:p w14:paraId="04F2C2E7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1.096 (0.997-1.205)</w:t>
            </w:r>
          </w:p>
        </w:tc>
        <w:tc>
          <w:tcPr>
            <w:tcW w:w="2063" w:type="dxa"/>
          </w:tcPr>
          <w:p w14:paraId="702BC65F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1.097 (0.997-1.206)</w:t>
            </w:r>
          </w:p>
        </w:tc>
      </w:tr>
      <w:tr w:rsidR="005D723A" w:rsidRPr="00F211A0" w14:paraId="141808C1" w14:textId="77777777" w:rsidTr="00126FFC">
        <w:trPr>
          <w:jc w:val="center"/>
        </w:trPr>
        <w:tc>
          <w:tcPr>
            <w:tcW w:w="3339" w:type="dxa"/>
          </w:tcPr>
          <w:p w14:paraId="1A4E1994" w14:textId="46A263C0" w:rsidR="005D723A" w:rsidRPr="00F211A0" w:rsidRDefault="00986F56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≥0</w:t>
            </w:r>
            <w:r>
              <w:rPr>
                <w:szCs w:val="21"/>
              </w:rPr>
              <w:t>.5</w:t>
            </w:r>
          </w:p>
        </w:tc>
        <w:tc>
          <w:tcPr>
            <w:tcW w:w="2026" w:type="dxa"/>
          </w:tcPr>
          <w:p w14:paraId="4137FED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1.025 (0.919-1.143)</w:t>
            </w:r>
          </w:p>
        </w:tc>
        <w:tc>
          <w:tcPr>
            <w:tcW w:w="2020" w:type="dxa"/>
          </w:tcPr>
          <w:p w14:paraId="1C390B53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1.024 (0.918-1.142)</w:t>
            </w:r>
          </w:p>
        </w:tc>
        <w:tc>
          <w:tcPr>
            <w:tcW w:w="1985" w:type="dxa"/>
          </w:tcPr>
          <w:p w14:paraId="53743AFB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1.018 (0.912-1.137)</w:t>
            </w:r>
          </w:p>
        </w:tc>
        <w:tc>
          <w:tcPr>
            <w:tcW w:w="2063" w:type="dxa"/>
          </w:tcPr>
          <w:p w14:paraId="2D078221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1.020 (0.913-1.138)</w:t>
            </w:r>
          </w:p>
        </w:tc>
      </w:tr>
      <w:tr w:rsidR="005D723A" w:rsidRPr="00F211A0" w14:paraId="5E351FF9" w14:textId="77777777" w:rsidTr="00126FFC">
        <w:trPr>
          <w:jc w:val="center"/>
        </w:trPr>
        <w:tc>
          <w:tcPr>
            <w:tcW w:w="3339" w:type="dxa"/>
          </w:tcPr>
          <w:p w14:paraId="791482A4" w14:textId="61F3CD0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LC</w:t>
            </w:r>
            <w:r w:rsidR="00AF332B">
              <w:rPr>
                <w:szCs w:val="21"/>
              </w:rPr>
              <w:t xml:space="preserve"> (</w:t>
            </w:r>
            <w:r w:rsidR="00AF332B" w:rsidRPr="00F211A0">
              <w:rPr>
                <w:szCs w:val="21"/>
              </w:rPr>
              <w:t>10</w:t>
            </w:r>
            <w:r w:rsidR="00AF332B" w:rsidRPr="00F211A0">
              <w:rPr>
                <w:szCs w:val="21"/>
                <w:vertAlign w:val="superscript"/>
              </w:rPr>
              <w:t>9</w:t>
            </w:r>
            <w:r w:rsidR="00AF332B" w:rsidRPr="00F211A0">
              <w:rPr>
                <w:szCs w:val="21"/>
              </w:rPr>
              <w:t>/L</w:t>
            </w:r>
            <w:r w:rsidR="00AF332B">
              <w:rPr>
                <w:szCs w:val="21"/>
              </w:rPr>
              <w:t>)</w:t>
            </w:r>
          </w:p>
        </w:tc>
        <w:tc>
          <w:tcPr>
            <w:tcW w:w="2026" w:type="dxa"/>
          </w:tcPr>
          <w:p w14:paraId="22E4C611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2020" w:type="dxa"/>
          </w:tcPr>
          <w:p w14:paraId="3D8F30A6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14:paraId="394A2C2B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2063" w:type="dxa"/>
          </w:tcPr>
          <w:p w14:paraId="6D8D3B9E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</w:tr>
      <w:tr w:rsidR="00986F56" w:rsidRPr="00F211A0" w14:paraId="3CE7BA3C" w14:textId="77777777" w:rsidTr="00126FFC">
        <w:trPr>
          <w:jc w:val="center"/>
        </w:trPr>
        <w:tc>
          <w:tcPr>
            <w:tcW w:w="3339" w:type="dxa"/>
          </w:tcPr>
          <w:p w14:paraId="37186BCC" w14:textId="1A580931" w:rsidR="00986F56" w:rsidRPr="00F211A0" w:rsidRDefault="00986F56" w:rsidP="00986F5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&lt;1.8</w:t>
            </w:r>
          </w:p>
        </w:tc>
        <w:tc>
          <w:tcPr>
            <w:tcW w:w="2026" w:type="dxa"/>
          </w:tcPr>
          <w:p w14:paraId="3EEC50DE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1.015 (0.922-1.118)</w:t>
            </w:r>
          </w:p>
        </w:tc>
        <w:tc>
          <w:tcPr>
            <w:tcW w:w="2020" w:type="dxa"/>
          </w:tcPr>
          <w:p w14:paraId="0AE733BC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1.016 (0.922-1.118)</w:t>
            </w:r>
          </w:p>
        </w:tc>
        <w:tc>
          <w:tcPr>
            <w:tcW w:w="1985" w:type="dxa"/>
          </w:tcPr>
          <w:p w14:paraId="62B87A07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1.017 (0.924-1.120)</w:t>
            </w:r>
          </w:p>
        </w:tc>
        <w:tc>
          <w:tcPr>
            <w:tcW w:w="2063" w:type="dxa"/>
          </w:tcPr>
          <w:p w14:paraId="5A2E4A5D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1.017 (0.923-1.120)</w:t>
            </w:r>
          </w:p>
        </w:tc>
      </w:tr>
      <w:tr w:rsidR="00986F56" w:rsidRPr="00F211A0" w14:paraId="44D8E8BB" w14:textId="77777777" w:rsidTr="00126FFC">
        <w:trPr>
          <w:jc w:val="center"/>
        </w:trPr>
        <w:tc>
          <w:tcPr>
            <w:tcW w:w="3339" w:type="dxa"/>
          </w:tcPr>
          <w:p w14:paraId="20E07195" w14:textId="4EF68EC7" w:rsidR="00986F56" w:rsidRPr="00F211A0" w:rsidRDefault="00986F56" w:rsidP="00986F5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1.8-2.2</w:t>
            </w:r>
          </w:p>
        </w:tc>
        <w:tc>
          <w:tcPr>
            <w:tcW w:w="2026" w:type="dxa"/>
          </w:tcPr>
          <w:p w14:paraId="5D72162D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020" w:type="dxa"/>
          </w:tcPr>
          <w:p w14:paraId="7CC9AD43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1985" w:type="dxa"/>
          </w:tcPr>
          <w:p w14:paraId="6008D946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063" w:type="dxa"/>
          </w:tcPr>
          <w:p w14:paraId="4E844F09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</w:tr>
      <w:tr w:rsidR="00986F56" w:rsidRPr="00F211A0" w14:paraId="505A8676" w14:textId="77777777" w:rsidTr="00126FFC">
        <w:trPr>
          <w:jc w:val="center"/>
        </w:trPr>
        <w:tc>
          <w:tcPr>
            <w:tcW w:w="3339" w:type="dxa"/>
          </w:tcPr>
          <w:p w14:paraId="50652D51" w14:textId="45EDB663" w:rsidR="00986F56" w:rsidRPr="00F211A0" w:rsidRDefault="00986F56" w:rsidP="00986F5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2.2-2.7</w:t>
            </w:r>
          </w:p>
        </w:tc>
        <w:tc>
          <w:tcPr>
            <w:tcW w:w="2026" w:type="dxa"/>
          </w:tcPr>
          <w:p w14:paraId="54885F08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1.026 (0.926-1.136)</w:t>
            </w:r>
          </w:p>
        </w:tc>
        <w:tc>
          <w:tcPr>
            <w:tcW w:w="2020" w:type="dxa"/>
          </w:tcPr>
          <w:p w14:paraId="0EB2913F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1.025 (0.926-1.136)</w:t>
            </w:r>
          </w:p>
        </w:tc>
        <w:tc>
          <w:tcPr>
            <w:tcW w:w="1985" w:type="dxa"/>
          </w:tcPr>
          <w:p w14:paraId="737AE178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1.024 (0.925-1.134)</w:t>
            </w:r>
          </w:p>
        </w:tc>
        <w:tc>
          <w:tcPr>
            <w:tcW w:w="2063" w:type="dxa"/>
          </w:tcPr>
          <w:p w14:paraId="4C28B2A7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1.024 (0.925-1.134)</w:t>
            </w:r>
          </w:p>
        </w:tc>
      </w:tr>
      <w:tr w:rsidR="00986F56" w:rsidRPr="00F211A0" w14:paraId="2C5DA69B" w14:textId="77777777" w:rsidTr="00126FFC">
        <w:trPr>
          <w:jc w:val="center"/>
        </w:trPr>
        <w:tc>
          <w:tcPr>
            <w:tcW w:w="3339" w:type="dxa"/>
            <w:tcBorders>
              <w:bottom w:val="single" w:sz="4" w:space="0" w:color="auto"/>
            </w:tcBorders>
          </w:tcPr>
          <w:p w14:paraId="3BE535E2" w14:textId="4B7AD718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≥</w:t>
            </w:r>
            <w:r>
              <w:rPr>
                <w:szCs w:val="21"/>
              </w:rPr>
              <w:t>2.7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6350F0D9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1.022 (0.928-1.126)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33349531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1.023 (0.928-1.126)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4C42E9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1.021 (0.927-1.124)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1FAF8A69" w14:textId="77777777" w:rsidR="00986F56" w:rsidRPr="00F211A0" w:rsidRDefault="00986F56" w:rsidP="00986F56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1.021 (0.927-1.125)</w:t>
            </w:r>
          </w:p>
        </w:tc>
      </w:tr>
      <w:tr w:rsidR="005D723A" w:rsidRPr="00F211A0" w14:paraId="21BB00EA" w14:textId="77777777" w:rsidTr="00126FFC">
        <w:trPr>
          <w:jc w:val="center"/>
        </w:trPr>
        <w:tc>
          <w:tcPr>
            <w:tcW w:w="11433" w:type="dxa"/>
            <w:gridSpan w:val="5"/>
            <w:tcBorders>
              <w:top w:val="single" w:sz="4" w:space="0" w:color="auto"/>
              <w:bottom w:val="nil"/>
            </w:tcBorders>
          </w:tcPr>
          <w:p w14:paraId="1FCD453A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szCs w:val="21"/>
              </w:rPr>
              <w:t>Model 1 adjusted for age and sex. Model 2 adjusted for variables in model 1 and smoking, alcohol consumption, body mass index, and physical activity. Model 3 adjusted for variables in model 2 and</w:t>
            </w:r>
            <w:r w:rsidRPr="00F211A0">
              <w:t xml:space="preserve"> </w:t>
            </w:r>
            <w:r w:rsidRPr="00F211A0">
              <w:rPr>
                <w:szCs w:val="21"/>
              </w:rPr>
              <w:t>diabetes, hypertension, hyperlipidemia, eGFR, hs-CRP, and snoring. Model 4 adjusted for variables in model 3 and antihypertensive, lipid-lowering and glucose-lowering drugs.</w:t>
            </w:r>
          </w:p>
          <w:p w14:paraId="20E58F66" w14:textId="77761494" w:rsidR="005D723A" w:rsidRPr="00F211A0" w:rsidRDefault="00AC624B" w:rsidP="00126FFC">
            <w:pPr>
              <w:jc w:val="left"/>
              <w:rPr>
                <w:szCs w:val="21"/>
              </w:rPr>
            </w:pPr>
            <w:r w:rsidRPr="00AC624B">
              <w:t xml:space="preserve">Abbreviation: </w:t>
            </w:r>
            <w:r w:rsidR="005D723A" w:rsidRPr="00F211A0">
              <w:t>MC, monocyte count; LC, lymphocyte count; hs-CRP, high-sensitivity C-reactive protein and eGFR indicates estimated glomerular filtration rate.</w:t>
            </w:r>
          </w:p>
        </w:tc>
      </w:tr>
    </w:tbl>
    <w:p w14:paraId="1E1EE814" w14:textId="74CFFB2A" w:rsidR="005D723A" w:rsidRDefault="005D723A" w:rsidP="005D723A">
      <w:pPr>
        <w:rPr>
          <w:rFonts w:ascii="Times New Roman" w:eastAsia="SimSun" w:hAnsi="Times New Roman" w:cs="Times New Roman"/>
        </w:rPr>
      </w:pPr>
    </w:p>
    <w:p w14:paraId="69E37A9C" w14:textId="77777777" w:rsidR="005D723A" w:rsidRDefault="005D723A">
      <w:pPr>
        <w:widowControl/>
        <w:jc w:val="left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br w:type="page"/>
      </w:r>
    </w:p>
    <w:p w14:paraId="22B9FD4B" w14:textId="30BACFA8" w:rsidR="005D723A" w:rsidRPr="00F211A0" w:rsidRDefault="005D723A" w:rsidP="005D723A">
      <w:pPr>
        <w:widowControl/>
        <w:jc w:val="center"/>
        <w:rPr>
          <w:rFonts w:ascii="Times New Roman" w:eastAsia="DengXian" w:hAnsi="Times New Roman" w:cs="Times New Roman"/>
          <w:color w:val="000000"/>
          <w:kern w:val="0"/>
          <w:szCs w:val="21"/>
        </w:rPr>
      </w:pPr>
      <w:r w:rsidRPr="00F211A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Supplemental Table </w:t>
      </w:r>
      <w:r w:rsidRPr="00F211A0">
        <w:rPr>
          <w:rFonts w:ascii="Times New Roman" w:eastAsia="SimSun" w:hAnsi="Times New Roman" w:cs="Times New Roman"/>
        </w:rPr>
        <w:t>5. Sensitive analysis</w:t>
      </w:r>
      <w:r w:rsidRPr="00F211A0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 for the association of different MLR groups with risk of cardiac conduction block</w:t>
      </w:r>
    </w:p>
    <w:tbl>
      <w:tblPr>
        <w:tblStyle w:val="TableGrid"/>
        <w:tblW w:w="1281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2017"/>
        <w:gridCol w:w="1784"/>
        <w:gridCol w:w="2302"/>
        <w:gridCol w:w="2174"/>
      </w:tblGrid>
      <w:tr w:rsidR="005D723A" w:rsidRPr="00F211A0" w14:paraId="3629105D" w14:textId="77777777" w:rsidTr="00126FFC">
        <w:trPr>
          <w:trHeight w:val="254"/>
          <w:jc w:val="center"/>
        </w:trPr>
        <w:tc>
          <w:tcPr>
            <w:tcW w:w="4540" w:type="dxa"/>
            <w:vMerge w:val="restart"/>
            <w:tcBorders>
              <w:top w:val="single" w:sz="4" w:space="0" w:color="auto"/>
            </w:tcBorders>
          </w:tcPr>
          <w:p w14:paraId="5436D84C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</w:p>
          <w:p w14:paraId="5714C256" w14:textId="77777777" w:rsidR="005D723A" w:rsidRPr="00F211A0" w:rsidRDefault="005D723A" w:rsidP="00126FFC">
            <w:pPr>
              <w:jc w:val="center"/>
              <w:rPr>
                <w:szCs w:val="21"/>
              </w:rPr>
            </w:pPr>
            <w:r w:rsidRPr="00F211A0">
              <w:rPr>
                <w:szCs w:val="21"/>
              </w:rPr>
              <w:t>Cardiac conduction block</w:t>
            </w:r>
          </w:p>
        </w:tc>
        <w:tc>
          <w:tcPr>
            <w:tcW w:w="8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703834" w14:textId="03FD486A" w:rsidR="005D723A" w:rsidRPr="00F211A0" w:rsidRDefault="00986F56" w:rsidP="00126FFC">
            <w:pPr>
              <w:jc w:val="center"/>
              <w:rPr>
                <w:szCs w:val="21"/>
              </w:rPr>
            </w:pPr>
            <w:r w:rsidRPr="00C3739C">
              <w:rPr>
                <w:color w:val="000000"/>
                <w:lang w:bidi="ar"/>
              </w:rPr>
              <w:t>HR (95% CI)</w:t>
            </w:r>
          </w:p>
        </w:tc>
      </w:tr>
      <w:tr w:rsidR="005D723A" w:rsidRPr="00F211A0" w14:paraId="0B8F4EFB" w14:textId="77777777" w:rsidTr="00126FFC">
        <w:trPr>
          <w:jc w:val="center"/>
        </w:trPr>
        <w:tc>
          <w:tcPr>
            <w:tcW w:w="4540" w:type="dxa"/>
            <w:vMerge/>
            <w:tcBorders>
              <w:bottom w:val="single" w:sz="4" w:space="0" w:color="auto"/>
            </w:tcBorders>
          </w:tcPr>
          <w:p w14:paraId="606581B8" w14:textId="77777777" w:rsidR="005D723A" w:rsidRPr="00F211A0" w:rsidRDefault="005D723A" w:rsidP="00126FFC">
            <w:pPr>
              <w:jc w:val="left"/>
              <w:rPr>
                <w:szCs w:val="21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312E6A0E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Q1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5CA75860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Q2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1AF64B0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Q3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75A9BB9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Q4</w:t>
            </w:r>
          </w:p>
        </w:tc>
      </w:tr>
      <w:tr w:rsidR="005D723A" w:rsidRPr="00F211A0" w14:paraId="4085162C" w14:textId="77777777" w:rsidTr="00126FFC">
        <w:trPr>
          <w:trHeight w:val="302"/>
          <w:jc w:val="center"/>
        </w:trPr>
        <w:tc>
          <w:tcPr>
            <w:tcW w:w="4540" w:type="dxa"/>
            <w:tcBorders>
              <w:top w:val="single" w:sz="4" w:space="0" w:color="auto"/>
              <w:bottom w:val="nil"/>
            </w:tcBorders>
          </w:tcPr>
          <w:p w14:paraId="13D597AD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color w:val="000000"/>
                <w:szCs w:val="21"/>
                <w:lang w:bidi="ar"/>
              </w:rPr>
              <w:t>MLR score</w:t>
            </w:r>
          </w:p>
        </w:tc>
        <w:tc>
          <w:tcPr>
            <w:tcW w:w="2017" w:type="dxa"/>
            <w:tcBorders>
              <w:top w:val="single" w:sz="4" w:space="0" w:color="auto"/>
              <w:bottom w:val="nil"/>
            </w:tcBorders>
          </w:tcPr>
          <w:p w14:paraId="04288CEF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&lt;0.125</w:t>
            </w: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14:paraId="22B3726F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0.125-0.167</w:t>
            </w:r>
          </w:p>
        </w:tc>
        <w:tc>
          <w:tcPr>
            <w:tcW w:w="2302" w:type="dxa"/>
            <w:tcBorders>
              <w:top w:val="single" w:sz="4" w:space="0" w:color="auto"/>
              <w:bottom w:val="nil"/>
            </w:tcBorders>
          </w:tcPr>
          <w:p w14:paraId="5939DC59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0.167-0.219</w:t>
            </w: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</w:tcPr>
          <w:p w14:paraId="1BC71BE0" w14:textId="77777777" w:rsidR="005D723A" w:rsidRPr="00F211A0" w:rsidRDefault="005D723A" w:rsidP="00126FFC">
            <w:pPr>
              <w:widowControl/>
              <w:rPr>
                <w:szCs w:val="21"/>
              </w:rPr>
            </w:pPr>
            <w:r w:rsidRPr="00F211A0">
              <w:rPr>
                <w:szCs w:val="21"/>
              </w:rPr>
              <w:t>≥0.219</w:t>
            </w:r>
          </w:p>
        </w:tc>
      </w:tr>
      <w:tr w:rsidR="005D723A" w:rsidRPr="00F211A0" w14:paraId="08B85D67" w14:textId="77777777" w:rsidTr="00126FFC">
        <w:trPr>
          <w:jc w:val="center"/>
        </w:trPr>
        <w:tc>
          <w:tcPr>
            <w:tcW w:w="4540" w:type="dxa"/>
            <w:tcBorders>
              <w:top w:val="nil"/>
              <w:bottom w:val="nil"/>
            </w:tcBorders>
          </w:tcPr>
          <w:p w14:paraId="4CB07FD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bookmarkStart w:id="5" w:name="_Hlk133006803"/>
            <w:r w:rsidRPr="00F211A0">
              <w:rPr>
                <w:szCs w:val="21"/>
              </w:rPr>
              <w:t>Model</w:t>
            </w:r>
            <w:r>
              <w:rPr>
                <w:szCs w:val="21"/>
              </w:rPr>
              <w:t xml:space="preserve"> 1</w:t>
            </w:r>
            <w:r w:rsidRPr="00F211A0">
              <w:rPr>
                <w:szCs w:val="21"/>
                <w:vertAlign w:val="superscript"/>
              </w:rPr>
              <w:t>a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2A25E7A6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1.115 (1.002-1.239)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B34A526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7DB04E1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1.097 (0.986-1.220)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6FB187E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1.195 (1.074-1.328)</w:t>
            </w:r>
          </w:p>
        </w:tc>
      </w:tr>
      <w:tr w:rsidR="005D723A" w:rsidRPr="00F211A0" w14:paraId="4BF95CB2" w14:textId="77777777" w:rsidTr="00126FFC">
        <w:trPr>
          <w:jc w:val="center"/>
        </w:trPr>
        <w:tc>
          <w:tcPr>
            <w:tcW w:w="4540" w:type="dxa"/>
            <w:tcBorders>
              <w:top w:val="nil"/>
              <w:bottom w:val="nil"/>
            </w:tcBorders>
          </w:tcPr>
          <w:p w14:paraId="23E3E4DA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bookmarkStart w:id="6" w:name="_Hlk133007110"/>
            <w:bookmarkEnd w:id="5"/>
            <w:r w:rsidRPr="00F211A0">
              <w:rPr>
                <w:szCs w:val="21"/>
              </w:rPr>
              <w:t>Mode</w:t>
            </w:r>
            <w:r>
              <w:rPr>
                <w:szCs w:val="21"/>
              </w:rPr>
              <w:t>l 2</w:t>
            </w:r>
            <w:r w:rsidRPr="00F211A0">
              <w:rPr>
                <w:szCs w:val="21"/>
                <w:vertAlign w:val="superscript"/>
              </w:rPr>
              <w:t>a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78CF4E04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1.107 (1.000-1.226)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43F0F2F4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0DA54C17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1.140 (1.031-1.261)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1964D2D8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1.210 (1.093-1.339)</w:t>
            </w:r>
          </w:p>
        </w:tc>
      </w:tr>
      <w:bookmarkEnd w:id="6"/>
      <w:tr w:rsidR="005D723A" w:rsidRPr="00F211A0" w14:paraId="1D6B246D" w14:textId="77777777" w:rsidTr="00126FFC">
        <w:trPr>
          <w:jc w:val="center"/>
        </w:trPr>
        <w:tc>
          <w:tcPr>
            <w:tcW w:w="4540" w:type="dxa"/>
            <w:tcBorders>
              <w:top w:val="nil"/>
              <w:bottom w:val="nil"/>
            </w:tcBorders>
          </w:tcPr>
          <w:p w14:paraId="3865E34B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</w:t>
            </w:r>
            <w:r>
              <w:rPr>
                <w:szCs w:val="21"/>
              </w:rPr>
              <w:t>l 3</w:t>
            </w:r>
            <w:r w:rsidRPr="00F211A0">
              <w:rPr>
                <w:szCs w:val="21"/>
                <w:vertAlign w:val="superscript"/>
              </w:rPr>
              <w:t>b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37CD8ACA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1.029 (0.971-1.091)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352395A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646F26F5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1.122 (1.056-1.191)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1736691C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1.145 (1.081-1.213)</w:t>
            </w:r>
          </w:p>
        </w:tc>
      </w:tr>
      <w:tr w:rsidR="005D723A" w:rsidRPr="00F211A0" w14:paraId="380E2797" w14:textId="77777777" w:rsidTr="00126FFC">
        <w:trPr>
          <w:jc w:val="center"/>
        </w:trPr>
        <w:tc>
          <w:tcPr>
            <w:tcW w:w="4540" w:type="dxa"/>
            <w:tcBorders>
              <w:top w:val="nil"/>
              <w:bottom w:val="single" w:sz="4" w:space="0" w:color="auto"/>
            </w:tcBorders>
          </w:tcPr>
          <w:p w14:paraId="3261277D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Model</w:t>
            </w:r>
            <w:r>
              <w:rPr>
                <w:szCs w:val="21"/>
              </w:rPr>
              <w:t xml:space="preserve"> 4</w:t>
            </w:r>
            <w:r w:rsidRPr="00F211A0">
              <w:rPr>
                <w:szCs w:val="21"/>
                <w:vertAlign w:val="superscript"/>
              </w:rPr>
              <w:t>a</w:t>
            </w:r>
          </w:p>
        </w:tc>
        <w:tc>
          <w:tcPr>
            <w:tcW w:w="2017" w:type="dxa"/>
            <w:tcBorders>
              <w:top w:val="nil"/>
              <w:bottom w:val="single" w:sz="4" w:space="0" w:color="auto"/>
            </w:tcBorders>
          </w:tcPr>
          <w:p w14:paraId="5434C199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1.107 (1.001-1.224)</w:t>
            </w:r>
          </w:p>
        </w:tc>
        <w:tc>
          <w:tcPr>
            <w:tcW w:w="1784" w:type="dxa"/>
            <w:tcBorders>
              <w:top w:val="nil"/>
              <w:bottom w:val="single" w:sz="4" w:space="0" w:color="auto"/>
            </w:tcBorders>
          </w:tcPr>
          <w:p w14:paraId="06F3E699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Ref.</w:t>
            </w:r>
          </w:p>
        </w:tc>
        <w:tc>
          <w:tcPr>
            <w:tcW w:w="2302" w:type="dxa"/>
            <w:tcBorders>
              <w:top w:val="nil"/>
              <w:bottom w:val="single" w:sz="4" w:space="0" w:color="auto"/>
            </w:tcBorders>
          </w:tcPr>
          <w:p w14:paraId="55E23128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1.133 (1.026-1.252)</w:t>
            </w: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</w:tcPr>
          <w:p w14:paraId="6184A080" w14:textId="77777777" w:rsidR="005D723A" w:rsidRPr="00F211A0" w:rsidRDefault="005D723A" w:rsidP="00126FFC">
            <w:pPr>
              <w:jc w:val="left"/>
              <w:rPr>
                <w:szCs w:val="21"/>
              </w:rPr>
            </w:pPr>
            <w:r w:rsidRPr="00F211A0">
              <w:rPr>
                <w:szCs w:val="21"/>
              </w:rPr>
              <w:t>1.212 (1.097-1.340)</w:t>
            </w:r>
          </w:p>
        </w:tc>
      </w:tr>
      <w:tr w:rsidR="005D723A" w:rsidRPr="00F211A0" w14:paraId="6A62B27A" w14:textId="77777777" w:rsidTr="00126FFC">
        <w:trPr>
          <w:jc w:val="center"/>
        </w:trPr>
        <w:tc>
          <w:tcPr>
            <w:tcW w:w="12817" w:type="dxa"/>
            <w:gridSpan w:val="5"/>
            <w:tcBorders>
              <w:top w:val="single" w:sz="4" w:space="0" w:color="auto"/>
              <w:bottom w:val="nil"/>
            </w:tcBorders>
          </w:tcPr>
          <w:p w14:paraId="1211A493" w14:textId="77777777" w:rsidR="005D723A" w:rsidRDefault="005D723A" w:rsidP="00126FFC">
            <w:pPr>
              <w:rPr>
                <w:szCs w:val="21"/>
              </w:rPr>
            </w:pPr>
            <w:r w:rsidRPr="00F211A0">
              <w:rPr>
                <w:szCs w:val="21"/>
              </w:rPr>
              <w:t>Model</w:t>
            </w:r>
            <w:r>
              <w:rPr>
                <w:szCs w:val="21"/>
              </w:rPr>
              <w:t xml:space="preserve"> 1 e</w:t>
            </w:r>
            <w:r w:rsidRPr="00F211A0">
              <w:rPr>
                <w:szCs w:val="21"/>
              </w:rPr>
              <w:t>xcluding new onset Cardiac conduction block were followed up within 2 years</w:t>
            </w:r>
            <w:r>
              <w:rPr>
                <w:szCs w:val="21"/>
              </w:rPr>
              <w:t xml:space="preserve">. </w:t>
            </w:r>
          </w:p>
          <w:p w14:paraId="49E35147" w14:textId="77777777" w:rsidR="005D723A" w:rsidRDefault="005D723A" w:rsidP="00126FFC">
            <w:pPr>
              <w:rPr>
                <w:szCs w:val="21"/>
              </w:rPr>
            </w:pPr>
            <w:r w:rsidRPr="00F211A0">
              <w:rPr>
                <w:szCs w:val="21"/>
              </w:rPr>
              <w:t>Model</w:t>
            </w:r>
            <w:r>
              <w:rPr>
                <w:szCs w:val="21"/>
              </w:rPr>
              <w:t xml:space="preserve"> 2 e</w:t>
            </w:r>
            <w:r w:rsidRPr="00F211A0">
              <w:rPr>
                <w:szCs w:val="21"/>
              </w:rPr>
              <w:t>xcluding new onset myocardial infarction, atrial fibrillation and heart failure during follow-up</w:t>
            </w:r>
            <w:r>
              <w:rPr>
                <w:szCs w:val="21"/>
              </w:rPr>
              <w:t>.</w:t>
            </w:r>
          </w:p>
          <w:p w14:paraId="30B1DB46" w14:textId="77777777" w:rsidR="005D723A" w:rsidRDefault="005D723A" w:rsidP="00126FFC">
            <w:pPr>
              <w:rPr>
                <w:szCs w:val="21"/>
              </w:rPr>
            </w:pPr>
            <w:r w:rsidRPr="00F211A0">
              <w:rPr>
                <w:szCs w:val="21"/>
              </w:rPr>
              <w:t>Model</w:t>
            </w:r>
            <w:r>
              <w:rPr>
                <w:szCs w:val="21"/>
              </w:rPr>
              <w:t xml:space="preserve"> 3 </w:t>
            </w:r>
            <w:r w:rsidRPr="00F211A0">
              <w:rPr>
                <w:szCs w:val="21"/>
              </w:rPr>
              <w:t>Time varying MLR</w:t>
            </w:r>
            <w:r>
              <w:rPr>
                <w:szCs w:val="21"/>
              </w:rPr>
              <w:t>.</w:t>
            </w:r>
          </w:p>
          <w:p w14:paraId="3235D509" w14:textId="77777777" w:rsidR="005D723A" w:rsidRPr="004D16EF" w:rsidRDefault="005D723A" w:rsidP="00126FFC">
            <w:pPr>
              <w:rPr>
                <w:szCs w:val="21"/>
              </w:rPr>
            </w:pPr>
            <w:r w:rsidRPr="00F211A0">
              <w:rPr>
                <w:szCs w:val="21"/>
              </w:rPr>
              <w:t>Model</w:t>
            </w:r>
            <w:r>
              <w:rPr>
                <w:szCs w:val="21"/>
              </w:rPr>
              <w:t xml:space="preserve"> 4 </w:t>
            </w:r>
            <w:r w:rsidRPr="00F211A0">
              <w:rPr>
                <w:szCs w:val="21"/>
              </w:rPr>
              <w:t>Competing risk analysis</w:t>
            </w:r>
            <w:r>
              <w:rPr>
                <w:szCs w:val="21"/>
              </w:rPr>
              <w:t>.</w:t>
            </w:r>
          </w:p>
          <w:p w14:paraId="563A947B" w14:textId="77777777" w:rsidR="005D723A" w:rsidRPr="00F211A0" w:rsidRDefault="005D723A" w:rsidP="00126FFC">
            <w:pPr>
              <w:rPr>
                <w:szCs w:val="21"/>
              </w:rPr>
            </w:pPr>
            <w:r w:rsidRPr="004D16EF">
              <w:rPr>
                <w:szCs w:val="21"/>
                <w:vertAlign w:val="superscript"/>
              </w:rPr>
              <w:t>a</w:t>
            </w:r>
            <w:r>
              <w:rPr>
                <w:szCs w:val="21"/>
                <w:vertAlign w:val="superscript"/>
              </w:rPr>
              <w:t xml:space="preserve"> </w:t>
            </w:r>
            <w:r w:rsidRPr="00F211A0">
              <w:rPr>
                <w:szCs w:val="21"/>
              </w:rPr>
              <w:t>Model adjusted for age, sex, smoking, alcohol consumption, body mass index, physical activity, diabetes, hypertension, hyperlipidemia, eGFR, hs-CRP, snoring, antihypertensive, lipid-lowering and glucose-lowering drugs.</w:t>
            </w:r>
          </w:p>
          <w:p w14:paraId="205F2733" w14:textId="77777777" w:rsidR="005D723A" w:rsidRPr="00F211A0" w:rsidRDefault="005D723A" w:rsidP="00126FFC">
            <w:pPr>
              <w:rPr>
                <w:szCs w:val="21"/>
              </w:rPr>
            </w:pPr>
            <w:r w:rsidRPr="00F211A0">
              <w:rPr>
                <w:szCs w:val="21"/>
                <w:vertAlign w:val="superscript"/>
              </w:rPr>
              <w:t>b</w:t>
            </w:r>
            <w:r>
              <w:rPr>
                <w:szCs w:val="21"/>
                <w:vertAlign w:val="superscript"/>
              </w:rPr>
              <w:t xml:space="preserve"> </w:t>
            </w:r>
            <w:r w:rsidRPr="00F211A0">
              <w:rPr>
                <w:szCs w:val="21"/>
              </w:rPr>
              <w:t>Model adjusted for time-dependent variables age smoking, alcohol consumption, body mass index, physical activity, diabetes, hypertension, hyperlipidemia, eGFR, hs-CRP, snoring, antihypertensive, lipid-lowering and glucose-lowering drugs, and for non-time-dependent variables sex.</w:t>
            </w:r>
          </w:p>
          <w:p w14:paraId="3C999129" w14:textId="51F571ED" w:rsidR="005D723A" w:rsidRPr="00AC624B" w:rsidRDefault="00AC624B" w:rsidP="00126FFC">
            <w:pPr>
              <w:rPr>
                <w:szCs w:val="21"/>
              </w:rPr>
            </w:pPr>
            <w:r w:rsidRPr="00AC624B">
              <w:rPr>
                <w:szCs w:val="21"/>
              </w:rPr>
              <w:t xml:space="preserve">Abbreviation: </w:t>
            </w:r>
            <w:r w:rsidR="005D723A" w:rsidRPr="00F211A0">
              <w:rPr>
                <w:szCs w:val="21"/>
              </w:rPr>
              <w:t xml:space="preserve">MLR, monocyte to lymphocyte ratio; hs-CRP, high-sensitivity C-reactive protein </w:t>
            </w:r>
            <w:r w:rsidR="00986F56">
              <w:t xml:space="preserve">; </w:t>
            </w:r>
            <w:r w:rsidR="00986F56" w:rsidRPr="00F211A0">
              <w:t>eGFR</w:t>
            </w:r>
            <w:r w:rsidR="00986F56">
              <w:t>,</w:t>
            </w:r>
            <w:r w:rsidR="00986F56" w:rsidRPr="00F211A0">
              <w:t xml:space="preserve"> estimated glomerular filtration rate</w:t>
            </w:r>
            <w:r w:rsidR="00986F56">
              <w:t>; Ref, reference</w:t>
            </w:r>
            <w:r w:rsidR="00986F56">
              <w:rPr>
                <w:rFonts w:hint="eastAsia"/>
              </w:rPr>
              <w:t>;</w:t>
            </w:r>
            <w:r w:rsidR="00986F56">
              <w:t xml:space="preserve"> </w:t>
            </w:r>
            <w:r w:rsidR="00986F56" w:rsidRPr="00C3739C">
              <w:t>HR, hazard ratio</w:t>
            </w:r>
            <w:r w:rsidR="00986F56">
              <w:t xml:space="preserve"> and</w:t>
            </w:r>
            <w:r w:rsidR="00986F56" w:rsidRPr="00C3739C">
              <w:t xml:space="preserve"> CI</w:t>
            </w:r>
            <w:r w:rsidR="00986F56">
              <w:t xml:space="preserve">, </w:t>
            </w:r>
            <w:r w:rsidR="00986F56" w:rsidRPr="00C3739C">
              <w:t>confidence interval.</w:t>
            </w:r>
          </w:p>
        </w:tc>
      </w:tr>
    </w:tbl>
    <w:p w14:paraId="6765D154" w14:textId="77777777" w:rsidR="005D723A" w:rsidRPr="00F211A0" w:rsidRDefault="005D723A" w:rsidP="005D723A">
      <w:pPr>
        <w:rPr>
          <w:rFonts w:ascii="Times New Roman" w:eastAsia="SimSun" w:hAnsi="Times New Roman" w:cs="Times New Roman"/>
        </w:rPr>
      </w:pPr>
    </w:p>
    <w:p w14:paraId="17021794" w14:textId="77777777" w:rsidR="004E6C10" w:rsidRDefault="004E6C10"/>
    <w:p w14:paraId="19820D34" w14:textId="77777777" w:rsidR="004747F9" w:rsidRDefault="004747F9"/>
    <w:p w14:paraId="3D6B3AFD" w14:textId="77777777" w:rsidR="004747F9" w:rsidRDefault="004747F9"/>
    <w:p w14:paraId="2DFF3EE4" w14:textId="77777777" w:rsidR="004747F9" w:rsidRDefault="004747F9"/>
    <w:p w14:paraId="4251BE36" w14:textId="77777777" w:rsidR="004747F9" w:rsidRDefault="004747F9"/>
    <w:p w14:paraId="3C3BC66F" w14:textId="77777777" w:rsidR="004747F9" w:rsidRDefault="004747F9"/>
    <w:p w14:paraId="79D22FFF" w14:textId="77777777" w:rsidR="004747F9" w:rsidRDefault="004747F9"/>
    <w:p w14:paraId="7B7CC3BA" w14:textId="77777777" w:rsidR="004747F9" w:rsidRDefault="004747F9"/>
    <w:p w14:paraId="17A50021" w14:textId="77777777" w:rsidR="004747F9" w:rsidRDefault="004747F9"/>
    <w:p w14:paraId="74E2663D" w14:textId="77777777" w:rsidR="004747F9" w:rsidRDefault="004747F9"/>
    <w:p w14:paraId="3F0CBCDD" w14:textId="77777777" w:rsidR="004747F9" w:rsidRDefault="004747F9"/>
    <w:p w14:paraId="76DF4E22" w14:textId="77777777" w:rsidR="004747F9" w:rsidRDefault="004747F9"/>
    <w:p w14:paraId="03DBB329" w14:textId="77777777" w:rsidR="004747F9" w:rsidRDefault="004747F9"/>
    <w:p w14:paraId="075BF226" w14:textId="77777777" w:rsidR="004747F9" w:rsidRDefault="004747F9"/>
    <w:p w14:paraId="63D0011E" w14:textId="18BC8E47" w:rsidR="004747F9" w:rsidRDefault="004747F9">
      <w:r>
        <w:rPr>
          <w:noProof/>
        </w:rPr>
        <w:drawing>
          <wp:inline distT="0" distB="0" distL="0" distR="0" wp14:anchorId="3221D6A7" wp14:editId="470B7549">
            <wp:extent cx="4320000" cy="5601192"/>
            <wp:effectExtent l="0" t="0" r="4445" b="0"/>
            <wp:docPr id="13974730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60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7634" w14:textId="77777777" w:rsidR="004747F9" w:rsidRPr="004747F9" w:rsidRDefault="004747F9" w:rsidP="004747F9">
      <w:pPr>
        <w:pStyle w:val="EndNoteBibliography"/>
        <w:rPr>
          <w:rFonts w:ascii="Times New Roman" w:eastAsia="SimSun" w:hAnsi="Times New Roman" w:cs="Times New Roman"/>
          <w:noProof w:val="0"/>
          <w:sz w:val="24"/>
          <w:lang w:val="en-GB"/>
        </w:rPr>
      </w:pPr>
      <w:r w:rsidRPr="004747F9">
        <w:rPr>
          <w:rFonts w:ascii="Times New Roman" w:eastAsia="SimSun" w:hAnsi="Times New Roman" w:cs="Times New Roman"/>
          <w:b/>
          <w:bCs/>
          <w:noProof w:val="0"/>
          <w:sz w:val="24"/>
          <w:lang w:val="en-GB"/>
        </w:rPr>
        <w:t>Supplementary Figure 1.</w:t>
      </w:r>
      <w:r w:rsidRPr="004747F9">
        <w:rPr>
          <w:rFonts w:ascii="Times New Roman" w:eastAsia="SimSun" w:hAnsi="Times New Roman" w:cs="Times New Roman"/>
          <w:noProof w:val="0"/>
          <w:sz w:val="24"/>
          <w:lang w:val="en-GB"/>
        </w:rPr>
        <w:t xml:space="preserve"> Flow chart of study participants.</w:t>
      </w:r>
    </w:p>
    <w:p w14:paraId="14B06D27" w14:textId="77777777" w:rsidR="004747F9" w:rsidRPr="004747F9" w:rsidRDefault="004747F9" w:rsidP="004747F9">
      <w:pPr>
        <w:rPr>
          <w:rFonts w:ascii="Times New Roman" w:eastAsia="SimSun" w:hAnsi="Times New Roman" w:cs="Times New Roman"/>
          <w:b/>
          <w:bCs/>
          <w:sz w:val="24"/>
          <w:lang w:val="en-GB"/>
        </w:rPr>
      </w:pPr>
      <w:r w:rsidRPr="004747F9">
        <w:rPr>
          <w:rFonts w:ascii="Times New Roman" w:eastAsia="SimSun" w:hAnsi="Times New Roman" w:cs="Times New Roman"/>
          <w:b/>
          <w:bCs/>
          <w:sz w:val="24"/>
          <w:lang w:val="en-GB"/>
        </w:rPr>
        <w:t xml:space="preserve">Abbreviations: </w:t>
      </w:r>
      <w:r w:rsidRPr="004747F9">
        <w:rPr>
          <w:rFonts w:ascii="Times New Roman" w:eastAsia="SimSun" w:hAnsi="Times New Roman" w:cs="Times New Roman"/>
          <w:sz w:val="24"/>
          <w:lang w:val="en-GB"/>
        </w:rPr>
        <w:t>MC, monocyte count; LC, lymphocyte count; ECG,</w:t>
      </w:r>
      <w:r w:rsidRPr="004747F9">
        <w:rPr>
          <w:lang w:val="en-GB"/>
        </w:rPr>
        <w:t xml:space="preserve"> </w:t>
      </w:r>
      <w:r w:rsidRPr="004747F9">
        <w:rPr>
          <w:rFonts w:ascii="Times New Roman" w:eastAsia="SimSun" w:hAnsi="Times New Roman" w:cs="Times New Roman"/>
          <w:sz w:val="24"/>
          <w:lang w:val="en-GB"/>
        </w:rPr>
        <w:t>electrocardiograph; CCB, cardiac conduction block.</w:t>
      </w:r>
    </w:p>
    <w:p w14:paraId="217EEC71" w14:textId="12910070" w:rsidR="004747F9" w:rsidRPr="004747F9" w:rsidRDefault="004747F9">
      <w:pPr>
        <w:widowControl/>
        <w:jc w:val="left"/>
        <w:rPr>
          <w:lang w:val="en-GB"/>
        </w:rPr>
      </w:pPr>
      <w:r w:rsidRPr="004747F9">
        <w:rPr>
          <w:lang w:val="en-GB"/>
        </w:rPr>
        <w:br w:type="page"/>
      </w:r>
    </w:p>
    <w:p w14:paraId="2EABB0FF" w14:textId="77777777" w:rsidR="004747F9" w:rsidRDefault="004747F9" w:rsidP="004747F9">
      <w:pPr>
        <w:pStyle w:val="EndNoteBibliography"/>
        <w:rPr>
          <w:b/>
          <w:bCs/>
          <w:color w:val="FF0000"/>
          <w:sz w:val="24"/>
          <w:lang w:val="en-GB"/>
        </w:rPr>
      </w:pPr>
      <w:r>
        <w:rPr>
          <w:rFonts w:hint="eastAsia"/>
          <w:lang w:val="en-GB"/>
        </w:rPr>
        <w:lastRenderedPageBreak/>
        <w:drawing>
          <wp:inline distT="0" distB="0" distL="0" distR="0" wp14:anchorId="583BD985" wp14:editId="21BF6827">
            <wp:extent cx="7200000" cy="5401679"/>
            <wp:effectExtent l="0" t="0" r="1270" b="8890"/>
            <wp:docPr id="21388915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40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F9">
        <w:rPr>
          <w:b/>
          <w:bCs/>
          <w:color w:val="FF0000"/>
          <w:sz w:val="24"/>
          <w:lang w:val="en-GB"/>
        </w:rPr>
        <w:t xml:space="preserve"> </w:t>
      </w:r>
    </w:p>
    <w:p w14:paraId="6039E35A" w14:textId="2FC83526" w:rsidR="004747F9" w:rsidRDefault="004747F9" w:rsidP="004747F9">
      <w:pPr>
        <w:pStyle w:val="EndNoteBibliography"/>
        <w:rPr>
          <w:rFonts w:ascii="Times New Roman" w:eastAsia="SimSun" w:hAnsi="Times New Roman" w:cs="Times New Roman"/>
          <w:noProof w:val="0"/>
          <w:color w:val="FF0000"/>
          <w:sz w:val="24"/>
          <w:lang w:val="en-GB"/>
        </w:rPr>
      </w:pPr>
      <w:r w:rsidRPr="004747F9">
        <w:rPr>
          <w:rFonts w:ascii="Times New Roman" w:eastAsia="SimSun" w:hAnsi="Times New Roman" w:cs="Times New Roman"/>
          <w:b/>
          <w:bCs/>
          <w:noProof w:val="0"/>
          <w:sz w:val="24"/>
          <w:lang w:val="en-GB"/>
        </w:rPr>
        <w:t xml:space="preserve">Supplementary Figure 2. </w:t>
      </w:r>
      <w:r w:rsidRPr="004747F9">
        <w:rPr>
          <w:rFonts w:ascii="Times New Roman" w:eastAsia="SimSun" w:hAnsi="Times New Roman" w:cs="Times New Roman"/>
          <w:noProof w:val="0"/>
          <w:sz w:val="24"/>
          <w:lang w:val="en-GB"/>
        </w:rPr>
        <w:t>Cumulative incidence of cardiac conduction block and its subtypes according to categories of monocyte to lymphocyte ratio.</w:t>
      </w:r>
    </w:p>
    <w:p w14:paraId="5FCA8BAC" w14:textId="27D3DD1F" w:rsidR="004747F9" w:rsidRPr="004747F9" w:rsidRDefault="004747F9">
      <w:pPr>
        <w:rPr>
          <w:lang w:val="en-GB"/>
        </w:rPr>
      </w:pPr>
    </w:p>
    <w:sectPr w:rsidR="004747F9" w:rsidRPr="004747F9" w:rsidSect="005D723A">
      <w:footerReference w:type="even" r:id="rId8"/>
      <w:footerReference w:type="default" r:id="rId9"/>
      <w:footerReference w:type="first" r:id="rId10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9886" w14:textId="77777777" w:rsidR="00C62002" w:rsidRDefault="00C62002" w:rsidP="005D723A">
      <w:r>
        <w:separator/>
      </w:r>
    </w:p>
  </w:endnote>
  <w:endnote w:type="continuationSeparator" w:id="0">
    <w:p w14:paraId="4B74DDC4" w14:textId="77777777" w:rsidR="00C62002" w:rsidRDefault="00C62002" w:rsidP="005D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4B53" w14:textId="2D4E36AA" w:rsidR="008466A2" w:rsidRDefault="008466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93D068" wp14:editId="0AB758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697178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CB1C3" w14:textId="6A9C6B37" w:rsidR="008466A2" w:rsidRPr="008466A2" w:rsidRDefault="008466A2" w:rsidP="008466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66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3D0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1DCB1C3" w14:textId="6A9C6B37" w:rsidR="008466A2" w:rsidRPr="008466A2" w:rsidRDefault="008466A2" w:rsidP="008466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66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0898" w14:textId="687DFDB8" w:rsidR="008466A2" w:rsidRDefault="008466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7B5DDA" wp14:editId="2A683270">
              <wp:simplePos x="461176" y="677451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6284086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1C61F" w14:textId="705A5EDD" w:rsidR="008466A2" w:rsidRPr="008466A2" w:rsidRDefault="008466A2" w:rsidP="008466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66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5D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241C61F" w14:textId="705A5EDD" w:rsidR="008466A2" w:rsidRPr="008466A2" w:rsidRDefault="008466A2" w:rsidP="008466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66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B87C" w14:textId="4399F5B0" w:rsidR="008466A2" w:rsidRDefault="008466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733F34" wp14:editId="517B54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211493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45572" w14:textId="0A7EFEF0" w:rsidR="008466A2" w:rsidRPr="008466A2" w:rsidRDefault="008466A2" w:rsidP="008466A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466A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33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AF45572" w14:textId="0A7EFEF0" w:rsidR="008466A2" w:rsidRPr="008466A2" w:rsidRDefault="008466A2" w:rsidP="008466A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466A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3F6B" w14:textId="77777777" w:rsidR="00C62002" w:rsidRDefault="00C62002" w:rsidP="005D723A">
      <w:r>
        <w:separator/>
      </w:r>
    </w:p>
  </w:footnote>
  <w:footnote w:type="continuationSeparator" w:id="0">
    <w:p w14:paraId="0DA8C5B4" w14:textId="77777777" w:rsidR="00C62002" w:rsidRDefault="00C62002" w:rsidP="005D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10"/>
    <w:rsid w:val="000B51C0"/>
    <w:rsid w:val="00293B4F"/>
    <w:rsid w:val="002A49FD"/>
    <w:rsid w:val="0043330B"/>
    <w:rsid w:val="004747F9"/>
    <w:rsid w:val="004E6C10"/>
    <w:rsid w:val="005D723A"/>
    <w:rsid w:val="008466A2"/>
    <w:rsid w:val="00862AAD"/>
    <w:rsid w:val="00986F56"/>
    <w:rsid w:val="00A76FB1"/>
    <w:rsid w:val="00AC624B"/>
    <w:rsid w:val="00AF332B"/>
    <w:rsid w:val="00C62002"/>
    <w:rsid w:val="00CF57C2"/>
    <w:rsid w:val="00F377F8"/>
    <w:rsid w:val="00F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034E0"/>
  <w15:chartTrackingRefBased/>
  <w15:docId w15:val="{EEA34AC4-AB53-4C9D-8469-195BBC73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3A"/>
    <w:pPr>
      <w:widowControl w:val="0"/>
      <w:jc w:val="both"/>
    </w:pPr>
    <w:rPr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723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D723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D723A"/>
    <w:rPr>
      <w:sz w:val="18"/>
      <w:szCs w:val="18"/>
    </w:rPr>
  </w:style>
  <w:style w:type="table" w:styleId="TableGrid">
    <w:name w:val="Table Grid"/>
    <w:basedOn w:val="TableNormal"/>
    <w:qFormat/>
    <w:rsid w:val="005D723A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0"/>
    <w:rsid w:val="004747F9"/>
    <w:pPr>
      <w:widowControl/>
      <w:spacing w:after="200"/>
      <w:jc w:val="left"/>
    </w:pPr>
    <w:rPr>
      <w:rFonts w:ascii="DengXian" w:eastAsia="DengXian" w:hAnsi="DengXian"/>
      <w:noProof/>
      <w:kern w:val="0"/>
      <w:sz w:val="20"/>
      <w:szCs w:val="21"/>
    </w:rPr>
  </w:style>
  <w:style w:type="character" w:customStyle="1" w:styleId="EndNoteBibliography0">
    <w:name w:val="EndNote Bibliography 字符"/>
    <w:basedOn w:val="DefaultParagraphFont"/>
    <w:link w:val="EndNoteBibliography"/>
    <w:rsid w:val="004747F9"/>
    <w:rPr>
      <w:rFonts w:ascii="DengXian" w:eastAsia="DengXian" w:hAnsi="DengXian"/>
      <w:noProof/>
      <w:kern w:val="0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 李</dc:creator>
  <cp:keywords/>
  <dc:description/>
  <cp:lastModifiedBy>Olliver, Tania</cp:lastModifiedBy>
  <cp:revision>2</cp:revision>
  <dcterms:created xsi:type="dcterms:W3CDTF">2023-11-15T01:56:00Z</dcterms:created>
  <dcterms:modified xsi:type="dcterms:W3CDTF">2023-11-15T01:56:00Z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3eb5fff9,16097260,5d270f20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2023-11-15T01:56:45Z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1410c0a1-f156-44de-962d-1d0b65434cab</vt:lpwstr>
  </property>
  <property fmtid="{D5CDD505-2E9C-101B-9397-08002B2CF9AE}" pid="11" name="MSIP_Label_2bbab825-a111-45e4-86a1-18cee0005896_ContentBits">
    <vt:lpwstr>2</vt:lpwstr>
  </property>
</Properties>
</file>