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D627B" w14:textId="4EE1CAF4" w:rsidR="00F22277" w:rsidRPr="003F4E79" w:rsidRDefault="007A5C95" w:rsidP="003F4E79">
      <w:pPr>
        <w:widowControl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2ACF33" wp14:editId="0B681601">
            <wp:simplePos x="0" y="0"/>
            <wp:positionH relativeFrom="column">
              <wp:posOffset>-29308</wp:posOffset>
            </wp:positionH>
            <wp:positionV relativeFrom="paragraph">
              <wp:posOffset>40933</wp:posOffset>
            </wp:positionV>
            <wp:extent cx="5274310" cy="3065145"/>
            <wp:effectExtent l="0" t="0" r="2540" b="1905"/>
            <wp:wrapTopAndBottom/>
            <wp:docPr id="102542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 b="55453"/>
                    <a:stretch/>
                  </pic:blipFill>
                  <pic:spPr bwMode="auto"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277" w:rsidRPr="0026531A">
        <w:rPr>
          <w:b/>
          <w:bCs/>
        </w:rPr>
        <w:t>Figure S1</w:t>
      </w:r>
      <w:r w:rsidR="00F22277">
        <w:t xml:space="preserve"> The sedimentation appearance, diameter measured in TEM images, and hemolysis assay of MSN@MT.</w:t>
      </w:r>
    </w:p>
    <w:p w14:paraId="4D87E31F" w14:textId="2DA75AA7" w:rsidR="001F0AD3" w:rsidRDefault="00F22277" w:rsidP="00F22277">
      <w:r>
        <w:t>(</w:t>
      </w:r>
      <w:r w:rsidRPr="0026531A">
        <w:rPr>
          <w:b/>
          <w:bCs/>
        </w:rPr>
        <w:t>a</w:t>
      </w:r>
      <w:r>
        <w:t xml:space="preserve">). Representative images of MSN and MSN@MT coated with varying </w:t>
      </w:r>
      <w:r w:rsidR="0000401E">
        <w:t xml:space="preserve">original </w:t>
      </w:r>
      <w:r>
        <w:t>concentrations of Mn</w:t>
      </w:r>
      <w:r w:rsidRPr="0000401E">
        <w:rPr>
          <w:vertAlign w:val="superscript"/>
        </w:rPr>
        <w:t>2+</w:t>
      </w:r>
      <w:r>
        <w:t>/TA (20 and 40 μg/mL). (</w:t>
      </w:r>
      <w:r w:rsidRPr="0026531A">
        <w:rPr>
          <w:b/>
          <w:bCs/>
        </w:rPr>
        <w:t>b</w:t>
      </w:r>
      <w:r>
        <w:t>). Comparison of diameters between MSN and MSN@MT, measured using ImageJ software (n=5). (</w:t>
      </w:r>
      <w:r w:rsidR="001F0AD3">
        <w:rPr>
          <w:rFonts w:hint="eastAsia"/>
          <w:b/>
          <w:bCs/>
        </w:rPr>
        <w:t>c</w:t>
      </w:r>
      <w:r>
        <w:t>). Representative images of co-culture of MSN and MSN@MT with fresh mouse red blood cells for 2 hours. (</w:t>
      </w:r>
      <w:r w:rsidR="001F0AD3">
        <w:rPr>
          <w:b/>
          <w:bCs/>
        </w:rPr>
        <w:t>d</w:t>
      </w:r>
      <w:r>
        <w:t>). Hemolysis ratio after 2-hour co-culture of MSN and MSN@MT with fresh mouse red blood cells, with H</w:t>
      </w:r>
      <w:r w:rsidRPr="0000401E">
        <w:rPr>
          <w:vertAlign w:val="subscript"/>
        </w:rPr>
        <w:t>2</w:t>
      </w:r>
      <w:r>
        <w:t xml:space="preserve">O as the positive control and PBS as the negative control (n = 3). </w:t>
      </w:r>
    </w:p>
    <w:p w14:paraId="65F8E78C" w14:textId="7464EF8E" w:rsidR="0026531A" w:rsidRDefault="001F0AD3">
      <w:pPr>
        <w:widowControl/>
        <w:jc w:val="left"/>
      </w:pPr>
      <w:r>
        <w:br w:type="page"/>
      </w:r>
    </w:p>
    <w:p w14:paraId="44D8167A" w14:textId="45916C92" w:rsidR="0026531A" w:rsidRDefault="0026531A" w:rsidP="0026531A">
      <w:r w:rsidRPr="0026531A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198265" wp14:editId="5C091580">
            <wp:simplePos x="0" y="0"/>
            <wp:positionH relativeFrom="column">
              <wp:posOffset>0</wp:posOffset>
            </wp:positionH>
            <wp:positionV relativeFrom="paragraph">
              <wp:posOffset>404</wp:posOffset>
            </wp:positionV>
            <wp:extent cx="5274310" cy="4911090"/>
            <wp:effectExtent l="0" t="0" r="2540" b="3810"/>
            <wp:wrapTopAndBottom/>
            <wp:docPr id="12146669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31A">
        <w:rPr>
          <w:b/>
          <w:bCs/>
        </w:rPr>
        <w:t>Figure S2</w:t>
      </w:r>
      <w:r>
        <w:t xml:space="preserve"> MSN@MT can enhance the uptake of OVA-FITC by DCs.</w:t>
      </w:r>
    </w:p>
    <w:p w14:paraId="2A88692E" w14:textId="5D9BF97E" w:rsidR="0026531A" w:rsidRDefault="0026531A" w:rsidP="0026531A">
      <w:r>
        <w:t>(</w:t>
      </w:r>
      <w:r w:rsidRPr="0026531A">
        <w:rPr>
          <w:b/>
          <w:bCs/>
        </w:rPr>
        <w:t>a</w:t>
      </w:r>
      <w:r>
        <w:t>). Proportion of FITC</w:t>
      </w:r>
      <w:r w:rsidRPr="0000401E">
        <w:rPr>
          <w:vertAlign w:val="superscript"/>
        </w:rPr>
        <w:t>+</w:t>
      </w:r>
      <w:r>
        <w:t xml:space="preserve"> cells in DC2.4 cells after co-culture with OVA-FITC, MSNO-FITC, and MSNO@MT-FITC for 1, 4, and 12 hours, as determined by flow cytometry (n=3). The indicated groups were analyzed using two-way ANOVA. (</w:t>
      </w:r>
      <w:r w:rsidRPr="0026531A">
        <w:rPr>
          <w:b/>
          <w:bCs/>
        </w:rPr>
        <w:t>b</w:t>
      </w:r>
      <w:r>
        <w:t>). Quantitative analysis of average FITC fluorescence intensity in CLSM images to compare the uptake of equivalent amounts of OVA-FITC by DCs between MSN and MSN@MT (n=9, from 9 independent randomly chosen fields).</w:t>
      </w:r>
      <w:r w:rsidR="003F4E79">
        <w:t xml:space="preserve"> </w:t>
      </w:r>
      <w:r w:rsidR="003F4E79" w:rsidRPr="003F4E79">
        <w:t xml:space="preserve">The indicated groups were analyzed using </w:t>
      </w:r>
      <w:r w:rsidR="003F4E79">
        <w:t>one</w:t>
      </w:r>
      <w:r w:rsidR="003F4E79" w:rsidRPr="003F4E79">
        <w:t>-way ANOVA.</w:t>
      </w:r>
      <w:r>
        <w:t xml:space="preserve"> (</w:t>
      </w:r>
      <w:r w:rsidRPr="0026531A">
        <w:rPr>
          <w:b/>
          <w:bCs/>
        </w:rPr>
        <w:t>c</w:t>
      </w:r>
      <w:r>
        <w:t xml:space="preserve">). Confocal microscopy (CLSM) representative images of DC2.4 cells after 6-hour co-culture with OVA-FITC, MSNO-FITC, and MSNO@MT-FITC. Blue represents cell nuclei, green represents OVA-FITC, red represents lysosomes stained with Lysotracker Red, and yellow represents co-localization of OVA-FITC with lysosomes. Scale bars, 50 </w:t>
      </w:r>
      <w:proofErr w:type="spellStart"/>
      <w:r>
        <w:t>μm</w:t>
      </w:r>
      <w:proofErr w:type="spellEnd"/>
      <w:r>
        <w:t>.</w:t>
      </w:r>
      <w:r w:rsidR="003F4E79">
        <w:t xml:space="preserve"> </w:t>
      </w:r>
      <w:r w:rsidR="003F4E79" w:rsidRPr="003F4E79">
        <w:t xml:space="preserve">****P &lt; 0.0001 </w:t>
      </w:r>
    </w:p>
    <w:p w14:paraId="2EBE8DF1" w14:textId="77777777" w:rsidR="0026531A" w:rsidRDefault="0026531A">
      <w:pPr>
        <w:widowControl/>
        <w:jc w:val="left"/>
      </w:pPr>
      <w:r>
        <w:br w:type="page"/>
      </w:r>
    </w:p>
    <w:p w14:paraId="4ACF8FA4" w14:textId="5750D675" w:rsidR="0026531A" w:rsidRDefault="007A5C95" w:rsidP="00F2227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C020373" wp14:editId="3745CA21">
            <wp:simplePos x="0" y="0"/>
            <wp:positionH relativeFrom="column">
              <wp:posOffset>0</wp:posOffset>
            </wp:positionH>
            <wp:positionV relativeFrom="paragraph">
              <wp:posOffset>298206</wp:posOffset>
            </wp:positionV>
            <wp:extent cx="5274310" cy="3932555"/>
            <wp:effectExtent l="0" t="0" r="2540" b="0"/>
            <wp:wrapTopAndBottom/>
            <wp:docPr id="2483302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b="45371"/>
                    <a:stretch/>
                  </pic:blipFill>
                  <pic:spPr bwMode="auto"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1D9EB" w14:textId="773C1725" w:rsidR="00F22277" w:rsidRDefault="00F22277" w:rsidP="0026531A">
      <w:pPr>
        <w:widowControl/>
        <w:jc w:val="left"/>
      </w:pPr>
      <w:r w:rsidRPr="0026531A">
        <w:rPr>
          <w:b/>
          <w:bCs/>
        </w:rPr>
        <w:t>Figure S3</w:t>
      </w:r>
      <w:r>
        <w:t xml:space="preserve"> MSNO@MT can stimulate BMDCs in vitro to produce pro-inflammatory cytokines and upregulate the expression of cGAS-STING pathway-related genes.</w:t>
      </w:r>
    </w:p>
    <w:p w14:paraId="7131C2EB" w14:textId="47A5115B" w:rsidR="0026531A" w:rsidRDefault="00F22277" w:rsidP="00F22277">
      <w:r>
        <w:t>(</w:t>
      </w:r>
      <w:r w:rsidRPr="0026531A">
        <w:rPr>
          <w:b/>
          <w:bCs/>
        </w:rPr>
        <w:t>a</w:t>
      </w:r>
      <w:r w:rsidR="007A5C95">
        <w:rPr>
          <w:b/>
          <w:bCs/>
        </w:rPr>
        <w:t>, b</w:t>
      </w:r>
      <w:r>
        <w:t>). IL-6 levels</w:t>
      </w:r>
      <w:r w:rsidR="007A5C95">
        <w:t xml:space="preserve"> (a) and </w:t>
      </w:r>
      <w:r w:rsidR="007A5C95" w:rsidRPr="007A5C95">
        <w:t>TNFα levels</w:t>
      </w:r>
      <w:r w:rsidR="007A5C95">
        <w:t xml:space="preserve"> (b)</w:t>
      </w:r>
      <w:r>
        <w:t xml:space="preserve"> in the cell supernatant of BMDCs after 24-hour co-culture with PBS, MSNO, and MSNO@MT, measured by ELISA (n=</w:t>
      </w:r>
      <w:r w:rsidR="00DD1E3B">
        <w:t>4</w:t>
      </w:r>
      <w:r>
        <w:t>). (</w:t>
      </w:r>
      <w:r w:rsidRPr="0026531A">
        <w:rPr>
          <w:b/>
          <w:bCs/>
        </w:rPr>
        <w:t>c</w:t>
      </w:r>
      <w:r w:rsidR="007A5C95">
        <w:rPr>
          <w:b/>
          <w:bCs/>
        </w:rPr>
        <w:t>, d, e, f</w:t>
      </w:r>
      <w:r>
        <w:t xml:space="preserve">). </w:t>
      </w:r>
      <w:r w:rsidR="007A5C95">
        <w:t xml:space="preserve">Relative levels of IL-6 (c), </w:t>
      </w:r>
      <w:r w:rsidR="007A5C95" w:rsidRPr="007A5C95">
        <w:t>IL-12b</w:t>
      </w:r>
      <w:r w:rsidR="007A5C95">
        <w:t xml:space="preserve"> (d), </w:t>
      </w:r>
      <w:r w:rsidR="007A5C95" w:rsidRPr="007A5C95">
        <w:t>CXCL10 (e) and IFIT1 (f)</w:t>
      </w:r>
      <w:r w:rsidR="007A5C95">
        <w:t>mRNA expression levels in BMDCs after 24-hour co-culture with different treatment groups, measured by qPCR (n=4).</w:t>
      </w:r>
      <w:r>
        <w:t xml:space="preserve"> </w:t>
      </w:r>
      <w:r w:rsidR="003F4E79" w:rsidRPr="003F4E79">
        <w:t>The indicated groups were analyzed using one-way ANOVA. Significance levels are classified as ** P &lt; 0.01, *** P &lt; 0.001, and **** P &lt; 0.0001.</w:t>
      </w:r>
    </w:p>
    <w:p w14:paraId="6F76BE28" w14:textId="77777777" w:rsidR="0026531A" w:rsidRDefault="0026531A">
      <w:pPr>
        <w:widowControl/>
        <w:jc w:val="left"/>
      </w:pPr>
      <w:r>
        <w:br w:type="page"/>
      </w:r>
    </w:p>
    <w:p w14:paraId="27F3D8CB" w14:textId="11C2AA5D" w:rsidR="0026531A" w:rsidRDefault="0026531A" w:rsidP="00F2227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40E7418" wp14:editId="3FA2F941">
            <wp:simplePos x="0" y="0"/>
            <wp:positionH relativeFrom="column">
              <wp:posOffset>-34637</wp:posOffset>
            </wp:positionH>
            <wp:positionV relativeFrom="paragraph">
              <wp:posOffset>283557</wp:posOffset>
            </wp:positionV>
            <wp:extent cx="5274310" cy="3639820"/>
            <wp:effectExtent l="0" t="0" r="2540" b="0"/>
            <wp:wrapTopAndBottom/>
            <wp:docPr id="1759380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F9434" w14:textId="442AC3F5" w:rsidR="00F22277" w:rsidRDefault="00F22277" w:rsidP="0026531A">
      <w:pPr>
        <w:widowControl/>
        <w:jc w:val="left"/>
      </w:pPr>
      <w:r w:rsidRPr="0026531A">
        <w:rPr>
          <w:b/>
          <w:bCs/>
        </w:rPr>
        <w:t>Figure S4</w:t>
      </w:r>
      <w:r>
        <w:t xml:space="preserve"> MSNO@MT demonstrates excellent biocompatibility in vivo.</w:t>
      </w:r>
    </w:p>
    <w:p w14:paraId="25195791" w14:textId="23BA25B8" w:rsidR="00BE6CBE" w:rsidRDefault="00F22277" w:rsidP="00F22277">
      <w:r>
        <w:t>(</w:t>
      </w:r>
      <w:r w:rsidRPr="0026531A">
        <w:rPr>
          <w:b/>
          <w:bCs/>
        </w:rPr>
        <w:t>a</w:t>
      </w:r>
      <w:r>
        <w:t>). Weight changes of mice in different treatment groups on days 0, 7, 14, and 21 (n=5). (</w:t>
      </w:r>
      <w:r w:rsidRPr="0026531A">
        <w:rPr>
          <w:b/>
          <w:bCs/>
        </w:rPr>
        <w:t>b</w:t>
      </w:r>
      <w:r>
        <w:t>). Representative histological sections of major organs (heart, liver, spleen, lung, kidney) from mice in different treatment groups stained with H</w:t>
      </w:r>
      <w:r w:rsidR="007A5C95">
        <w:t xml:space="preserve"> </w:t>
      </w:r>
      <w:r>
        <w:t>&amp;</w:t>
      </w:r>
      <w:r w:rsidR="007A5C95">
        <w:t xml:space="preserve"> </w:t>
      </w:r>
      <w:r>
        <w:t xml:space="preserve">E. Scale bar, 500 </w:t>
      </w:r>
      <w:proofErr w:type="spellStart"/>
      <w:r>
        <w:t>μm</w:t>
      </w:r>
      <w:proofErr w:type="spellEnd"/>
      <w:r>
        <w:t>.</w:t>
      </w:r>
    </w:p>
    <w:p w14:paraId="437D0458" w14:textId="77777777" w:rsidR="008043AD" w:rsidRDefault="008043AD" w:rsidP="00F22277"/>
    <w:p w14:paraId="141676C4" w14:textId="77777777" w:rsidR="008043AD" w:rsidRDefault="008043AD" w:rsidP="00F22277"/>
    <w:p w14:paraId="48E16208" w14:textId="77777777" w:rsidR="008043AD" w:rsidRDefault="008043AD" w:rsidP="00F22277"/>
    <w:p w14:paraId="4252F3F0" w14:textId="77777777" w:rsidR="008043AD" w:rsidRDefault="008043AD" w:rsidP="00F22277"/>
    <w:p w14:paraId="56E7A6C4" w14:textId="77777777" w:rsidR="008043AD" w:rsidRDefault="008043AD" w:rsidP="00F22277"/>
    <w:p w14:paraId="6959CC36" w14:textId="77777777" w:rsidR="008043AD" w:rsidRDefault="008043AD" w:rsidP="008043AD">
      <w:r w:rsidRPr="001F0AD3">
        <w:rPr>
          <w:b/>
          <w:bCs/>
        </w:rPr>
        <w:t>Table S1.</w:t>
      </w:r>
      <w:r w:rsidRPr="001F0AD3">
        <w:t xml:space="preserve"> Weight of OVA, TA, Mn</w:t>
      </w:r>
      <w:r w:rsidRPr="001F0AD3">
        <w:rPr>
          <w:vertAlign w:val="superscript"/>
        </w:rPr>
        <w:t>2+</w:t>
      </w:r>
      <w:r w:rsidRPr="001F0AD3">
        <w:t xml:space="preserve"> in 1mg MSN.</w:t>
      </w:r>
    </w:p>
    <w:p w14:paraId="7D1E2F33" w14:textId="77777777" w:rsidR="008043AD" w:rsidRDefault="008043AD" w:rsidP="00F222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043AD" w:rsidRPr="007C2C79" w14:paraId="3DD1D5FC" w14:textId="77777777" w:rsidTr="00F60F91">
        <w:trPr>
          <w:trHeight w:val="584"/>
        </w:trPr>
        <w:tc>
          <w:tcPr>
            <w:tcW w:w="2765" w:type="dxa"/>
            <w:hideMark/>
          </w:tcPr>
          <w:p w14:paraId="6DD8A964" w14:textId="77777777" w:rsidR="008043AD" w:rsidRPr="007C2C79" w:rsidRDefault="008043AD" w:rsidP="00F60F91">
            <w:bookmarkStart w:id="0" w:name="_Hlk152515731"/>
            <w:r w:rsidRPr="007C2C79">
              <w:rPr>
                <w:b/>
                <w:bCs/>
              </w:rPr>
              <w:t>OVA</w:t>
            </w:r>
          </w:p>
        </w:tc>
        <w:tc>
          <w:tcPr>
            <w:tcW w:w="2765" w:type="dxa"/>
            <w:hideMark/>
          </w:tcPr>
          <w:p w14:paraId="2BE74A9B" w14:textId="77777777" w:rsidR="008043AD" w:rsidRPr="007C2C79" w:rsidRDefault="008043AD" w:rsidP="00F60F91">
            <w:r w:rsidRPr="007C2C79">
              <w:rPr>
                <w:b/>
                <w:bCs/>
              </w:rPr>
              <w:t>TA</w:t>
            </w:r>
          </w:p>
        </w:tc>
        <w:tc>
          <w:tcPr>
            <w:tcW w:w="2766" w:type="dxa"/>
            <w:hideMark/>
          </w:tcPr>
          <w:p w14:paraId="6325D7BA" w14:textId="77777777" w:rsidR="008043AD" w:rsidRPr="007C2C79" w:rsidRDefault="008043AD" w:rsidP="00F60F91">
            <w:r w:rsidRPr="007C2C79">
              <w:rPr>
                <w:b/>
                <w:bCs/>
              </w:rPr>
              <w:t>Mn</w:t>
            </w:r>
            <w:r w:rsidRPr="007C2C79">
              <w:rPr>
                <w:b/>
                <w:bCs/>
                <w:vertAlign w:val="superscript"/>
              </w:rPr>
              <w:t>2+</w:t>
            </w:r>
          </w:p>
        </w:tc>
      </w:tr>
      <w:tr w:rsidR="008043AD" w:rsidRPr="007C2C79" w14:paraId="295C3340" w14:textId="77777777" w:rsidTr="00F60F91">
        <w:trPr>
          <w:trHeight w:val="584"/>
        </w:trPr>
        <w:tc>
          <w:tcPr>
            <w:tcW w:w="2765" w:type="dxa"/>
            <w:hideMark/>
          </w:tcPr>
          <w:p w14:paraId="360AEF1A" w14:textId="77777777" w:rsidR="008043AD" w:rsidRPr="007C2C79" w:rsidRDefault="008043AD" w:rsidP="00F60F91">
            <w:r w:rsidRPr="007C2C79">
              <w:t>0~1300μg</w:t>
            </w:r>
          </w:p>
          <w:p w14:paraId="5C838805" w14:textId="77777777" w:rsidR="008043AD" w:rsidRPr="007C2C79" w:rsidRDefault="008043AD" w:rsidP="00F60F91">
            <w:r w:rsidRPr="007C2C79">
              <w:t>(500μg in cell and animal experiments)</w:t>
            </w:r>
          </w:p>
        </w:tc>
        <w:tc>
          <w:tcPr>
            <w:tcW w:w="2765" w:type="dxa"/>
            <w:hideMark/>
          </w:tcPr>
          <w:p w14:paraId="3D05FDE9" w14:textId="77777777" w:rsidR="008043AD" w:rsidRPr="007C2C79" w:rsidRDefault="008043AD" w:rsidP="00F60F91">
            <w:r w:rsidRPr="007C2C79">
              <w:rPr>
                <w:lang w:val="el-GR"/>
              </w:rPr>
              <w:t>7.6 μ</w:t>
            </w:r>
            <w:r w:rsidRPr="007C2C79">
              <w:t xml:space="preserve">g </w:t>
            </w:r>
          </w:p>
        </w:tc>
        <w:tc>
          <w:tcPr>
            <w:tcW w:w="2766" w:type="dxa"/>
            <w:hideMark/>
          </w:tcPr>
          <w:p w14:paraId="29EAA22C" w14:textId="77777777" w:rsidR="008043AD" w:rsidRPr="007C2C79" w:rsidRDefault="008043AD" w:rsidP="00F60F91">
            <w:r w:rsidRPr="007C2C79">
              <w:t>0.725μg</w:t>
            </w:r>
          </w:p>
        </w:tc>
      </w:tr>
      <w:bookmarkEnd w:id="0"/>
    </w:tbl>
    <w:p w14:paraId="15C2D100" w14:textId="77777777" w:rsidR="008043AD" w:rsidRDefault="008043AD" w:rsidP="00F22277"/>
    <w:sectPr w:rsidR="008043AD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65C41" w14:textId="77777777" w:rsidR="007A6E53" w:rsidRDefault="007A6E53" w:rsidP="00F22277">
      <w:r>
        <w:separator/>
      </w:r>
    </w:p>
  </w:endnote>
  <w:endnote w:type="continuationSeparator" w:id="0">
    <w:p w14:paraId="48234086" w14:textId="77777777" w:rsidR="007A6E53" w:rsidRDefault="007A6E53" w:rsidP="00F22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00AB" w14:textId="62AC8032" w:rsidR="00E85EBB" w:rsidRDefault="00E85E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BEDB14" wp14:editId="4EC4177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08123864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413EF" w14:textId="1B6D8CA5" w:rsidR="00E85EBB" w:rsidRPr="00E85EBB" w:rsidRDefault="00E85EBB" w:rsidP="00E85EB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85EB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BEDB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4B413EF" w14:textId="1B6D8CA5" w:rsidR="00E85EBB" w:rsidRPr="00E85EBB" w:rsidRDefault="00E85EBB" w:rsidP="00E85EB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85EB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C331" w14:textId="7AAA6B9F" w:rsidR="00E85EBB" w:rsidRDefault="00E85E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EFB49C" wp14:editId="6CC0BBE7">
              <wp:simplePos x="1146313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05744176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9E0A6" w14:textId="30CC0791" w:rsidR="00E85EBB" w:rsidRPr="00E85EBB" w:rsidRDefault="00E85EBB" w:rsidP="00E85EB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85EB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FB4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19E0A6" w14:textId="30CC0791" w:rsidR="00E85EBB" w:rsidRPr="00E85EBB" w:rsidRDefault="00E85EBB" w:rsidP="00E85EB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85EB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6E0DA" w14:textId="08348A43" w:rsidR="00E85EBB" w:rsidRDefault="00E85E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A8E80E" wp14:editId="46EDE8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9968518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258FC" w14:textId="71FCAA10" w:rsidR="00E85EBB" w:rsidRPr="00E85EBB" w:rsidRDefault="00E85EBB" w:rsidP="00E85EB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85EB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A8E8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26258FC" w14:textId="71FCAA10" w:rsidR="00E85EBB" w:rsidRPr="00E85EBB" w:rsidRDefault="00E85EBB" w:rsidP="00E85EB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85EB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DB67C" w14:textId="77777777" w:rsidR="007A6E53" w:rsidRDefault="007A6E53" w:rsidP="00F22277">
      <w:r>
        <w:separator/>
      </w:r>
    </w:p>
  </w:footnote>
  <w:footnote w:type="continuationSeparator" w:id="0">
    <w:p w14:paraId="6FA8D887" w14:textId="77777777" w:rsidR="007A6E53" w:rsidRDefault="007A6E53" w:rsidP="00F222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4EB"/>
    <w:rsid w:val="0000401E"/>
    <w:rsid w:val="00017683"/>
    <w:rsid w:val="0002575F"/>
    <w:rsid w:val="00032A3F"/>
    <w:rsid w:val="000D0A62"/>
    <w:rsid w:val="00140BE8"/>
    <w:rsid w:val="00184C60"/>
    <w:rsid w:val="001F0AD3"/>
    <w:rsid w:val="00244778"/>
    <w:rsid w:val="00261814"/>
    <w:rsid w:val="0026531A"/>
    <w:rsid w:val="002761E5"/>
    <w:rsid w:val="002903F4"/>
    <w:rsid w:val="00324925"/>
    <w:rsid w:val="003538EF"/>
    <w:rsid w:val="00395949"/>
    <w:rsid w:val="003C7D10"/>
    <w:rsid w:val="003F4E79"/>
    <w:rsid w:val="004054EB"/>
    <w:rsid w:val="004526B1"/>
    <w:rsid w:val="00581AB4"/>
    <w:rsid w:val="00646957"/>
    <w:rsid w:val="00664074"/>
    <w:rsid w:val="006A4079"/>
    <w:rsid w:val="006C53D4"/>
    <w:rsid w:val="00792BF9"/>
    <w:rsid w:val="007A5C95"/>
    <w:rsid w:val="007A6E53"/>
    <w:rsid w:val="007C2C79"/>
    <w:rsid w:val="008043AD"/>
    <w:rsid w:val="008C2C79"/>
    <w:rsid w:val="008D2CA0"/>
    <w:rsid w:val="009E5F74"/>
    <w:rsid w:val="00A11246"/>
    <w:rsid w:val="00B52E04"/>
    <w:rsid w:val="00B83048"/>
    <w:rsid w:val="00BE6CBE"/>
    <w:rsid w:val="00C5657F"/>
    <w:rsid w:val="00CC63F0"/>
    <w:rsid w:val="00DD1E3B"/>
    <w:rsid w:val="00E0390C"/>
    <w:rsid w:val="00E67679"/>
    <w:rsid w:val="00E85EBB"/>
    <w:rsid w:val="00F22277"/>
    <w:rsid w:val="00F45A5F"/>
    <w:rsid w:val="00FE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7CB86"/>
  <w15:chartTrackingRefBased/>
  <w15:docId w15:val="{976B5EFB-02C7-4F6B-A52B-2F1D080FB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C63F0"/>
    <w:pPr>
      <w:keepNext/>
      <w:keepLines/>
      <w:spacing w:before="340" w:after="330" w:line="578" w:lineRule="auto"/>
      <w:outlineLvl w:val="0"/>
    </w:pPr>
    <w:rPr>
      <w:rFonts w:ascii="Trebuchet MS" w:eastAsia="Tw Cen MT" w:hAnsi="Trebuchet MS"/>
      <w:b/>
      <w:bCs/>
      <w:kern w:val="44"/>
      <w:sz w:val="18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3F0"/>
    <w:rPr>
      <w:rFonts w:ascii="Trebuchet MS" w:eastAsia="Tw Cen MT" w:hAnsi="Trebuchet MS"/>
      <w:b/>
      <w:bCs/>
      <w:kern w:val="44"/>
      <w:sz w:val="18"/>
      <w:szCs w:val="44"/>
    </w:rPr>
  </w:style>
  <w:style w:type="paragraph" w:styleId="Header">
    <w:name w:val="header"/>
    <w:basedOn w:val="Normal"/>
    <w:link w:val="HeaderChar"/>
    <w:uiPriority w:val="99"/>
    <w:unhideWhenUsed/>
    <w:rsid w:val="00F222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2227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222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22277"/>
    <w:rPr>
      <w:sz w:val="18"/>
      <w:szCs w:val="18"/>
    </w:rPr>
  </w:style>
  <w:style w:type="table" w:styleId="TableGrid">
    <w:name w:val="Table Grid"/>
    <w:basedOn w:val="TableNormal"/>
    <w:uiPriority w:val="39"/>
    <w:rsid w:val="007C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24925"/>
  </w:style>
  <w:style w:type="character" w:styleId="CommentReference">
    <w:name w:val="annotation reference"/>
    <w:basedOn w:val="DefaultParagraphFont"/>
    <w:uiPriority w:val="99"/>
    <w:semiHidden/>
    <w:unhideWhenUsed/>
    <w:rsid w:val="00324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9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9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9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崎宇 王</dc:creator>
  <cp:keywords/>
  <dc:description/>
  <cp:lastModifiedBy>Shaw, Grace</cp:lastModifiedBy>
  <cp:revision>4</cp:revision>
  <dcterms:created xsi:type="dcterms:W3CDTF">2023-12-11T04:01:00Z</dcterms:created>
  <dcterms:modified xsi:type="dcterms:W3CDTF">2023-12-12T22:16:00Z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6b450445,40726476,7aa211e5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2023-12-08T02:53:10Z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0652a370-b9dd-4b20-af3a-fb60f9eb6765</vt:lpwstr>
  </property>
  <property fmtid="{D5CDD505-2E9C-101B-9397-08002B2CF9AE}" pid="11" name="MSIP_Label_2bbab825-a111-45e4-86a1-18cee0005896_ContentBits">
    <vt:lpwstr>2</vt:lpwstr>
  </property>
</Properties>
</file>