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D06C" w14:textId="2F126BDB" w:rsidR="00D12091" w:rsidRPr="00F1231D" w:rsidRDefault="00D12091" w:rsidP="00B767E8">
      <w:pPr>
        <w:keepNext/>
        <w:widowControl/>
        <w:spacing w:before="240" w:after="60" w:line="480" w:lineRule="auto"/>
        <w:ind w:firstLineChars="0" w:firstLine="0"/>
        <w:jc w:val="left"/>
        <w:outlineLvl w:val="0"/>
        <w:rPr>
          <w:rFonts w:ascii="Arial" w:eastAsiaTheme="minorEastAsia" w:hAnsi="Arial" w:cs="Arial"/>
          <w:b/>
          <w:bCs/>
          <w:color w:val="000000"/>
          <w:kern w:val="32"/>
          <w:sz w:val="32"/>
          <w:szCs w:val="32"/>
          <w:lang w:eastAsia="en-US"/>
        </w:rPr>
      </w:pPr>
      <w:r w:rsidRPr="00F1231D">
        <w:rPr>
          <w:rFonts w:ascii="Arial" w:eastAsiaTheme="minorEastAsia" w:hAnsi="Arial" w:cs="Arial" w:hint="eastAsia"/>
          <w:b/>
          <w:bCs/>
          <w:color w:val="000000"/>
          <w:kern w:val="32"/>
          <w:sz w:val="32"/>
          <w:szCs w:val="32"/>
          <w:lang w:eastAsia="en-US"/>
        </w:rPr>
        <w:t>A</w:t>
      </w:r>
      <w:r w:rsidRPr="00F1231D">
        <w:rPr>
          <w:rFonts w:ascii="Arial" w:eastAsiaTheme="minorEastAsia" w:hAnsi="Arial" w:cs="Arial"/>
          <w:b/>
          <w:bCs/>
          <w:color w:val="000000"/>
          <w:kern w:val="32"/>
          <w:sz w:val="32"/>
          <w:szCs w:val="32"/>
          <w:lang w:eastAsia="en-US"/>
        </w:rPr>
        <w:t xml:space="preserve">ppendix </w:t>
      </w:r>
    </w:p>
    <w:p w14:paraId="4A6088AA"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0"/>
          <w:lang w:eastAsia="en-US"/>
        </w:rPr>
      </w:pPr>
      <w:r w:rsidRPr="00F1231D">
        <w:rPr>
          <w:rFonts w:ascii="Arial" w:eastAsiaTheme="minorEastAsia" w:hAnsi="Arial" w:cs="Arial"/>
          <w:b/>
          <w:color w:val="000000"/>
          <w:kern w:val="0"/>
          <w:sz w:val="20"/>
          <w:szCs w:val="20"/>
          <w:lang w:eastAsia="en-US"/>
        </w:rPr>
        <w:t>Table A1</w:t>
      </w:r>
      <w:r w:rsidRPr="00F1231D">
        <w:rPr>
          <w:rFonts w:ascii="Arial" w:eastAsiaTheme="minorEastAsia" w:hAnsi="Arial" w:cs="Arial"/>
          <w:color w:val="000000"/>
          <w:kern w:val="0"/>
          <w:sz w:val="20"/>
          <w:szCs w:val="20"/>
          <w:lang w:eastAsia="en-US"/>
        </w:rPr>
        <w:t xml:space="preserve"> The details of the HPAP policy implementation process</w:t>
      </w:r>
    </w:p>
    <w:tbl>
      <w:tblPr>
        <w:tblW w:w="5000" w:type="pct"/>
        <w:tblLook w:val="04A0" w:firstRow="1" w:lastRow="0" w:firstColumn="1" w:lastColumn="0" w:noHBand="0" w:noVBand="1"/>
      </w:tblPr>
      <w:tblGrid>
        <w:gridCol w:w="567"/>
        <w:gridCol w:w="1560"/>
        <w:gridCol w:w="3970"/>
        <w:gridCol w:w="2209"/>
      </w:tblGrid>
      <w:tr w:rsidR="00D12091" w:rsidRPr="00F1231D" w14:paraId="742F3703" w14:textId="77777777" w:rsidTr="001D28BC">
        <w:trPr>
          <w:trHeight w:val="300"/>
        </w:trPr>
        <w:tc>
          <w:tcPr>
            <w:tcW w:w="341" w:type="pct"/>
            <w:tcBorders>
              <w:top w:val="single" w:sz="4" w:space="0" w:color="auto"/>
              <w:left w:val="nil"/>
              <w:bottom w:val="single" w:sz="4" w:space="0" w:color="auto"/>
              <w:right w:val="nil"/>
            </w:tcBorders>
            <w:shd w:val="clear" w:color="auto" w:fill="auto"/>
            <w:vAlign w:val="center"/>
            <w:hideMark/>
          </w:tcPr>
          <w:p w14:paraId="7467BBE5" w14:textId="77777777" w:rsidR="00D12091" w:rsidRPr="00F1231D" w:rsidRDefault="00D12091" w:rsidP="00D12091">
            <w:pPr>
              <w:widowControl/>
              <w:spacing w:line="240" w:lineRule="auto"/>
              <w:ind w:firstLineChars="0" w:firstLine="0"/>
              <w:jc w:val="left"/>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Time</w:t>
            </w:r>
          </w:p>
        </w:tc>
        <w:tc>
          <w:tcPr>
            <w:tcW w:w="939" w:type="pct"/>
            <w:tcBorders>
              <w:top w:val="single" w:sz="4" w:space="0" w:color="auto"/>
              <w:left w:val="nil"/>
              <w:bottom w:val="single" w:sz="4" w:space="0" w:color="auto"/>
              <w:right w:val="nil"/>
            </w:tcBorders>
            <w:shd w:val="clear" w:color="auto" w:fill="auto"/>
            <w:vAlign w:val="center"/>
            <w:hideMark/>
          </w:tcPr>
          <w:p w14:paraId="4AA02DBC" w14:textId="77777777" w:rsidR="00D12091" w:rsidRPr="00F1231D" w:rsidRDefault="00D12091" w:rsidP="00D12091">
            <w:pPr>
              <w:widowControl/>
              <w:spacing w:line="240" w:lineRule="auto"/>
              <w:ind w:firstLineChars="0" w:firstLine="0"/>
              <w:jc w:val="center"/>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The policy document</w:t>
            </w:r>
          </w:p>
        </w:tc>
        <w:tc>
          <w:tcPr>
            <w:tcW w:w="2390" w:type="pct"/>
            <w:tcBorders>
              <w:top w:val="single" w:sz="4" w:space="0" w:color="auto"/>
              <w:left w:val="nil"/>
              <w:bottom w:val="single" w:sz="4" w:space="0" w:color="auto"/>
              <w:right w:val="nil"/>
            </w:tcBorders>
            <w:shd w:val="clear" w:color="auto" w:fill="auto"/>
            <w:vAlign w:val="center"/>
            <w:hideMark/>
          </w:tcPr>
          <w:p w14:paraId="7E0774B6" w14:textId="77777777" w:rsidR="00D12091" w:rsidRPr="00F1231D" w:rsidRDefault="00D12091" w:rsidP="00D12091">
            <w:pPr>
              <w:widowControl/>
              <w:spacing w:line="240" w:lineRule="auto"/>
              <w:ind w:firstLineChars="0" w:firstLine="0"/>
              <w:jc w:val="center"/>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Key policy measures</w:t>
            </w:r>
          </w:p>
        </w:tc>
        <w:tc>
          <w:tcPr>
            <w:tcW w:w="1330" w:type="pct"/>
            <w:tcBorders>
              <w:top w:val="single" w:sz="4" w:space="0" w:color="auto"/>
              <w:left w:val="nil"/>
              <w:bottom w:val="single" w:sz="4" w:space="0" w:color="auto"/>
              <w:right w:val="nil"/>
            </w:tcBorders>
            <w:shd w:val="clear" w:color="auto" w:fill="auto"/>
            <w:vAlign w:val="center"/>
            <w:hideMark/>
          </w:tcPr>
          <w:p w14:paraId="7F156E23" w14:textId="77777777" w:rsidR="00D12091" w:rsidRPr="00F1231D" w:rsidRDefault="00D12091" w:rsidP="00D12091">
            <w:pPr>
              <w:widowControl/>
              <w:spacing w:line="240" w:lineRule="auto"/>
              <w:ind w:firstLineChars="0" w:firstLine="0"/>
              <w:jc w:val="center"/>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Administration</w:t>
            </w:r>
          </w:p>
        </w:tc>
      </w:tr>
      <w:tr w:rsidR="00D12091" w:rsidRPr="00F1231D" w14:paraId="2FC2FF84" w14:textId="77777777" w:rsidTr="001D28BC">
        <w:trPr>
          <w:trHeight w:val="600"/>
        </w:trPr>
        <w:tc>
          <w:tcPr>
            <w:tcW w:w="341" w:type="pct"/>
            <w:tcBorders>
              <w:top w:val="nil"/>
              <w:left w:val="nil"/>
              <w:bottom w:val="nil"/>
              <w:right w:val="nil"/>
            </w:tcBorders>
            <w:shd w:val="clear" w:color="auto" w:fill="auto"/>
            <w:vAlign w:val="center"/>
            <w:hideMark/>
          </w:tcPr>
          <w:p w14:paraId="525E697F"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2015</w:t>
            </w:r>
          </w:p>
        </w:tc>
        <w:tc>
          <w:tcPr>
            <w:tcW w:w="939" w:type="pct"/>
            <w:tcBorders>
              <w:top w:val="nil"/>
              <w:left w:val="nil"/>
              <w:bottom w:val="nil"/>
              <w:right w:val="nil"/>
            </w:tcBorders>
            <w:shd w:val="clear" w:color="auto" w:fill="auto"/>
            <w:vAlign w:val="center"/>
            <w:hideMark/>
          </w:tcPr>
          <w:p w14:paraId="0B020D46"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Decision on winning the battle against poverty</w:t>
            </w:r>
          </w:p>
        </w:tc>
        <w:tc>
          <w:tcPr>
            <w:tcW w:w="2390" w:type="pct"/>
            <w:tcBorders>
              <w:top w:val="nil"/>
              <w:left w:val="nil"/>
              <w:bottom w:val="nil"/>
              <w:right w:val="nil"/>
            </w:tcBorders>
            <w:shd w:val="clear" w:color="auto" w:fill="auto"/>
            <w:vAlign w:val="center"/>
            <w:hideMark/>
          </w:tcPr>
          <w:p w14:paraId="68C3EBA0"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Formulation of the basic principles and policy framework for the HPAP.</w:t>
            </w:r>
          </w:p>
        </w:tc>
        <w:tc>
          <w:tcPr>
            <w:tcW w:w="1330" w:type="pct"/>
            <w:tcBorders>
              <w:top w:val="nil"/>
              <w:left w:val="nil"/>
              <w:bottom w:val="nil"/>
              <w:right w:val="nil"/>
            </w:tcBorders>
            <w:shd w:val="clear" w:color="auto" w:fill="auto"/>
            <w:vAlign w:val="center"/>
            <w:hideMark/>
          </w:tcPr>
          <w:p w14:paraId="3F3357FB"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 xml:space="preserve">the CPC Central Committee and The State Council </w:t>
            </w:r>
          </w:p>
        </w:tc>
      </w:tr>
      <w:tr w:rsidR="00D12091" w:rsidRPr="00F1231D" w14:paraId="41997EAB" w14:textId="77777777" w:rsidTr="001D28BC">
        <w:trPr>
          <w:trHeight w:val="2400"/>
        </w:trPr>
        <w:tc>
          <w:tcPr>
            <w:tcW w:w="341" w:type="pct"/>
            <w:tcBorders>
              <w:top w:val="nil"/>
              <w:left w:val="nil"/>
              <w:bottom w:val="nil"/>
              <w:right w:val="nil"/>
            </w:tcBorders>
            <w:shd w:val="clear" w:color="auto" w:fill="auto"/>
            <w:vAlign w:val="center"/>
            <w:hideMark/>
          </w:tcPr>
          <w:p w14:paraId="66D141CB"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2016</w:t>
            </w:r>
          </w:p>
        </w:tc>
        <w:tc>
          <w:tcPr>
            <w:tcW w:w="939" w:type="pct"/>
            <w:tcBorders>
              <w:top w:val="nil"/>
              <w:left w:val="nil"/>
              <w:bottom w:val="nil"/>
              <w:right w:val="nil"/>
            </w:tcBorders>
            <w:shd w:val="clear" w:color="auto" w:fill="auto"/>
            <w:vAlign w:val="center"/>
            <w:hideMark/>
          </w:tcPr>
          <w:p w14:paraId="04D5F698"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Guiding opinions on the implementation of health Poverty alleviation projects</w:t>
            </w:r>
          </w:p>
        </w:tc>
        <w:tc>
          <w:tcPr>
            <w:tcW w:w="2390" w:type="pct"/>
            <w:tcBorders>
              <w:top w:val="nil"/>
              <w:left w:val="nil"/>
              <w:bottom w:val="nil"/>
              <w:right w:val="nil"/>
            </w:tcBorders>
            <w:shd w:val="clear" w:color="auto" w:fill="auto"/>
            <w:vAlign w:val="center"/>
            <w:hideMark/>
          </w:tcPr>
          <w:p w14:paraId="1F61E3A3"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First, set to specific measures for the HPAP in the areas of health insurance protection, categorised medical assistance, payment mechanism, allocation of medical resources, basic public health, etc.; Second, decomposition of the key tasks to the governmental administration corresponding to the responsibility, and set to the schedule for the policy progress.</w:t>
            </w:r>
          </w:p>
        </w:tc>
        <w:tc>
          <w:tcPr>
            <w:tcW w:w="1330" w:type="pct"/>
            <w:vMerge w:val="restart"/>
            <w:tcBorders>
              <w:top w:val="nil"/>
              <w:left w:val="nil"/>
              <w:bottom w:val="single" w:sz="4" w:space="0" w:color="000000"/>
              <w:right w:val="nil"/>
            </w:tcBorders>
            <w:shd w:val="clear" w:color="auto" w:fill="auto"/>
            <w:vAlign w:val="center"/>
            <w:hideMark/>
          </w:tcPr>
          <w:p w14:paraId="0966A375"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National Health Commission (NHC, previously China’s Ministry of Health), Poverty Alleviation Office of The State Council, Ministry of Finance of the People’s Republic of China, Ministry of Civil Affairs of the People’s Republic of China, National Healthcare Security Administration et al.</w:t>
            </w:r>
          </w:p>
        </w:tc>
      </w:tr>
      <w:tr w:rsidR="00D12091" w:rsidRPr="00F1231D" w14:paraId="48C680C8" w14:textId="77777777" w:rsidTr="001D28BC">
        <w:trPr>
          <w:trHeight w:val="2400"/>
        </w:trPr>
        <w:tc>
          <w:tcPr>
            <w:tcW w:w="341" w:type="pct"/>
            <w:tcBorders>
              <w:top w:val="nil"/>
              <w:left w:val="nil"/>
              <w:bottom w:val="nil"/>
              <w:right w:val="nil"/>
            </w:tcBorders>
            <w:shd w:val="clear" w:color="auto" w:fill="auto"/>
            <w:vAlign w:val="center"/>
            <w:hideMark/>
          </w:tcPr>
          <w:p w14:paraId="389D44AE"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2017</w:t>
            </w:r>
          </w:p>
        </w:tc>
        <w:tc>
          <w:tcPr>
            <w:tcW w:w="939" w:type="pct"/>
            <w:tcBorders>
              <w:top w:val="nil"/>
              <w:left w:val="nil"/>
              <w:bottom w:val="nil"/>
              <w:right w:val="nil"/>
            </w:tcBorders>
            <w:shd w:val="clear" w:color="auto" w:fill="auto"/>
            <w:vAlign w:val="center"/>
            <w:hideMark/>
          </w:tcPr>
          <w:p w14:paraId="0460A9E5"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Notice on the issuance of the "Three batches" action plan for Health Poverty alleviation project</w:t>
            </w:r>
          </w:p>
        </w:tc>
        <w:tc>
          <w:tcPr>
            <w:tcW w:w="2390" w:type="pct"/>
            <w:tcBorders>
              <w:top w:val="nil"/>
              <w:left w:val="nil"/>
              <w:bottom w:val="nil"/>
              <w:right w:val="nil"/>
            </w:tcBorders>
            <w:shd w:val="clear" w:color="auto" w:fill="auto"/>
            <w:vAlign w:val="center"/>
            <w:hideMark/>
          </w:tcPr>
          <w:p w14:paraId="0B627223"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Determine the policy target of the HPAP, referring to the registered poor population and rural low-income people (i.e. Dibao, China's transfer payment subsidy program for the basic living security of low-income poor families), special hardship cases, poor people with disabilities. Formulation of action measures: First, concentrated treatment for major diseases; Second</w:t>
            </w:r>
            <w:r w:rsidRPr="00F1231D">
              <w:rPr>
                <w:rFonts w:ascii="Arial" w:eastAsiaTheme="minorEastAsia" w:hAnsi="Arial" w:cs="Arial"/>
                <w:color w:val="000000"/>
                <w:kern w:val="0"/>
                <w:sz w:val="15"/>
                <w:szCs w:val="15"/>
                <w:lang w:eastAsia="en-US"/>
              </w:rPr>
              <w:t xml:space="preserve">, </w:t>
            </w:r>
            <w:r w:rsidRPr="00F1231D">
              <w:rPr>
                <w:rFonts w:ascii="Arial" w:eastAsia="DengXian" w:hAnsi="Arial" w:cs="Arial"/>
                <w:color w:val="000000"/>
                <w:kern w:val="0"/>
                <w:sz w:val="15"/>
                <w:szCs w:val="15"/>
                <w:lang w:eastAsia="en-US"/>
              </w:rPr>
              <w:t>contracted service management for chronic diseases; Third, serious illnesses medical expenditure protection by financial support.</w:t>
            </w:r>
          </w:p>
        </w:tc>
        <w:tc>
          <w:tcPr>
            <w:tcW w:w="1330" w:type="pct"/>
            <w:vMerge/>
            <w:tcBorders>
              <w:top w:val="nil"/>
              <w:left w:val="nil"/>
              <w:bottom w:val="single" w:sz="4" w:space="0" w:color="000000"/>
              <w:right w:val="nil"/>
            </w:tcBorders>
            <w:vAlign w:val="center"/>
            <w:hideMark/>
          </w:tcPr>
          <w:p w14:paraId="5AC1682E"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p>
        </w:tc>
      </w:tr>
      <w:tr w:rsidR="00D12091" w:rsidRPr="00F1231D" w14:paraId="057C0E08" w14:textId="77777777" w:rsidTr="001D28BC">
        <w:trPr>
          <w:trHeight w:val="1200"/>
        </w:trPr>
        <w:tc>
          <w:tcPr>
            <w:tcW w:w="341" w:type="pct"/>
            <w:tcBorders>
              <w:top w:val="nil"/>
              <w:left w:val="nil"/>
              <w:bottom w:val="nil"/>
              <w:right w:val="nil"/>
            </w:tcBorders>
            <w:shd w:val="clear" w:color="auto" w:fill="auto"/>
            <w:vAlign w:val="center"/>
            <w:hideMark/>
          </w:tcPr>
          <w:p w14:paraId="02474ADB"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2018</w:t>
            </w:r>
          </w:p>
        </w:tc>
        <w:tc>
          <w:tcPr>
            <w:tcW w:w="939" w:type="pct"/>
            <w:tcBorders>
              <w:top w:val="nil"/>
              <w:left w:val="nil"/>
              <w:bottom w:val="nil"/>
              <w:right w:val="nil"/>
            </w:tcBorders>
            <w:shd w:val="clear" w:color="auto" w:fill="auto"/>
            <w:vAlign w:val="center"/>
            <w:hideMark/>
          </w:tcPr>
          <w:p w14:paraId="040F7101"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Notice  on the Issuance of the Implementation Plan for the Three-Year Action Plan for Health Poverty Alleviation</w:t>
            </w:r>
          </w:p>
        </w:tc>
        <w:tc>
          <w:tcPr>
            <w:tcW w:w="2390" w:type="pct"/>
            <w:tcBorders>
              <w:top w:val="nil"/>
              <w:left w:val="nil"/>
              <w:bottom w:val="nil"/>
              <w:right w:val="nil"/>
            </w:tcBorders>
            <w:shd w:val="clear" w:color="auto" w:fill="auto"/>
            <w:vAlign w:val="center"/>
            <w:hideMark/>
          </w:tcPr>
          <w:p w14:paraId="5F6EE4BE"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Achieve full coverage of health insurace protection, medical resources and basic public health services for the rural poor in the next three years.</w:t>
            </w:r>
          </w:p>
        </w:tc>
        <w:tc>
          <w:tcPr>
            <w:tcW w:w="1330" w:type="pct"/>
            <w:vMerge/>
            <w:tcBorders>
              <w:top w:val="nil"/>
              <w:left w:val="nil"/>
              <w:bottom w:val="single" w:sz="4" w:space="0" w:color="000000"/>
              <w:right w:val="nil"/>
            </w:tcBorders>
            <w:vAlign w:val="center"/>
            <w:hideMark/>
          </w:tcPr>
          <w:p w14:paraId="3C4A3265"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p>
        </w:tc>
      </w:tr>
      <w:tr w:rsidR="00D12091" w:rsidRPr="00F1231D" w14:paraId="5EDA82CD" w14:textId="77777777" w:rsidTr="001D28BC">
        <w:trPr>
          <w:trHeight w:val="1200"/>
        </w:trPr>
        <w:tc>
          <w:tcPr>
            <w:tcW w:w="341" w:type="pct"/>
            <w:tcBorders>
              <w:top w:val="nil"/>
              <w:left w:val="nil"/>
              <w:bottom w:val="nil"/>
              <w:right w:val="nil"/>
            </w:tcBorders>
            <w:shd w:val="clear" w:color="auto" w:fill="auto"/>
            <w:vAlign w:val="center"/>
            <w:hideMark/>
          </w:tcPr>
          <w:p w14:paraId="03330B5F"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2019</w:t>
            </w:r>
          </w:p>
        </w:tc>
        <w:tc>
          <w:tcPr>
            <w:tcW w:w="939" w:type="pct"/>
            <w:tcBorders>
              <w:top w:val="nil"/>
              <w:left w:val="nil"/>
              <w:bottom w:val="nil"/>
              <w:right w:val="nil"/>
            </w:tcBorders>
            <w:shd w:val="clear" w:color="auto" w:fill="auto"/>
            <w:vAlign w:val="center"/>
            <w:hideMark/>
          </w:tcPr>
          <w:p w14:paraId="5847F368"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Notice on the issuance of a work project to address the outstanding issue of basic medical care coverage for the poor</w:t>
            </w:r>
          </w:p>
        </w:tc>
        <w:tc>
          <w:tcPr>
            <w:tcW w:w="2390" w:type="pct"/>
            <w:tcBorders>
              <w:top w:val="nil"/>
              <w:left w:val="nil"/>
              <w:bottom w:val="nil"/>
              <w:right w:val="nil"/>
            </w:tcBorders>
            <w:shd w:val="clear" w:color="auto" w:fill="auto"/>
            <w:vAlign w:val="center"/>
            <w:hideMark/>
          </w:tcPr>
          <w:p w14:paraId="5B51C9F4"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Setting standards to guide work in four areas: healthcare institutions, healthcare practitioners, healthcare capacity and the health insurance system, with the aim of achieving effective coverage of primary healthcare for the rural poor families.</w:t>
            </w:r>
          </w:p>
        </w:tc>
        <w:tc>
          <w:tcPr>
            <w:tcW w:w="1330" w:type="pct"/>
            <w:vMerge/>
            <w:tcBorders>
              <w:top w:val="nil"/>
              <w:left w:val="nil"/>
              <w:bottom w:val="single" w:sz="4" w:space="0" w:color="000000"/>
              <w:right w:val="nil"/>
            </w:tcBorders>
            <w:vAlign w:val="center"/>
            <w:hideMark/>
          </w:tcPr>
          <w:p w14:paraId="6BBD7911"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p>
        </w:tc>
      </w:tr>
      <w:tr w:rsidR="00D12091" w:rsidRPr="00F1231D" w14:paraId="7EFC718B" w14:textId="77777777" w:rsidTr="001D28BC">
        <w:trPr>
          <w:trHeight w:val="2100"/>
        </w:trPr>
        <w:tc>
          <w:tcPr>
            <w:tcW w:w="341" w:type="pct"/>
            <w:tcBorders>
              <w:top w:val="nil"/>
              <w:left w:val="nil"/>
              <w:bottom w:val="single" w:sz="4" w:space="0" w:color="auto"/>
              <w:right w:val="nil"/>
            </w:tcBorders>
            <w:shd w:val="clear" w:color="auto" w:fill="auto"/>
            <w:vAlign w:val="center"/>
            <w:hideMark/>
          </w:tcPr>
          <w:p w14:paraId="7FD8D599"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lastRenderedPageBreak/>
              <w:t>2019</w:t>
            </w:r>
          </w:p>
        </w:tc>
        <w:tc>
          <w:tcPr>
            <w:tcW w:w="939" w:type="pct"/>
            <w:tcBorders>
              <w:top w:val="nil"/>
              <w:left w:val="nil"/>
              <w:bottom w:val="single" w:sz="4" w:space="0" w:color="auto"/>
              <w:right w:val="nil"/>
            </w:tcBorders>
            <w:shd w:val="clear" w:color="auto" w:fill="auto"/>
            <w:vAlign w:val="center"/>
            <w:hideMark/>
          </w:tcPr>
          <w:p w14:paraId="3C875AB3" w14:textId="77777777" w:rsidR="00D12091" w:rsidRPr="00F1231D" w:rsidRDefault="00D12091" w:rsidP="00D12091">
            <w:pPr>
              <w:widowControl/>
              <w:spacing w:line="240" w:lineRule="auto"/>
              <w:ind w:firstLineChars="0" w:firstLine="0"/>
              <w:jc w:val="center"/>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Guidance on resolutely completing the hard task of fighting poverty through medical protection</w:t>
            </w:r>
          </w:p>
        </w:tc>
        <w:tc>
          <w:tcPr>
            <w:tcW w:w="2390" w:type="pct"/>
            <w:tcBorders>
              <w:top w:val="nil"/>
              <w:left w:val="nil"/>
              <w:bottom w:val="single" w:sz="4" w:space="0" w:color="auto"/>
              <w:right w:val="nil"/>
            </w:tcBorders>
            <w:shd w:val="clear" w:color="auto" w:fill="auto"/>
            <w:vAlign w:val="center"/>
            <w:hideMark/>
          </w:tcPr>
          <w:p w14:paraId="2FAF5248"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In order to ensure the implementation and fulfilment of the difficult task of poverty alleviation through health insurance, specific policies have been introduced in the following areas: First, to ensure that the poor are not left out of the project. Second, to ensure that policies are put in place. Third, to avoid excessive levels of reimbursement for health insurance and medical assistance. Four, to achieve dynamic monitoring of the poor. Five, to achieve the smooth functioning of the health insurance fund.</w:t>
            </w:r>
          </w:p>
        </w:tc>
        <w:tc>
          <w:tcPr>
            <w:tcW w:w="1330" w:type="pct"/>
            <w:vMerge/>
            <w:tcBorders>
              <w:top w:val="nil"/>
              <w:left w:val="nil"/>
              <w:bottom w:val="single" w:sz="4" w:space="0" w:color="000000"/>
              <w:right w:val="nil"/>
            </w:tcBorders>
            <w:vAlign w:val="center"/>
            <w:hideMark/>
          </w:tcPr>
          <w:p w14:paraId="73F4520B"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p>
        </w:tc>
      </w:tr>
    </w:tbl>
    <w:p w14:paraId="359CE3F2"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b/>
          <w:color w:val="000000"/>
          <w:kern w:val="0"/>
          <w:sz w:val="15"/>
          <w:szCs w:val="15"/>
          <w:lang w:eastAsia="en-US"/>
        </w:rPr>
        <w:t>Notes:</w:t>
      </w:r>
      <w:r w:rsidRPr="00F1231D">
        <w:rPr>
          <w:rFonts w:ascii="Arial" w:eastAsiaTheme="minorEastAsia" w:hAnsi="Arial" w:cs="Arial"/>
          <w:color w:val="000000"/>
          <w:kern w:val="0"/>
          <w:sz w:val="15"/>
          <w:szCs w:val="15"/>
          <w:lang w:eastAsia="en-US"/>
        </w:rPr>
        <w:t xml:space="preserve"> Table A1 mainly presents the process of the Chinese government's establishment of the HPAP policy system. The Chinese government has begun to explore a long-term working mechanism for the HPAP.</w:t>
      </w:r>
      <w:r w:rsidRPr="00F1231D">
        <w:rPr>
          <w:rFonts w:ascii="Arial" w:eastAsia="DengXian" w:hAnsi="Arial" w:cs="Arial"/>
          <w:color w:val="000000"/>
          <w:kern w:val="0"/>
          <w:sz w:val="15"/>
          <w:szCs w:val="15"/>
          <w:lang w:eastAsia="en-US"/>
        </w:rPr>
        <w:t xml:space="preserve"> </w:t>
      </w:r>
    </w:p>
    <w:p w14:paraId="5EE19DE5"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10733203"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2E524C12"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263D241C"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129F0A49"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7A5A4A43"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74DFF1EF"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4E5158EE"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21CD8D16"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65AA4AAC"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50FFA5D7"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7A89FE85"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1AF63738"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72B11F68"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100EBE3D"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20A4DB8A"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6F870B81"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2AD153EB"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3B8D222F"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30652750" w14:textId="77777777" w:rsidR="00D12091" w:rsidRPr="00F1231D" w:rsidRDefault="00D12091" w:rsidP="00D12091">
      <w:pPr>
        <w:widowControl/>
        <w:adjustRightInd w:val="0"/>
        <w:snapToGrid w:val="0"/>
        <w:spacing w:before="60" w:after="60" w:line="480" w:lineRule="auto"/>
        <w:ind w:firstLineChars="0" w:firstLine="0"/>
        <w:jc w:val="left"/>
        <w:outlineLvl w:val="2"/>
        <w:rPr>
          <w:rFonts w:ascii="Arial" w:eastAsia="Times New Roman" w:hAnsi="Arial" w:cs="Arial"/>
          <w:snapToGrid w:val="0"/>
          <w:color w:val="000000"/>
          <w:kern w:val="0"/>
          <w:sz w:val="20"/>
          <w:lang w:eastAsia="de-DE" w:bidi="en-US"/>
        </w:rPr>
      </w:pPr>
    </w:p>
    <w:p w14:paraId="33A1F16B"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0"/>
          <w:lang w:eastAsia="en-US"/>
        </w:rPr>
      </w:pPr>
      <w:r w:rsidRPr="00F1231D">
        <w:rPr>
          <w:rFonts w:ascii="Arial" w:eastAsiaTheme="minorEastAsia" w:hAnsi="Arial" w:cs="Arial"/>
          <w:b/>
          <w:color w:val="000000"/>
          <w:kern w:val="0"/>
          <w:sz w:val="20"/>
          <w:szCs w:val="20"/>
          <w:lang w:eastAsia="en-US"/>
        </w:rPr>
        <w:lastRenderedPageBreak/>
        <w:t>Table A2</w:t>
      </w:r>
      <w:r w:rsidRPr="00F1231D">
        <w:rPr>
          <w:rFonts w:ascii="Arial" w:eastAsiaTheme="minorEastAsia" w:hAnsi="Arial" w:cs="Arial"/>
          <w:color w:val="000000"/>
          <w:kern w:val="0"/>
          <w:sz w:val="20"/>
          <w:szCs w:val="20"/>
          <w:lang w:eastAsia="en-US"/>
        </w:rPr>
        <w:t xml:space="preserve"> Definition of variables for healthcare utilization and healthcare cost</w:t>
      </w:r>
      <w:r w:rsidR="0036371F" w:rsidRPr="00F1231D">
        <w:rPr>
          <w:rFonts w:ascii="Arial" w:eastAsiaTheme="minorEastAsia" w:hAnsi="Arial" w:cs="Arial"/>
          <w:color w:val="000000"/>
          <w:kern w:val="0"/>
          <w:sz w:val="20"/>
          <w:szCs w:val="20"/>
          <w:lang w:eastAsia="en-US"/>
        </w:rPr>
        <w:t>s</w:t>
      </w:r>
      <w:r w:rsidRPr="00F1231D">
        <w:rPr>
          <w:rFonts w:ascii="Arial" w:eastAsiaTheme="minorEastAsia" w:hAnsi="Arial" w:cs="Arial"/>
          <w:color w:val="000000"/>
          <w:kern w:val="0"/>
          <w:sz w:val="20"/>
          <w:szCs w:val="20"/>
          <w:lang w:eastAsia="en-US"/>
        </w:rPr>
        <w:t xml:space="preserve"> </w:t>
      </w:r>
    </w:p>
    <w:tbl>
      <w:tblPr>
        <w:tblW w:w="5000" w:type="pct"/>
        <w:tblLook w:val="04A0" w:firstRow="1" w:lastRow="0" w:firstColumn="1" w:lastColumn="0" w:noHBand="0" w:noVBand="1"/>
      </w:tblPr>
      <w:tblGrid>
        <w:gridCol w:w="2314"/>
        <w:gridCol w:w="5992"/>
      </w:tblGrid>
      <w:tr w:rsidR="00D12091" w:rsidRPr="00F1231D" w14:paraId="79A3D080" w14:textId="77777777" w:rsidTr="001D28BC">
        <w:trPr>
          <w:trHeight w:val="300"/>
        </w:trPr>
        <w:tc>
          <w:tcPr>
            <w:tcW w:w="1393" w:type="pct"/>
            <w:tcBorders>
              <w:top w:val="single" w:sz="4" w:space="0" w:color="auto"/>
              <w:left w:val="nil"/>
              <w:bottom w:val="single" w:sz="4" w:space="0" w:color="auto"/>
              <w:right w:val="nil"/>
            </w:tcBorders>
            <w:shd w:val="clear" w:color="auto" w:fill="auto"/>
            <w:noWrap/>
            <w:vAlign w:val="center"/>
          </w:tcPr>
          <w:p w14:paraId="66B7690A" w14:textId="77777777" w:rsidR="00D12091" w:rsidRPr="00F1231D" w:rsidRDefault="00D12091" w:rsidP="00D12091">
            <w:pPr>
              <w:widowControl/>
              <w:spacing w:line="240" w:lineRule="auto"/>
              <w:ind w:firstLineChars="0" w:firstLine="0"/>
              <w:jc w:val="left"/>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Variables</w:t>
            </w:r>
          </w:p>
        </w:tc>
        <w:tc>
          <w:tcPr>
            <w:tcW w:w="3607" w:type="pct"/>
            <w:tcBorders>
              <w:top w:val="single" w:sz="4" w:space="0" w:color="auto"/>
              <w:left w:val="nil"/>
              <w:bottom w:val="single" w:sz="4" w:space="0" w:color="auto"/>
              <w:right w:val="nil"/>
            </w:tcBorders>
            <w:shd w:val="clear" w:color="auto" w:fill="auto"/>
            <w:vAlign w:val="center"/>
          </w:tcPr>
          <w:p w14:paraId="2545964D" w14:textId="77777777" w:rsidR="00D12091" w:rsidRPr="00F1231D" w:rsidRDefault="00D12091" w:rsidP="00D12091">
            <w:pPr>
              <w:widowControl/>
              <w:spacing w:line="240" w:lineRule="auto"/>
              <w:ind w:firstLineChars="0" w:firstLine="0"/>
              <w:jc w:val="left"/>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Definition</w:t>
            </w:r>
          </w:p>
        </w:tc>
      </w:tr>
      <w:tr w:rsidR="00D12091" w:rsidRPr="00F1231D" w14:paraId="2361A5B2" w14:textId="77777777" w:rsidTr="001D28BC">
        <w:trPr>
          <w:trHeight w:val="300"/>
        </w:trPr>
        <w:tc>
          <w:tcPr>
            <w:tcW w:w="1393" w:type="pct"/>
            <w:tcBorders>
              <w:top w:val="single" w:sz="4" w:space="0" w:color="auto"/>
              <w:left w:val="nil"/>
              <w:bottom w:val="single" w:sz="4" w:space="0" w:color="auto"/>
              <w:right w:val="nil"/>
            </w:tcBorders>
            <w:shd w:val="clear" w:color="auto" w:fill="auto"/>
            <w:noWrap/>
            <w:vAlign w:val="center"/>
            <w:hideMark/>
          </w:tcPr>
          <w:p w14:paraId="1C82B81C" w14:textId="77777777" w:rsidR="00D12091" w:rsidRPr="00F1231D" w:rsidRDefault="00D12091" w:rsidP="00D12091">
            <w:pPr>
              <w:widowControl/>
              <w:spacing w:line="240" w:lineRule="auto"/>
              <w:ind w:firstLineChars="0" w:firstLine="0"/>
              <w:jc w:val="left"/>
              <w:rPr>
                <w:rFonts w:ascii="Arial" w:eastAsia="DengXian" w:hAnsi="Arial" w:cs="Arial"/>
                <w:b/>
                <w:bCs/>
                <w:color w:val="000000"/>
                <w:kern w:val="0"/>
                <w:sz w:val="15"/>
                <w:szCs w:val="15"/>
                <w:lang w:eastAsia="en-US"/>
              </w:rPr>
            </w:pPr>
            <w:r w:rsidRPr="00F1231D">
              <w:rPr>
                <w:rFonts w:ascii="Arial" w:eastAsia="DengXian" w:hAnsi="Arial" w:cs="Arial"/>
                <w:b/>
                <w:bCs/>
                <w:color w:val="000000"/>
                <w:kern w:val="0"/>
                <w:sz w:val="15"/>
                <w:szCs w:val="15"/>
                <w:lang w:eastAsia="en-US"/>
              </w:rPr>
              <w:t>Dependent variables</w:t>
            </w:r>
          </w:p>
        </w:tc>
        <w:tc>
          <w:tcPr>
            <w:tcW w:w="3607" w:type="pct"/>
            <w:tcBorders>
              <w:top w:val="single" w:sz="4" w:space="0" w:color="auto"/>
              <w:left w:val="nil"/>
              <w:bottom w:val="single" w:sz="4" w:space="0" w:color="auto"/>
              <w:right w:val="nil"/>
            </w:tcBorders>
            <w:shd w:val="clear" w:color="auto" w:fill="auto"/>
            <w:vAlign w:val="center"/>
            <w:hideMark/>
          </w:tcPr>
          <w:p w14:paraId="5DDDDC84"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 xml:space="preserve">　</w:t>
            </w:r>
          </w:p>
        </w:tc>
      </w:tr>
      <w:tr w:rsidR="00D12091" w:rsidRPr="00F1231D" w14:paraId="3C44893F" w14:textId="77777777" w:rsidTr="001D28BC">
        <w:trPr>
          <w:trHeight w:val="300"/>
        </w:trPr>
        <w:tc>
          <w:tcPr>
            <w:tcW w:w="1393" w:type="pct"/>
            <w:tcBorders>
              <w:top w:val="nil"/>
              <w:left w:val="nil"/>
              <w:bottom w:val="nil"/>
              <w:right w:val="nil"/>
            </w:tcBorders>
            <w:shd w:val="clear" w:color="auto" w:fill="auto"/>
            <w:noWrap/>
            <w:vAlign w:val="bottom"/>
            <w:hideMark/>
          </w:tcPr>
          <w:p w14:paraId="741E6D29"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Physical examination</w:t>
            </w:r>
          </w:p>
        </w:tc>
        <w:tc>
          <w:tcPr>
            <w:tcW w:w="3607" w:type="pct"/>
            <w:tcBorders>
              <w:top w:val="nil"/>
              <w:left w:val="nil"/>
              <w:bottom w:val="nil"/>
              <w:right w:val="nil"/>
            </w:tcBorders>
            <w:shd w:val="clear" w:color="auto" w:fill="auto"/>
            <w:vAlign w:val="center"/>
            <w:hideMark/>
          </w:tcPr>
          <w:p w14:paraId="4E4EB362"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1 for taking physical examination from last interview, 0 for otherwise.</w:t>
            </w:r>
          </w:p>
        </w:tc>
      </w:tr>
      <w:tr w:rsidR="00D12091" w:rsidRPr="00F1231D" w14:paraId="30E14258" w14:textId="77777777" w:rsidTr="001D28BC">
        <w:trPr>
          <w:trHeight w:val="600"/>
        </w:trPr>
        <w:tc>
          <w:tcPr>
            <w:tcW w:w="1393" w:type="pct"/>
            <w:tcBorders>
              <w:top w:val="nil"/>
              <w:left w:val="nil"/>
              <w:bottom w:val="nil"/>
              <w:right w:val="nil"/>
            </w:tcBorders>
            <w:shd w:val="clear" w:color="auto" w:fill="auto"/>
            <w:noWrap/>
            <w:vAlign w:val="bottom"/>
            <w:hideMark/>
          </w:tcPr>
          <w:p w14:paraId="2C521D24"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Outpatient care</w:t>
            </w:r>
          </w:p>
        </w:tc>
        <w:tc>
          <w:tcPr>
            <w:tcW w:w="3607" w:type="pct"/>
            <w:tcBorders>
              <w:top w:val="nil"/>
              <w:left w:val="nil"/>
              <w:bottom w:val="nil"/>
              <w:right w:val="nil"/>
            </w:tcBorders>
            <w:shd w:val="clear" w:color="auto" w:fill="auto"/>
            <w:vAlign w:val="center"/>
            <w:hideMark/>
          </w:tcPr>
          <w:p w14:paraId="6534AD17"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1 for the respondent go to medical institution for outpatient care in the last month, 0 for otherwise.</w:t>
            </w:r>
          </w:p>
        </w:tc>
      </w:tr>
      <w:tr w:rsidR="00D12091" w:rsidRPr="00F1231D" w14:paraId="32CDE474" w14:textId="77777777" w:rsidTr="001D28BC">
        <w:trPr>
          <w:trHeight w:val="600"/>
        </w:trPr>
        <w:tc>
          <w:tcPr>
            <w:tcW w:w="1393" w:type="pct"/>
            <w:tcBorders>
              <w:top w:val="nil"/>
              <w:left w:val="nil"/>
              <w:bottom w:val="nil"/>
              <w:right w:val="nil"/>
            </w:tcBorders>
            <w:shd w:val="clear" w:color="auto" w:fill="auto"/>
            <w:noWrap/>
            <w:vAlign w:val="bottom"/>
            <w:hideMark/>
          </w:tcPr>
          <w:p w14:paraId="4CBAEE87"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Inpatient care</w:t>
            </w:r>
          </w:p>
        </w:tc>
        <w:tc>
          <w:tcPr>
            <w:tcW w:w="3607" w:type="pct"/>
            <w:tcBorders>
              <w:top w:val="nil"/>
              <w:left w:val="nil"/>
              <w:bottom w:val="nil"/>
              <w:right w:val="nil"/>
            </w:tcBorders>
            <w:shd w:val="clear" w:color="auto" w:fill="auto"/>
            <w:vAlign w:val="center"/>
            <w:hideMark/>
          </w:tcPr>
          <w:p w14:paraId="3A5D929A"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1 for the respondent go to medical institution for inpatient care in the past year, 0 for otherwise.</w:t>
            </w:r>
          </w:p>
        </w:tc>
      </w:tr>
      <w:tr w:rsidR="00D12091" w:rsidRPr="00F1231D" w14:paraId="118A4637" w14:textId="77777777" w:rsidTr="001D28BC">
        <w:trPr>
          <w:trHeight w:val="300"/>
        </w:trPr>
        <w:tc>
          <w:tcPr>
            <w:tcW w:w="1393" w:type="pct"/>
            <w:tcBorders>
              <w:top w:val="nil"/>
              <w:left w:val="nil"/>
              <w:bottom w:val="nil"/>
              <w:right w:val="nil"/>
            </w:tcBorders>
            <w:shd w:val="clear" w:color="auto" w:fill="auto"/>
            <w:noWrap/>
            <w:vAlign w:val="bottom"/>
            <w:hideMark/>
          </w:tcPr>
          <w:p w14:paraId="1FC20D0F"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Self-treatment</w:t>
            </w:r>
          </w:p>
        </w:tc>
        <w:tc>
          <w:tcPr>
            <w:tcW w:w="3607" w:type="pct"/>
            <w:tcBorders>
              <w:top w:val="nil"/>
              <w:left w:val="nil"/>
              <w:bottom w:val="nil"/>
              <w:right w:val="nil"/>
            </w:tcBorders>
            <w:shd w:val="clear" w:color="auto" w:fill="auto"/>
            <w:vAlign w:val="center"/>
            <w:hideMark/>
          </w:tcPr>
          <w:p w14:paraId="727BC6E5"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1 for the self-treatment measures taken by respondents during the past month, 0 for otherwise.</w:t>
            </w:r>
          </w:p>
        </w:tc>
      </w:tr>
      <w:tr w:rsidR="00D12091" w:rsidRPr="00F1231D" w14:paraId="3453B6CF" w14:textId="77777777" w:rsidTr="001D28BC">
        <w:trPr>
          <w:trHeight w:val="300"/>
        </w:trPr>
        <w:tc>
          <w:tcPr>
            <w:tcW w:w="1393" w:type="pct"/>
            <w:tcBorders>
              <w:top w:val="nil"/>
              <w:left w:val="nil"/>
              <w:bottom w:val="nil"/>
              <w:right w:val="nil"/>
            </w:tcBorders>
            <w:shd w:val="clear" w:color="auto" w:fill="auto"/>
            <w:noWrap/>
            <w:vAlign w:val="bottom"/>
            <w:hideMark/>
          </w:tcPr>
          <w:p w14:paraId="00B46BC0"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Loutpacare_total</w:t>
            </w:r>
          </w:p>
        </w:tc>
        <w:tc>
          <w:tcPr>
            <w:tcW w:w="3607" w:type="pct"/>
            <w:tcBorders>
              <w:top w:val="nil"/>
              <w:left w:val="nil"/>
              <w:bottom w:val="nil"/>
              <w:right w:val="nil"/>
            </w:tcBorders>
            <w:shd w:val="clear" w:color="auto" w:fill="auto"/>
            <w:vAlign w:val="center"/>
            <w:hideMark/>
          </w:tcPr>
          <w:p w14:paraId="249647F8"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Total cost (unit: yuan) for outpatient care during the last month (in logarithmic form).</w:t>
            </w:r>
          </w:p>
        </w:tc>
      </w:tr>
      <w:tr w:rsidR="00D12091" w:rsidRPr="00F1231D" w14:paraId="11B39B32" w14:textId="77777777" w:rsidTr="001D28BC">
        <w:trPr>
          <w:trHeight w:val="600"/>
        </w:trPr>
        <w:tc>
          <w:tcPr>
            <w:tcW w:w="1393" w:type="pct"/>
            <w:tcBorders>
              <w:top w:val="nil"/>
              <w:left w:val="nil"/>
              <w:bottom w:val="nil"/>
              <w:right w:val="nil"/>
            </w:tcBorders>
            <w:shd w:val="clear" w:color="auto" w:fill="auto"/>
            <w:noWrap/>
            <w:vAlign w:val="bottom"/>
            <w:hideMark/>
          </w:tcPr>
          <w:p w14:paraId="0A98EDA5"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Loutpacare_oop</w:t>
            </w:r>
          </w:p>
        </w:tc>
        <w:tc>
          <w:tcPr>
            <w:tcW w:w="3607" w:type="pct"/>
            <w:tcBorders>
              <w:top w:val="nil"/>
              <w:left w:val="nil"/>
              <w:bottom w:val="nil"/>
              <w:right w:val="nil"/>
            </w:tcBorders>
            <w:shd w:val="clear" w:color="auto" w:fill="auto"/>
            <w:vAlign w:val="center"/>
            <w:hideMark/>
          </w:tcPr>
          <w:p w14:paraId="27E184E2"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Out-of-pocket payments (unit: yuan) for outpatient care during the last month (in logarithmic form).</w:t>
            </w:r>
          </w:p>
        </w:tc>
      </w:tr>
      <w:tr w:rsidR="00D12091" w:rsidRPr="00F1231D" w14:paraId="6F86D9FC" w14:textId="77777777" w:rsidTr="001D28BC">
        <w:trPr>
          <w:trHeight w:val="300"/>
        </w:trPr>
        <w:tc>
          <w:tcPr>
            <w:tcW w:w="1393" w:type="pct"/>
            <w:tcBorders>
              <w:top w:val="nil"/>
              <w:left w:val="nil"/>
              <w:bottom w:val="nil"/>
              <w:right w:val="nil"/>
            </w:tcBorders>
            <w:shd w:val="clear" w:color="auto" w:fill="auto"/>
            <w:noWrap/>
            <w:vAlign w:val="bottom"/>
            <w:hideMark/>
          </w:tcPr>
          <w:p w14:paraId="32559B21"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Loutpacare_total1</w:t>
            </w:r>
          </w:p>
        </w:tc>
        <w:tc>
          <w:tcPr>
            <w:tcW w:w="3607" w:type="pct"/>
            <w:tcBorders>
              <w:top w:val="nil"/>
              <w:left w:val="nil"/>
              <w:bottom w:val="nil"/>
              <w:right w:val="nil"/>
            </w:tcBorders>
            <w:shd w:val="clear" w:color="auto" w:fill="auto"/>
            <w:vAlign w:val="center"/>
            <w:hideMark/>
          </w:tcPr>
          <w:p w14:paraId="192D0789"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Total cost (unit: yuan) for outpatient care during the last time (in logarithmic form).</w:t>
            </w:r>
          </w:p>
        </w:tc>
      </w:tr>
      <w:tr w:rsidR="00D12091" w:rsidRPr="00F1231D" w14:paraId="4DAB5032" w14:textId="77777777" w:rsidTr="001D28BC">
        <w:trPr>
          <w:trHeight w:val="600"/>
        </w:trPr>
        <w:tc>
          <w:tcPr>
            <w:tcW w:w="1393" w:type="pct"/>
            <w:tcBorders>
              <w:top w:val="nil"/>
              <w:left w:val="nil"/>
              <w:bottom w:val="nil"/>
              <w:right w:val="nil"/>
            </w:tcBorders>
            <w:shd w:val="clear" w:color="auto" w:fill="auto"/>
            <w:noWrap/>
            <w:vAlign w:val="bottom"/>
            <w:hideMark/>
          </w:tcPr>
          <w:p w14:paraId="23659E7C"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Loutpacare_oop1</w:t>
            </w:r>
          </w:p>
        </w:tc>
        <w:tc>
          <w:tcPr>
            <w:tcW w:w="3607" w:type="pct"/>
            <w:tcBorders>
              <w:top w:val="nil"/>
              <w:left w:val="nil"/>
              <w:bottom w:val="nil"/>
              <w:right w:val="nil"/>
            </w:tcBorders>
            <w:shd w:val="clear" w:color="auto" w:fill="auto"/>
            <w:vAlign w:val="center"/>
            <w:hideMark/>
          </w:tcPr>
          <w:p w14:paraId="0C7DB592"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Out-of-pocket payments (unit: yuan) for outpatient care during the last time (in logarithmic form).</w:t>
            </w:r>
          </w:p>
        </w:tc>
      </w:tr>
      <w:tr w:rsidR="00D12091" w:rsidRPr="00F1231D" w14:paraId="76F6C8C7" w14:textId="77777777" w:rsidTr="001D28BC">
        <w:trPr>
          <w:trHeight w:val="300"/>
        </w:trPr>
        <w:tc>
          <w:tcPr>
            <w:tcW w:w="1393" w:type="pct"/>
            <w:tcBorders>
              <w:top w:val="nil"/>
              <w:left w:val="nil"/>
              <w:bottom w:val="nil"/>
              <w:right w:val="nil"/>
            </w:tcBorders>
            <w:shd w:val="clear" w:color="auto" w:fill="auto"/>
            <w:noWrap/>
            <w:vAlign w:val="bottom"/>
            <w:hideMark/>
          </w:tcPr>
          <w:p w14:paraId="403063CF"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Linpacare_total</w:t>
            </w:r>
          </w:p>
        </w:tc>
        <w:tc>
          <w:tcPr>
            <w:tcW w:w="3607" w:type="pct"/>
            <w:tcBorders>
              <w:top w:val="nil"/>
              <w:left w:val="nil"/>
              <w:bottom w:val="nil"/>
              <w:right w:val="nil"/>
            </w:tcBorders>
            <w:shd w:val="clear" w:color="auto" w:fill="auto"/>
            <w:vAlign w:val="center"/>
            <w:hideMark/>
          </w:tcPr>
          <w:p w14:paraId="1B71C748"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Total cost (unit: yuan) for inpatient care during the last year (in logarithmic form).</w:t>
            </w:r>
          </w:p>
        </w:tc>
      </w:tr>
      <w:tr w:rsidR="00D12091" w:rsidRPr="00F1231D" w14:paraId="71DC573E" w14:textId="77777777" w:rsidTr="001D28BC">
        <w:trPr>
          <w:trHeight w:val="600"/>
        </w:trPr>
        <w:tc>
          <w:tcPr>
            <w:tcW w:w="1393" w:type="pct"/>
            <w:tcBorders>
              <w:top w:val="nil"/>
              <w:left w:val="nil"/>
              <w:bottom w:val="nil"/>
              <w:right w:val="nil"/>
            </w:tcBorders>
            <w:shd w:val="clear" w:color="auto" w:fill="auto"/>
            <w:noWrap/>
            <w:vAlign w:val="bottom"/>
            <w:hideMark/>
          </w:tcPr>
          <w:p w14:paraId="74818043"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Linpacare_oop</w:t>
            </w:r>
          </w:p>
        </w:tc>
        <w:tc>
          <w:tcPr>
            <w:tcW w:w="3607" w:type="pct"/>
            <w:tcBorders>
              <w:top w:val="nil"/>
              <w:left w:val="nil"/>
              <w:bottom w:val="nil"/>
              <w:right w:val="nil"/>
            </w:tcBorders>
            <w:shd w:val="clear" w:color="auto" w:fill="auto"/>
            <w:vAlign w:val="center"/>
            <w:hideMark/>
          </w:tcPr>
          <w:p w14:paraId="272281DA"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Out-of-pocket payments (unit: yuan) for inpatient care during the last year (in logarithmic form).</w:t>
            </w:r>
          </w:p>
        </w:tc>
      </w:tr>
      <w:tr w:rsidR="00D12091" w:rsidRPr="00F1231D" w14:paraId="1A95D052" w14:textId="77777777" w:rsidTr="001D28BC">
        <w:trPr>
          <w:trHeight w:val="300"/>
        </w:trPr>
        <w:tc>
          <w:tcPr>
            <w:tcW w:w="1393" w:type="pct"/>
            <w:tcBorders>
              <w:top w:val="nil"/>
              <w:left w:val="nil"/>
              <w:bottom w:val="nil"/>
              <w:right w:val="nil"/>
            </w:tcBorders>
            <w:shd w:val="clear" w:color="auto" w:fill="auto"/>
            <w:noWrap/>
            <w:vAlign w:val="bottom"/>
            <w:hideMark/>
          </w:tcPr>
          <w:p w14:paraId="2D0BD791"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Linpacare_total1</w:t>
            </w:r>
          </w:p>
        </w:tc>
        <w:tc>
          <w:tcPr>
            <w:tcW w:w="3607" w:type="pct"/>
            <w:tcBorders>
              <w:top w:val="nil"/>
              <w:left w:val="nil"/>
              <w:bottom w:val="nil"/>
              <w:right w:val="nil"/>
            </w:tcBorders>
            <w:shd w:val="clear" w:color="auto" w:fill="auto"/>
            <w:vAlign w:val="center"/>
            <w:hideMark/>
          </w:tcPr>
          <w:p w14:paraId="3A599AD6"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Total cost (unit: yuan) for inpatient care during the last time (in logarithmic form).</w:t>
            </w:r>
          </w:p>
        </w:tc>
      </w:tr>
      <w:tr w:rsidR="00D12091" w:rsidRPr="00F1231D" w14:paraId="4642839F" w14:textId="77777777" w:rsidTr="001D28BC">
        <w:trPr>
          <w:trHeight w:val="600"/>
        </w:trPr>
        <w:tc>
          <w:tcPr>
            <w:tcW w:w="1393" w:type="pct"/>
            <w:tcBorders>
              <w:top w:val="nil"/>
              <w:left w:val="nil"/>
              <w:bottom w:val="nil"/>
              <w:right w:val="nil"/>
            </w:tcBorders>
            <w:shd w:val="clear" w:color="auto" w:fill="auto"/>
            <w:noWrap/>
            <w:vAlign w:val="bottom"/>
            <w:hideMark/>
          </w:tcPr>
          <w:p w14:paraId="0065A5B2"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Linpacare_oop1</w:t>
            </w:r>
          </w:p>
        </w:tc>
        <w:tc>
          <w:tcPr>
            <w:tcW w:w="3607" w:type="pct"/>
            <w:tcBorders>
              <w:top w:val="nil"/>
              <w:left w:val="nil"/>
              <w:bottom w:val="nil"/>
              <w:right w:val="nil"/>
            </w:tcBorders>
            <w:shd w:val="clear" w:color="auto" w:fill="auto"/>
            <w:vAlign w:val="center"/>
            <w:hideMark/>
          </w:tcPr>
          <w:p w14:paraId="56925137"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Out-of-pocket payments (unit: yuan) for inpatient care during the last time (in logarithmic form).</w:t>
            </w:r>
          </w:p>
        </w:tc>
      </w:tr>
      <w:tr w:rsidR="00D12091" w:rsidRPr="00F1231D" w14:paraId="7E5E4B76" w14:textId="77777777" w:rsidTr="001D28BC">
        <w:trPr>
          <w:trHeight w:val="300"/>
        </w:trPr>
        <w:tc>
          <w:tcPr>
            <w:tcW w:w="1393" w:type="pct"/>
            <w:tcBorders>
              <w:top w:val="nil"/>
              <w:left w:val="nil"/>
              <w:bottom w:val="nil"/>
              <w:right w:val="nil"/>
            </w:tcBorders>
            <w:shd w:val="clear" w:color="auto" w:fill="auto"/>
            <w:noWrap/>
            <w:vAlign w:val="bottom"/>
            <w:hideMark/>
          </w:tcPr>
          <w:p w14:paraId="00C04E6C"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Lselfmedicare_total</w:t>
            </w:r>
          </w:p>
        </w:tc>
        <w:tc>
          <w:tcPr>
            <w:tcW w:w="3607" w:type="pct"/>
            <w:tcBorders>
              <w:top w:val="nil"/>
              <w:left w:val="nil"/>
              <w:bottom w:val="nil"/>
              <w:right w:val="nil"/>
            </w:tcBorders>
            <w:shd w:val="clear" w:color="auto" w:fill="auto"/>
            <w:vAlign w:val="center"/>
            <w:hideMark/>
          </w:tcPr>
          <w:p w14:paraId="6C8D28AC"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Total cost (unit: yuan) for self-treatment during the last month (in logarithmic form).</w:t>
            </w:r>
          </w:p>
        </w:tc>
      </w:tr>
      <w:tr w:rsidR="00D12091" w:rsidRPr="00F1231D" w14:paraId="5F1B5F5A" w14:textId="77777777" w:rsidTr="001D28BC">
        <w:trPr>
          <w:trHeight w:val="600"/>
        </w:trPr>
        <w:tc>
          <w:tcPr>
            <w:tcW w:w="1393" w:type="pct"/>
            <w:tcBorders>
              <w:top w:val="nil"/>
              <w:left w:val="nil"/>
              <w:bottom w:val="nil"/>
              <w:right w:val="nil"/>
            </w:tcBorders>
            <w:shd w:val="clear" w:color="auto" w:fill="auto"/>
            <w:noWrap/>
            <w:vAlign w:val="bottom"/>
            <w:hideMark/>
          </w:tcPr>
          <w:p w14:paraId="0281F8B7"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Lselfmedicare_oop</w:t>
            </w:r>
          </w:p>
        </w:tc>
        <w:tc>
          <w:tcPr>
            <w:tcW w:w="3607" w:type="pct"/>
            <w:tcBorders>
              <w:top w:val="nil"/>
              <w:left w:val="nil"/>
              <w:bottom w:val="nil"/>
              <w:right w:val="nil"/>
            </w:tcBorders>
            <w:shd w:val="clear" w:color="auto" w:fill="auto"/>
            <w:vAlign w:val="center"/>
            <w:hideMark/>
          </w:tcPr>
          <w:p w14:paraId="4F2F27EC"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Out-of-pocket payments (unit : yuan) for self-treatment during the last month (in logarithmic form).</w:t>
            </w:r>
          </w:p>
        </w:tc>
      </w:tr>
      <w:tr w:rsidR="00D12091" w:rsidRPr="00F1231D" w14:paraId="6A81842F" w14:textId="77777777" w:rsidTr="001D28BC">
        <w:trPr>
          <w:trHeight w:val="300"/>
        </w:trPr>
        <w:tc>
          <w:tcPr>
            <w:tcW w:w="1393" w:type="pct"/>
            <w:tcBorders>
              <w:top w:val="nil"/>
              <w:left w:val="nil"/>
              <w:bottom w:val="nil"/>
              <w:right w:val="nil"/>
            </w:tcBorders>
            <w:shd w:val="clear" w:color="auto" w:fill="auto"/>
            <w:noWrap/>
            <w:vAlign w:val="bottom"/>
            <w:hideMark/>
          </w:tcPr>
          <w:p w14:paraId="3825EFA4"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Lmedi_expen</w:t>
            </w:r>
          </w:p>
        </w:tc>
        <w:tc>
          <w:tcPr>
            <w:tcW w:w="3607" w:type="pct"/>
            <w:tcBorders>
              <w:top w:val="nil"/>
              <w:left w:val="nil"/>
              <w:bottom w:val="nil"/>
              <w:right w:val="nil"/>
            </w:tcBorders>
            <w:shd w:val="clear" w:color="auto" w:fill="auto"/>
            <w:vAlign w:val="center"/>
            <w:hideMark/>
          </w:tcPr>
          <w:p w14:paraId="2267284B"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Household medical expenditure during the last year (in logarithmic form).</w:t>
            </w:r>
          </w:p>
        </w:tc>
      </w:tr>
      <w:tr w:rsidR="00D12091" w:rsidRPr="00F1231D" w14:paraId="361C0E3D" w14:textId="77777777" w:rsidTr="001D28BC">
        <w:trPr>
          <w:trHeight w:val="600"/>
        </w:trPr>
        <w:tc>
          <w:tcPr>
            <w:tcW w:w="1393" w:type="pct"/>
            <w:tcBorders>
              <w:top w:val="nil"/>
              <w:left w:val="nil"/>
              <w:bottom w:val="nil"/>
              <w:right w:val="nil"/>
            </w:tcBorders>
            <w:shd w:val="clear" w:color="auto" w:fill="auto"/>
            <w:noWrap/>
            <w:vAlign w:val="bottom"/>
            <w:hideMark/>
          </w:tcPr>
          <w:p w14:paraId="05B8EF19"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Lfctp</w:t>
            </w:r>
          </w:p>
        </w:tc>
        <w:tc>
          <w:tcPr>
            <w:tcW w:w="3607" w:type="pct"/>
            <w:tcBorders>
              <w:top w:val="nil"/>
              <w:left w:val="nil"/>
              <w:bottom w:val="nil"/>
              <w:right w:val="nil"/>
            </w:tcBorders>
            <w:shd w:val="clear" w:color="auto" w:fill="auto"/>
            <w:vAlign w:val="center"/>
            <w:hideMark/>
          </w:tcPr>
          <w:p w14:paraId="22B93467"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Household affordability for payment is defined as household consumption expenditure minus household food expenditure (in logarithmic form).</w:t>
            </w:r>
          </w:p>
        </w:tc>
      </w:tr>
      <w:tr w:rsidR="00D12091" w:rsidRPr="00F1231D" w14:paraId="7811FA04" w14:textId="77777777" w:rsidTr="001D28BC">
        <w:trPr>
          <w:trHeight w:val="600"/>
        </w:trPr>
        <w:tc>
          <w:tcPr>
            <w:tcW w:w="1393" w:type="pct"/>
            <w:tcBorders>
              <w:top w:val="nil"/>
              <w:left w:val="nil"/>
              <w:bottom w:val="nil"/>
              <w:right w:val="nil"/>
            </w:tcBorders>
            <w:shd w:val="clear" w:color="auto" w:fill="auto"/>
            <w:noWrap/>
            <w:vAlign w:val="bottom"/>
          </w:tcPr>
          <w:p w14:paraId="6D5B0430"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CHE</w:t>
            </w:r>
          </w:p>
        </w:tc>
        <w:tc>
          <w:tcPr>
            <w:tcW w:w="3607" w:type="pct"/>
            <w:tcBorders>
              <w:top w:val="nil"/>
              <w:left w:val="nil"/>
              <w:bottom w:val="nil"/>
              <w:right w:val="nil"/>
            </w:tcBorders>
            <w:shd w:val="clear" w:color="auto" w:fill="auto"/>
            <w:vAlign w:val="center"/>
          </w:tcPr>
          <w:p w14:paraId="57BC90F5"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Catastrophic health expenditure is defined as household medical expenditure exceeding 40% of the household affordability for payment</w:t>
            </w:r>
          </w:p>
        </w:tc>
      </w:tr>
      <w:tr w:rsidR="00D12091" w:rsidRPr="00F1231D" w14:paraId="6C6663B0" w14:textId="77777777" w:rsidTr="001D28BC">
        <w:trPr>
          <w:trHeight w:val="300"/>
        </w:trPr>
        <w:tc>
          <w:tcPr>
            <w:tcW w:w="1393" w:type="pct"/>
            <w:tcBorders>
              <w:top w:val="nil"/>
              <w:left w:val="nil"/>
              <w:bottom w:val="nil"/>
              <w:right w:val="nil"/>
            </w:tcBorders>
            <w:shd w:val="clear" w:color="auto" w:fill="auto"/>
            <w:noWrap/>
            <w:vAlign w:val="bottom"/>
            <w:hideMark/>
          </w:tcPr>
          <w:p w14:paraId="64B164AF"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Smoke</w:t>
            </w:r>
          </w:p>
        </w:tc>
        <w:tc>
          <w:tcPr>
            <w:tcW w:w="3607" w:type="pct"/>
            <w:tcBorders>
              <w:top w:val="nil"/>
              <w:left w:val="nil"/>
              <w:bottom w:val="nil"/>
              <w:right w:val="nil"/>
            </w:tcBorders>
            <w:shd w:val="clear" w:color="auto" w:fill="auto"/>
            <w:vAlign w:val="center"/>
            <w:hideMark/>
          </w:tcPr>
          <w:p w14:paraId="047089E2"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1 for respondents engaged in smoking behaviour, 0 for otherwise.</w:t>
            </w:r>
          </w:p>
        </w:tc>
      </w:tr>
      <w:tr w:rsidR="00D12091" w:rsidRPr="00F1231D" w14:paraId="74FA3FD8" w14:textId="77777777" w:rsidTr="001D28BC">
        <w:trPr>
          <w:trHeight w:val="300"/>
        </w:trPr>
        <w:tc>
          <w:tcPr>
            <w:tcW w:w="1393" w:type="pct"/>
            <w:tcBorders>
              <w:top w:val="nil"/>
              <w:left w:val="nil"/>
              <w:bottom w:val="single" w:sz="4" w:space="0" w:color="auto"/>
              <w:right w:val="nil"/>
            </w:tcBorders>
            <w:shd w:val="clear" w:color="auto" w:fill="auto"/>
            <w:noWrap/>
            <w:vAlign w:val="bottom"/>
            <w:hideMark/>
          </w:tcPr>
          <w:p w14:paraId="2F0B46CF" w14:textId="77777777" w:rsidR="00D12091" w:rsidRPr="00F1231D" w:rsidRDefault="00D12091" w:rsidP="00D12091">
            <w:pPr>
              <w:widowControl/>
              <w:spacing w:line="240" w:lineRule="auto"/>
              <w:ind w:firstLineChars="0" w:firstLine="0"/>
              <w:jc w:val="left"/>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Drink</w:t>
            </w:r>
          </w:p>
        </w:tc>
        <w:tc>
          <w:tcPr>
            <w:tcW w:w="3607" w:type="pct"/>
            <w:tcBorders>
              <w:top w:val="nil"/>
              <w:left w:val="nil"/>
              <w:bottom w:val="single" w:sz="4" w:space="0" w:color="auto"/>
              <w:right w:val="nil"/>
            </w:tcBorders>
            <w:shd w:val="clear" w:color="auto" w:fill="auto"/>
            <w:vAlign w:val="center"/>
            <w:hideMark/>
          </w:tcPr>
          <w:p w14:paraId="5EA82E04" w14:textId="77777777" w:rsidR="00D12091" w:rsidRPr="00F1231D" w:rsidRDefault="00D12091" w:rsidP="00D12091">
            <w:pPr>
              <w:widowControl/>
              <w:spacing w:line="240" w:lineRule="auto"/>
              <w:ind w:firstLineChars="0" w:firstLine="0"/>
              <w:rPr>
                <w:rFonts w:ascii="Arial" w:eastAsia="DengXian" w:hAnsi="Arial" w:cs="Arial"/>
                <w:color w:val="000000"/>
                <w:kern w:val="0"/>
                <w:sz w:val="15"/>
                <w:szCs w:val="15"/>
                <w:lang w:eastAsia="en-US"/>
              </w:rPr>
            </w:pPr>
            <w:r w:rsidRPr="00F1231D">
              <w:rPr>
                <w:rFonts w:ascii="Arial" w:eastAsia="DengXian" w:hAnsi="Arial" w:cs="Arial"/>
                <w:color w:val="000000"/>
                <w:kern w:val="0"/>
                <w:sz w:val="15"/>
                <w:szCs w:val="15"/>
                <w:lang w:eastAsia="en-US"/>
              </w:rPr>
              <w:t>1 for respondents engaged in drinking behaviour, 0 for otherwise.</w:t>
            </w:r>
          </w:p>
        </w:tc>
      </w:tr>
    </w:tbl>
    <w:p w14:paraId="3F702CFE"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b/>
          <w:color w:val="000000"/>
          <w:kern w:val="0"/>
          <w:sz w:val="15"/>
          <w:szCs w:val="15"/>
          <w:lang w:eastAsia="en-US"/>
        </w:rPr>
        <w:t xml:space="preserve">Notes: </w:t>
      </w:r>
      <w:r w:rsidRPr="00F1231D">
        <w:rPr>
          <w:rFonts w:ascii="Arial" w:eastAsiaTheme="minorEastAsia" w:hAnsi="Arial" w:cs="Arial"/>
          <w:color w:val="000000"/>
          <w:kern w:val="0"/>
          <w:sz w:val="15"/>
          <w:szCs w:val="15"/>
          <w:lang w:eastAsia="en-US"/>
        </w:rPr>
        <w:t>Table A2 report the definition of the dependent variables to examine the impact of HPAP on healthcare utilization and healthcare cost</w:t>
      </w:r>
      <w:r w:rsidR="0036371F" w:rsidRPr="00F1231D">
        <w:rPr>
          <w:rFonts w:ascii="Arial" w:eastAsiaTheme="minorEastAsia" w:hAnsi="Arial" w:cs="Arial"/>
          <w:color w:val="000000"/>
          <w:kern w:val="0"/>
          <w:sz w:val="15"/>
          <w:szCs w:val="15"/>
          <w:lang w:eastAsia="en-US"/>
        </w:rPr>
        <w:t>s</w:t>
      </w:r>
      <w:r w:rsidRPr="00F1231D">
        <w:rPr>
          <w:rFonts w:ascii="Arial" w:eastAsiaTheme="minorEastAsia" w:hAnsi="Arial" w:cs="Arial"/>
          <w:color w:val="000000"/>
          <w:kern w:val="0"/>
          <w:sz w:val="15"/>
          <w:szCs w:val="15"/>
          <w:lang w:eastAsia="en-US"/>
        </w:rPr>
        <w:t xml:space="preserve">. Our study have used the logarithmic form for all </w:t>
      </w:r>
      <w:bookmarkStart w:id="0" w:name="OLE_LINK1"/>
      <w:bookmarkStart w:id="1" w:name="OLE_LINK2"/>
      <w:r w:rsidRPr="00F1231D">
        <w:rPr>
          <w:rFonts w:ascii="Arial" w:eastAsiaTheme="minorEastAsia" w:hAnsi="Arial" w:cs="Arial"/>
          <w:color w:val="000000"/>
          <w:kern w:val="0"/>
          <w:sz w:val="15"/>
          <w:szCs w:val="15"/>
          <w:lang w:eastAsia="en-US"/>
        </w:rPr>
        <w:t>healthcare cost</w:t>
      </w:r>
      <w:bookmarkEnd w:id="0"/>
      <w:bookmarkEnd w:id="1"/>
      <w:r w:rsidR="0036371F" w:rsidRPr="00F1231D">
        <w:rPr>
          <w:rFonts w:ascii="Arial" w:eastAsiaTheme="minorEastAsia" w:hAnsi="Arial" w:cs="Arial"/>
          <w:color w:val="000000"/>
          <w:kern w:val="0"/>
          <w:sz w:val="15"/>
          <w:szCs w:val="15"/>
          <w:lang w:eastAsia="en-US"/>
        </w:rPr>
        <w:t>s</w:t>
      </w:r>
      <w:r w:rsidRPr="00F1231D">
        <w:rPr>
          <w:rFonts w:ascii="Arial" w:eastAsiaTheme="minorEastAsia" w:hAnsi="Arial" w:cs="Arial"/>
          <w:color w:val="000000"/>
          <w:kern w:val="0"/>
          <w:sz w:val="15"/>
          <w:szCs w:val="15"/>
          <w:lang w:eastAsia="en-US"/>
        </w:rPr>
        <w:t xml:space="preserve"> to avoid extreme outliers from affecting the policy evaluation. All currency units are in RMB Yuan.</w:t>
      </w:r>
    </w:p>
    <w:p w14:paraId="4D7AD8ED"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4"/>
          <w:lang w:eastAsia="en-US"/>
        </w:rPr>
      </w:pPr>
    </w:p>
    <w:p w14:paraId="7CE0CEF7"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4"/>
          <w:lang w:eastAsia="en-US"/>
        </w:rPr>
      </w:pPr>
    </w:p>
    <w:p w14:paraId="5770D5E3"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4"/>
          <w:lang w:eastAsia="en-US"/>
        </w:rPr>
      </w:pPr>
    </w:p>
    <w:p w14:paraId="1ECA3E8F"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4"/>
          <w:lang w:eastAsia="en-US"/>
        </w:rPr>
      </w:pPr>
    </w:p>
    <w:p w14:paraId="4FCEA64D" w14:textId="77777777" w:rsidR="00D12091" w:rsidRPr="00F1231D" w:rsidRDefault="00D12091" w:rsidP="00D12091">
      <w:pPr>
        <w:widowControl/>
        <w:spacing w:line="480" w:lineRule="auto"/>
        <w:ind w:firstLineChars="0" w:firstLine="0"/>
        <w:jc w:val="left"/>
        <w:rPr>
          <w:rFonts w:ascii="Arial" w:eastAsiaTheme="minorEastAsia" w:hAnsi="Arial" w:cs="Arial"/>
          <w:color w:val="000000"/>
          <w:kern w:val="0"/>
          <w:sz w:val="20"/>
          <w:szCs w:val="20"/>
          <w:lang w:eastAsia="en-US"/>
        </w:rPr>
      </w:pPr>
      <w:r w:rsidRPr="00F1231D">
        <w:rPr>
          <w:rFonts w:ascii="Arial" w:eastAsiaTheme="minorEastAsia" w:hAnsi="Arial" w:cs="Arial"/>
          <w:b/>
          <w:color w:val="000000"/>
          <w:kern w:val="0"/>
          <w:sz w:val="20"/>
          <w:szCs w:val="20"/>
          <w:lang w:eastAsia="en-US"/>
        </w:rPr>
        <w:lastRenderedPageBreak/>
        <w:t xml:space="preserve">Table A3. </w:t>
      </w:r>
      <w:r w:rsidRPr="00F1231D">
        <w:rPr>
          <w:rFonts w:ascii="Arial" w:eastAsiaTheme="minorEastAsia" w:hAnsi="Arial" w:cs="Arial"/>
          <w:color w:val="000000"/>
          <w:kern w:val="0"/>
          <w:sz w:val="20"/>
          <w:szCs w:val="20"/>
          <w:lang w:eastAsia="en-US"/>
        </w:rPr>
        <w:t>Summary statistic for healthcare utilization and healthcare cost</w:t>
      </w:r>
      <w:r w:rsidR="0036371F" w:rsidRPr="00F1231D">
        <w:rPr>
          <w:rFonts w:ascii="Arial" w:eastAsiaTheme="minorEastAsia" w:hAnsi="Arial" w:cs="Arial"/>
          <w:color w:val="000000"/>
          <w:kern w:val="0"/>
          <w:sz w:val="20"/>
          <w:szCs w:val="20"/>
          <w:lang w:eastAsia="en-US"/>
        </w:rPr>
        <w:t>s</w:t>
      </w:r>
    </w:p>
    <w:tbl>
      <w:tblPr>
        <w:tblW w:w="5000" w:type="pct"/>
        <w:tblLook w:val="04A0" w:firstRow="1" w:lastRow="0" w:firstColumn="1" w:lastColumn="0" w:noHBand="0" w:noVBand="1"/>
      </w:tblPr>
      <w:tblGrid>
        <w:gridCol w:w="2406"/>
        <w:gridCol w:w="2030"/>
        <w:gridCol w:w="1842"/>
        <w:gridCol w:w="2028"/>
      </w:tblGrid>
      <w:tr w:rsidR="00D12091" w:rsidRPr="00F1231D" w14:paraId="3DB91552" w14:textId="77777777" w:rsidTr="001D28BC">
        <w:trPr>
          <w:trHeight w:val="300"/>
        </w:trPr>
        <w:tc>
          <w:tcPr>
            <w:tcW w:w="1448" w:type="pct"/>
            <w:tcBorders>
              <w:top w:val="single" w:sz="4" w:space="0" w:color="auto"/>
              <w:left w:val="nil"/>
              <w:bottom w:val="single" w:sz="4" w:space="0" w:color="auto"/>
              <w:right w:val="nil"/>
            </w:tcBorders>
            <w:shd w:val="clear" w:color="auto" w:fill="auto"/>
            <w:noWrap/>
            <w:vAlign w:val="bottom"/>
            <w:hideMark/>
          </w:tcPr>
          <w:p w14:paraId="45CEB436" w14:textId="77777777" w:rsidR="00D12091" w:rsidRPr="00F1231D" w:rsidRDefault="00D12091" w:rsidP="00D12091">
            <w:pPr>
              <w:widowControl/>
              <w:spacing w:line="240" w:lineRule="auto"/>
              <w:ind w:firstLineChars="0" w:firstLine="0"/>
              <w:jc w:val="left"/>
              <w:rPr>
                <w:rFonts w:ascii="Arial" w:eastAsiaTheme="minorEastAsia" w:hAnsi="Arial" w:cs="Arial"/>
                <w:b/>
                <w:bCs/>
                <w:color w:val="000000"/>
                <w:kern w:val="0"/>
                <w:sz w:val="15"/>
                <w:szCs w:val="15"/>
                <w:lang w:eastAsia="en-US"/>
              </w:rPr>
            </w:pPr>
            <w:r w:rsidRPr="00F1231D">
              <w:rPr>
                <w:rFonts w:ascii="Arial" w:eastAsiaTheme="minorEastAsia" w:hAnsi="Arial" w:cs="Arial"/>
                <w:b/>
                <w:bCs/>
                <w:color w:val="000000"/>
                <w:kern w:val="0"/>
                <w:sz w:val="15"/>
                <w:szCs w:val="15"/>
                <w:lang w:eastAsia="en-US"/>
              </w:rPr>
              <w:t>Variable</w:t>
            </w:r>
          </w:p>
        </w:tc>
        <w:tc>
          <w:tcPr>
            <w:tcW w:w="1222" w:type="pct"/>
            <w:tcBorders>
              <w:top w:val="single" w:sz="4" w:space="0" w:color="auto"/>
              <w:left w:val="nil"/>
              <w:bottom w:val="single" w:sz="4" w:space="0" w:color="auto"/>
              <w:right w:val="nil"/>
            </w:tcBorders>
            <w:shd w:val="clear" w:color="auto" w:fill="auto"/>
            <w:noWrap/>
            <w:vAlign w:val="center"/>
            <w:hideMark/>
          </w:tcPr>
          <w:p w14:paraId="25E44619" w14:textId="77777777" w:rsidR="00D12091" w:rsidRPr="00F1231D" w:rsidRDefault="00D12091" w:rsidP="00D12091">
            <w:pPr>
              <w:widowControl/>
              <w:spacing w:line="240" w:lineRule="auto"/>
              <w:ind w:firstLineChars="0" w:firstLine="0"/>
              <w:jc w:val="center"/>
              <w:rPr>
                <w:rFonts w:ascii="Arial" w:eastAsiaTheme="minorEastAsia" w:hAnsi="Arial" w:cs="Arial"/>
                <w:b/>
                <w:bCs/>
                <w:color w:val="000000"/>
                <w:kern w:val="0"/>
                <w:sz w:val="15"/>
                <w:szCs w:val="15"/>
                <w:lang w:eastAsia="en-US"/>
              </w:rPr>
            </w:pPr>
            <w:r w:rsidRPr="00F1231D">
              <w:rPr>
                <w:rFonts w:ascii="Arial" w:eastAsiaTheme="minorEastAsia" w:hAnsi="Arial" w:cs="Arial"/>
                <w:b/>
                <w:bCs/>
                <w:color w:val="000000"/>
                <w:kern w:val="0"/>
                <w:sz w:val="15"/>
                <w:szCs w:val="15"/>
                <w:lang w:eastAsia="en-US"/>
              </w:rPr>
              <w:t>Total</w:t>
            </w:r>
          </w:p>
        </w:tc>
        <w:tc>
          <w:tcPr>
            <w:tcW w:w="1109" w:type="pct"/>
            <w:tcBorders>
              <w:top w:val="single" w:sz="4" w:space="0" w:color="auto"/>
              <w:left w:val="nil"/>
              <w:bottom w:val="single" w:sz="4" w:space="0" w:color="auto"/>
              <w:right w:val="nil"/>
            </w:tcBorders>
            <w:shd w:val="clear" w:color="auto" w:fill="auto"/>
            <w:noWrap/>
            <w:vAlign w:val="center"/>
            <w:hideMark/>
          </w:tcPr>
          <w:p w14:paraId="4161F5B0" w14:textId="77777777" w:rsidR="00D12091" w:rsidRPr="00F1231D" w:rsidRDefault="00D12091" w:rsidP="00D12091">
            <w:pPr>
              <w:widowControl/>
              <w:spacing w:line="240" w:lineRule="auto"/>
              <w:ind w:firstLineChars="0" w:firstLine="0"/>
              <w:jc w:val="center"/>
              <w:rPr>
                <w:rFonts w:ascii="Arial" w:eastAsiaTheme="minorEastAsia" w:hAnsi="Arial" w:cs="Arial"/>
                <w:b/>
                <w:bCs/>
                <w:color w:val="000000"/>
                <w:kern w:val="0"/>
                <w:sz w:val="15"/>
                <w:szCs w:val="15"/>
                <w:lang w:eastAsia="en-US"/>
              </w:rPr>
            </w:pPr>
            <w:r w:rsidRPr="00F1231D">
              <w:rPr>
                <w:rFonts w:ascii="Arial" w:eastAsiaTheme="minorEastAsia" w:hAnsi="Arial" w:cs="Arial"/>
                <w:b/>
                <w:bCs/>
                <w:color w:val="000000"/>
                <w:kern w:val="0"/>
                <w:sz w:val="15"/>
                <w:szCs w:val="15"/>
                <w:lang w:eastAsia="en-US"/>
              </w:rPr>
              <w:t>Access to HPAP</w:t>
            </w:r>
          </w:p>
        </w:tc>
        <w:tc>
          <w:tcPr>
            <w:tcW w:w="1222" w:type="pct"/>
            <w:tcBorders>
              <w:top w:val="single" w:sz="4" w:space="0" w:color="auto"/>
              <w:left w:val="nil"/>
              <w:bottom w:val="single" w:sz="4" w:space="0" w:color="auto"/>
              <w:right w:val="nil"/>
            </w:tcBorders>
            <w:shd w:val="clear" w:color="auto" w:fill="auto"/>
            <w:noWrap/>
            <w:vAlign w:val="center"/>
            <w:hideMark/>
          </w:tcPr>
          <w:p w14:paraId="661B3B26" w14:textId="77777777" w:rsidR="00D12091" w:rsidRPr="00F1231D" w:rsidRDefault="00D12091" w:rsidP="00D12091">
            <w:pPr>
              <w:widowControl/>
              <w:spacing w:line="240" w:lineRule="auto"/>
              <w:ind w:firstLineChars="0" w:firstLine="0"/>
              <w:jc w:val="center"/>
              <w:rPr>
                <w:rFonts w:ascii="Arial" w:eastAsiaTheme="minorEastAsia" w:hAnsi="Arial" w:cs="Arial"/>
                <w:b/>
                <w:bCs/>
                <w:color w:val="000000"/>
                <w:kern w:val="0"/>
                <w:sz w:val="15"/>
                <w:szCs w:val="15"/>
                <w:lang w:eastAsia="en-US"/>
              </w:rPr>
            </w:pPr>
            <w:r w:rsidRPr="00F1231D">
              <w:rPr>
                <w:rFonts w:ascii="Arial" w:eastAsiaTheme="minorEastAsia" w:hAnsi="Arial" w:cs="Arial"/>
                <w:b/>
                <w:bCs/>
                <w:color w:val="000000"/>
                <w:kern w:val="0"/>
                <w:sz w:val="15"/>
                <w:szCs w:val="15"/>
                <w:lang w:eastAsia="en-US"/>
              </w:rPr>
              <w:t>Not eligible for HPAP</w:t>
            </w:r>
          </w:p>
        </w:tc>
      </w:tr>
      <w:tr w:rsidR="00D12091" w:rsidRPr="00F1231D" w14:paraId="4AC2E29C" w14:textId="77777777" w:rsidTr="001D28BC">
        <w:trPr>
          <w:trHeight w:val="300"/>
        </w:trPr>
        <w:tc>
          <w:tcPr>
            <w:tcW w:w="1448" w:type="pct"/>
            <w:tcBorders>
              <w:top w:val="nil"/>
              <w:left w:val="nil"/>
              <w:bottom w:val="single" w:sz="4" w:space="0" w:color="auto"/>
              <w:right w:val="nil"/>
            </w:tcBorders>
            <w:shd w:val="clear" w:color="auto" w:fill="auto"/>
            <w:noWrap/>
            <w:vAlign w:val="bottom"/>
            <w:hideMark/>
          </w:tcPr>
          <w:p w14:paraId="0073AF94" w14:textId="77777777" w:rsidR="00D12091" w:rsidRPr="00F1231D" w:rsidRDefault="00D12091" w:rsidP="00D12091">
            <w:pPr>
              <w:widowControl/>
              <w:spacing w:line="240" w:lineRule="auto"/>
              <w:ind w:firstLineChars="0" w:firstLine="0"/>
              <w:jc w:val="left"/>
              <w:rPr>
                <w:rFonts w:ascii="Arial" w:eastAsiaTheme="minorEastAsia" w:hAnsi="Arial" w:cs="Arial"/>
                <w:b/>
                <w:bCs/>
                <w:color w:val="000000"/>
                <w:kern w:val="0"/>
                <w:sz w:val="15"/>
                <w:szCs w:val="15"/>
                <w:lang w:eastAsia="en-US"/>
              </w:rPr>
            </w:pPr>
            <w:r w:rsidRPr="00F1231D">
              <w:rPr>
                <w:rFonts w:ascii="Arial" w:eastAsiaTheme="minorEastAsia" w:hAnsi="Arial" w:cs="Arial"/>
                <w:b/>
                <w:bCs/>
                <w:color w:val="000000"/>
                <w:kern w:val="0"/>
                <w:sz w:val="15"/>
                <w:szCs w:val="15"/>
                <w:lang w:eastAsia="en-US"/>
              </w:rPr>
              <w:t>Policy outcomes</w:t>
            </w:r>
          </w:p>
        </w:tc>
        <w:tc>
          <w:tcPr>
            <w:tcW w:w="1222" w:type="pct"/>
            <w:tcBorders>
              <w:top w:val="nil"/>
              <w:left w:val="nil"/>
              <w:bottom w:val="single" w:sz="4" w:space="0" w:color="auto"/>
              <w:right w:val="nil"/>
            </w:tcBorders>
            <w:shd w:val="clear" w:color="auto" w:fill="auto"/>
            <w:noWrap/>
            <w:vAlign w:val="bottom"/>
            <w:hideMark/>
          </w:tcPr>
          <w:p w14:paraId="71236A7F"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 xml:space="preserve">　</w:t>
            </w:r>
          </w:p>
        </w:tc>
        <w:tc>
          <w:tcPr>
            <w:tcW w:w="1109" w:type="pct"/>
            <w:tcBorders>
              <w:top w:val="nil"/>
              <w:left w:val="nil"/>
              <w:bottom w:val="single" w:sz="4" w:space="0" w:color="auto"/>
              <w:right w:val="nil"/>
            </w:tcBorders>
            <w:shd w:val="clear" w:color="auto" w:fill="auto"/>
            <w:noWrap/>
            <w:vAlign w:val="bottom"/>
            <w:hideMark/>
          </w:tcPr>
          <w:p w14:paraId="76B99101"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 xml:space="preserve">　</w:t>
            </w:r>
          </w:p>
        </w:tc>
        <w:tc>
          <w:tcPr>
            <w:tcW w:w="1222" w:type="pct"/>
            <w:tcBorders>
              <w:top w:val="nil"/>
              <w:left w:val="nil"/>
              <w:bottom w:val="single" w:sz="4" w:space="0" w:color="auto"/>
              <w:right w:val="nil"/>
            </w:tcBorders>
            <w:shd w:val="clear" w:color="auto" w:fill="auto"/>
            <w:noWrap/>
            <w:vAlign w:val="bottom"/>
            <w:hideMark/>
          </w:tcPr>
          <w:p w14:paraId="47FCDD4E"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 xml:space="preserve">　</w:t>
            </w:r>
          </w:p>
        </w:tc>
      </w:tr>
      <w:tr w:rsidR="00D12091" w:rsidRPr="00F1231D" w14:paraId="5EAE5864" w14:textId="77777777" w:rsidTr="001D28BC">
        <w:trPr>
          <w:trHeight w:val="300"/>
        </w:trPr>
        <w:tc>
          <w:tcPr>
            <w:tcW w:w="1448" w:type="pct"/>
            <w:tcBorders>
              <w:top w:val="nil"/>
              <w:left w:val="nil"/>
              <w:bottom w:val="nil"/>
              <w:right w:val="nil"/>
            </w:tcBorders>
            <w:shd w:val="clear" w:color="auto" w:fill="auto"/>
            <w:noWrap/>
            <w:vAlign w:val="bottom"/>
            <w:hideMark/>
          </w:tcPr>
          <w:p w14:paraId="317C5C61"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Physical examination, n(%)</w:t>
            </w:r>
          </w:p>
        </w:tc>
        <w:tc>
          <w:tcPr>
            <w:tcW w:w="1222" w:type="pct"/>
            <w:tcBorders>
              <w:top w:val="nil"/>
              <w:left w:val="nil"/>
              <w:bottom w:val="nil"/>
              <w:right w:val="nil"/>
            </w:tcBorders>
            <w:shd w:val="clear" w:color="auto" w:fill="auto"/>
            <w:noWrap/>
            <w:vAlign w:val="center"/>
            <w:hideMark/>
          </w:tcPr>
          <w:p w14:paraId="0AF0C9B0"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23935(52.11%, N=45932)</w:t>
            </w:r>
          </w:p>
        </w:tc>
        <w:tc>
          <w:tcPr>
            <w:tcW w:w="1109" w:type="pct"/>
            <w:tcBorders>
              <w:top w:val="nil"/>
              <w:left w:val="nil"/>
              <w:bottom w:val="nil"/>
              <w:right w:val="nil"/>
            </w:tcBorders>
            <w:shd w:val="clear" w:color="auto" w:fill="auto"/>
            <w:noWrap/>
            <w:vAlign w:val="center"/>
            <w:hideMark/>
          </w:tcPr>
          <w:p w14:paraId="52760D40"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3465(51.55%, N=6722 )</w:t>
            </w:r>
          </w:p>
        </w:tc>
        <w:tc>
          <w:tcPr>
            <w:tcW w:w="1222" w:type="pct"/>
            <w:tcBorders>
              <w:top w:val="nil"/>
              <w:left w:val="nil"/>
              <w:bottom w:val="nil"/>
              <w:right w:val="nil"/>
            </w:tcBorders>
            <w:shd w:val="clear" w:color="auto" w:fill="auto"/>
            <w:noWrap/>
            <w:vAlign w:val="center"/>
            <w:hideMark/>
          </w:tcPr>
          <w:p w14:paraId="15E71F74"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20470(52.21%, N= 39210)</w:t>
            </w:r>
          </w:p>
        </w:tc>
      </w:tr>
      <w:tr w:rsidR="00D12091" w:rsidRPr="00F1231D" w14:paraId="0E093E90" w14:textId="77777777" w:rsidTr="001D28BC">
        <w:trPr>
          <w:trHeight w:val="300"/>
        </w:trPr>
        <w:tc>
          <w:tcPr>
            <w:tcW w:w="1448" w:type="pct"/>
            <w:tcBorders>
              <w:top w:val="nil"/>
              <w:left w:val="nil"/>
              <w:bottom w:val="nil"/>
              <w:right w:val="nil"/>
            </w:tcBorders>
            <w:shd w:val="clear" w:color="auto" w:fill="auto"/>
            <w:noWrap/>
            <w:vAlign w:val="center"/>
            <w:hideMark/>
          </w:tcPr>
          <w:p w14:paraId="6181D775"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Outpatient care, n(%)</w:t>
            </w:r>
          </w:p>
        </w:tc>
        <w:tc>
          <w:tcPr>
            <w:tcW w:w="1222" w:type="pct"/>
            <w:tcBorders>
              <w:top w:val="nil"/>
              <w:left w:val="nil"/>
              <w:bottom w:val="nil"/>
              <w:right w:val="nil"/>
            </w:tcBorders>
            <w:shd w:val="clear" w:color="auto" w:fill="auto"/>
            <w:noWrap/>
            <w:vAlign w:val="center"/>
            <w:hideMark/>
          </w:tcPr>
          <w:p w14:paraId="4D338942"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8926(19.48%, N=45818)</w:t>
            </w:r>
          </w:p>
        </w:tc>
        <w:tc>
          <w:tcPr>
            <w:tcW w:w="1109" w:type="pct"/>
            <w:tcBorders>
              <w:top w:val="nil"/>
              <w:left w:val="nil"/>
              <w:bottom w:val="nil"/>
              <w:right w:val="nil"/>
            </w:tcBorders>
            <w:shd w:val="clear" w:color="auto" w:fill="auto"/>
            <w:noWrap/>
            <w:vAlign w:val="center"/>
            <w:hideMark/>
          </w:tcPr>
          <w:p w14:paraId="4D257614"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1533(22.83%, N=6716)</w:t>
            </w:r>
          </w:p>
        </w:tc>
        <w:tc>
          <w:tcPr>
            <w:tcW w:w="1222" w:type="pct"/>
            <w:tcBorders>
              <w:top w:val="nil"/>
              <w:left w:val="nil"/>
              <w:bottom w:val="nil"/>
              <w:right w:val="nil"/>
            </w:tcBorders>
            <w:shd w:val="clear" w:color="auto" w:fill="auto"/>
            <w:noWrap/>
            <w:vAlign w:val="center"/>
            <w:hideMark/>
          </w:tcPr>
          <w:p w14:paraId="312FB396"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7393(18.91%, N=39102)</w:t>
            </w:r>
          </w:p>
        </w:tc>
      </w:tr>
      <w:tr w:rsidR="00D12091" w:rsidRPr="00F1231D" w14:paraId="4A79929F" w14:textId="77777777" w:rsidTr="001D28BC">
        <w:trPr>
          <w:trHeight w:val="300"/>
        </w:trPr>
        <w:tc>
          <w:tcPr>
            <w:tcW w:w="1448" w:type="pct"/>
            <w:tcBorders>
              <w:top w:val="nil"/>
              <w:left w:val="nil"/>
              <w:bottom w:val="nil"/>
              <w:right w:val="nil"/>
            </w:tcBorders>
            <w:shd w:val="clear" w:color="auto" w:fill="auto"/>
            <w:noWrap/>
            <w:vAlign w:val="center"/>
            <w:hideMark/>
          </w:tcPr>
          <w:p w14:paraId="13B1CF37"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Inpatient care, n(%)</w:t>
            </w:r>
          </w:p>
        </w:tc>
        <w:tc>
          <w:tcPr>
            <w:tcW w:w="1222" w:type="pct"/>
            <w:tcBorders>
              <w:top w:val="nil"/>
              <w:left w:val="nil"/>
              <w:bottom w:val="nil"/>
              <w:right w:val="nil"/>
            </w:tcBorders>
            <w:shd w:val="clear" w:color="auto" w:fill="auto"/>
            <w:noWrap/>
            <w:vAlign w:val="center"/>
            <w:hideMark/>
          </w:tcPr>
          <w:p w14:paraId="27672D99"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5770(12.56%, N=45932)</w:t>
            </w:r>
          </w:p>
        </w:tc>
        <w:tc>
          <w:tcPr>
            <w:tcW w:w="1109" w:type="pct"/>
            <w:tcBorders>
              <w:top w:val="nil"/>
              <w:left w:val="nil"/>
              <w:bottom w:val="nil"/>
              <w:right w:val="nil"/>
            </w:tcBorders>
            <w:shd w:val="clear" w:color="auto" w:fill="auto"/>
            <w:noWrap/>
            <w:vAlign w:val="center"/>
            <w:hideMark/>
          </w:tcPr>
          <w:p w14:paraId="3C4D1E66"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1220(18.15%, N=6722)</w:t>
            </w:r>
          </w:p>
        </w:tc>
        <w:tc>
          <w:tcPr>
            <w:tcW w:w="1222" w:type="pct"/>
            <w:tcBorders>
              <w:top w:val="nil"/>
              <w:left w:val="nil"/>
              <w:bottom w:val="nil"/>
              <w:right w:val="nil"/>
            </w:tcBorders>
            <w:shd w:val="clear" w:color="auto" w:fill="auto"/>
            <w:noWrap/>
            <w:vAlign w:val="center"/>
            <w:hideMark/>
          </w:tcPr>
          <w:p w14:paraId="75940465"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4550(11.6%, N=39210)</w:t>
            </w:r>
          </w:p>
        </w:tc>
      </w:tr>
      <w:tr w:rsidR="00D12091" w:rsidRPr="00F1231D" w14:paraId="3DDF9C14" w14:textId="77777777" w:rsidTr="001D28BC">
        <w:trPr>
          <w:trHeight w:val="300"/>
        </w:trPr>
        <w:tc>
          <w:tcPr>
            <w:tcW w:w="1448" w:type="pct"/>
            <w:tcBorders>
              <w:top w:val="nil"/>
              <w:left w:val="nil"/>
              <w:bottom w:val="nil"/>
              <w:right w:val="nil"/>
            </w:tcBorders>
            <w:shd w:val="clear" w:color="auto" w:fill="auto"/>
            <w:noWrap/>
            <w:vAlign w:val="center"/>
            <w:hideMark/>
          </w:tcPr>
          <w:p w14:paraId="34FAC863"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Self-treatment, n(%)</w:t>
            </w:r>
          </w:p>
        </w:tc>
        <w:tc>
          <w:tcPr>
            <w:tcW w:w="1222" w:type="pct"/>
            <w:tcBorders>
              <w:top w:val="nil"/>
              <w:left w:val="nil"/>
              <w:bottom w:val="nil"/>
              <w:right w:val="nil"/>
            </w:tcBorders>
            <w:shd w:val="clear" w:color="auto" w:fill="auto"/>
            <w:noWrap/>
            <w:vAlign w:val="center"/>
            <w:hideMark/>
          </w:tcPr>
          <w:p w14:paraId="13E643A7"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24510(53.36%, N=45932)</w:t>
            </w:r>
          </w:p>
        </w:tc>
        <w:tc>
          <w:tcPr>
            <w:tcW w:w="1109" w:type="pct"/>
            <w:tcBorders>
              <w:top w:val="nil"/>
              <w:left w:val="nil"/>
              <w:bottom w:val="nil"/>
              <w:right w:val="nil"/>
            </w:tcBorders>
            <w:shd w:val="clear" w:color="auto" w:fill="auto"/>
            <w:noWrap/>
            <w:vAlign w:val="center"/>
            <w:hideMark/>
          </w:tcPr>
          <w:p w14:paraId="03BE0E4D"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3991(59.37%, N=6722)</w:t>
            </w:r>
          </w:p>
        </w:tc>
        <w:tc>
          <w:tcPr>
            <w:tcW w:w="1222" w:type="pct"/>
            <w:tcBorders>
              <w:top w:val="nil"/>
              <w:left w:val="nil"/>
              <w:bottom w:val="nil"/>
              <w:right w:val="nil"/>
            </w:tcBorders>
            <w:shd w:val="clear" w:color="auto" w:fill="auto"/>
            <w:noWrap/>
            <w:vAlign w:val="center"/>
            <w:hideMark/>
          </w:tcPr>
          <w:p w14:paraId="2D374F07"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20519(52.33%, N=39210)</w:t>
            </w:r>
          </w:p>
        </w:tc>
      </w:tr>
      <w:tr w:rsidR="00D12091" w:rsidRPr="00F1231D" w14:paraId="2AFE555D" w14:textId="77777777" w:rsidTr="001D28BC">
        <w:trPr>
          <w:trHeight w:val="300"/>
        </w:trPr>
        <w:tc>
          <w:tcPr>
            <w:tcW w:w="1448" w:type="pct"/>
            <w:tcBorders>
              <w:top w:val="nil"/>
              <w:left w:val="nil"/>
              <w:bottom w:val="nil"/>
              <w:right w:val="nil"/>
            </w:tcBorders>
            <w:shd w:val="clear" w:color="auto" w:fill="auto"/>
            <w:noWrap/>
            <w:vAlign w:val="center"/>
            <w:hideMark/>
          </w:tcPr>
          <w:p w14:paraId="4673919E"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Loutpacare_total</w:t>
            </w:r>
          </w:p>
        </w:tc>
        <w:tc>
          <w:tcPr>
            <w:tcW w:w="1222" w:type="pct"/>
            <w:tcBorders>
              <w:top w:val="nil"/>
              <w:left w:val="nil"/>
              <w:bottom w:val="nil"/>
              <w:right w:val="nil"/>
            </w:tcBorders>
            <w:shd w:val="clear" w:color="auto" w:fill="auto"/>
            <w:noWrap/>
            <w:vAlign w:val="center"/>
            <w:hideMark/>
          </w:tcPr>
          <w:p w14:paraId="5AA638E2"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5.28(1.87,N=8712)</w:t>
            </w:r>
          </w:p>
        </w:tc>
        <w:tc>
          <w:tcPr>
            <w:tcW w:w="1109" w:type="pct"/>
            <w:tcBorders>
              <w:top w:val="nil"/>
              <w:left w:val="nil"/>
              <w:bottom w:val="nil"/>
              <w:right w:val="nil"/>
            </w:tcBorders>
            <w:shd w:val="clear" w:color="auto" w:fill="auto"/>
            <w:noWrap/>
            <w:vAlign w:val="center"/>
            <w:hideMark/>
          </w:tcPr>
          <w:p w14:paraId="35E111D1"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5.27(2.03, N=1496)</w:t>
            </w:r>
          </w:p>
        </w:tc>
        <w:tc>
          <w:tcPr>
            <w:tcW w:w="1222" w:type="pct"/>
            <w:tcBorders>
              <w:top w:val="nil"/>
              <w:left w:val="nil"/>
              <w:bottom w:val="nil"/>
              <w:right w:val="nil"/>
            </w:tcBorders>
            <w:shd w:val="clear" w:color="auto" w:fill="auto"/>
            <w:noWrap/>
            <w:vAlign w:val="center"/>
            <w:hideMark/>
          </w:tcPr>
          <w:p w14:paraId="16753EFE"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5.28(1.84, N=7216)</w:t>
            </w:r>
          </w:p>
        </w:tc>
      </w:tr>
      <w:tr w:rsidR="00D12091" w:rsidRPr="00F1231D" w14:paraId="1F59BE41" w14:textId="77777777" w:rsidTr="001D28BC">
        <w:trPr>
          <w:trHeight w:val="300"/>
        </w:trPr>
        <w:tc>
          <w:tcPr>
            <w:tcW w:w="1448" w:type="pct"/>
            <w:tcBorders>
              <w:top w:val="nil"/>
              <w:left w:val="nil"/>
              <w:bottom w:val="nil"/>
              <w:right w:val="nil"/>
            </w:tcBorders>
            <w:shd w:val="clear" w:color="auto" w:fill="auto"/>
            <w:noWrap/>
            <w:vAlign w:val="center"/>
            <w:hideMark/>
          </w:tcPr>
          <w:p w14:paraId="7A1DA860"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Loutpacare_oop</w:t>
            </w:r>
          </w:p>
        </w:tc>
        <w:tc>
          <w:tcPr>
            <w:tcW w:w="1222" w:type="pct"/>
            <w:tcBorders>
              <w:top w:val="nil"/>
              <w:left w:val="nil"/>
              <w:bottom w:val="nil"/>
              <w:right w:val="nil"/>
            </w:tcBorders>
            <w:shd w:val="clear" w:color="auto" w:fill="auto"/>
            <w:noWrap/>
            <w:vAlign w:val="center"/>
            <w:hideMark/>
          </w:tcPr>
          <w:p w14:paraId="5ED151AD"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5.06(1.85, N=8609)</w:t>
            </w:r>
          </w:p>
        </w:tc>
        <w:tc>
          <w:tcPr>
            <w:tcW w:w="1109" w:type="pct"/>
            <w:tcBorders>
              <w:top w:val="nil"/>
              <w:left w:val="nil"/>
              <w:bottom w:val="nil"/>
              <w:right w:val="nil"/>
            </w:tcBorders>
            <w:shd w:val="clear" w:color="auto" w:fill="auto"/>
            <w:noWrap/>
            <w:vAlign w:val="center"/>
            <w:hideMark/>
          </w:tcPr>
          <w:p w14:paraId="1F373BC8"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5.0(1.95, N=1462)</w:t>
            </w:r>
          </w:p>
        </w:tc>
        <w:tc>
          <w:tcPr>
            <w:tcW w:w="1222" w:type="pct"/>
            <w:tcBorders>
              <w:top w:val="nil"/>
              <w:left w:val="nil"/>
              <w:bottom w:val="nil"/>
              <w:right w:val="nil"/>
            </w:tcBorders>
            <w:shd w:val="clear" w:color="auto" w:fill="auto"/>
            <w:noWrap/>
            <w:vAlign w:val="center"/>
            <w:hideMark/>
          </w:tcPr>
          <w:p w14:paraId="24FD2AA5"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5.08(1.83, N=7147)</w:t>
            </w:r>
          </w:p>
        </w:tc>
      </w:tr>
      <w:tr w:rsidR="00D12091" w:rsidRPr="00F1231D" w14:paraId="250D6E48" w14:textId="77777777" w:rsidTr="001D28BC">
        <w:trPr>
          <w:trHeight w:val="300"/>
        </w:trPr>
        <w:tc>
          <w:tcPr>
            <w:tcW w:w="1448" w:type="pct"/>
            <w:tcBorders>
              <w:top w:val="nil"/>
              <w:left w:val="nil"/>
              <w:bottom w:val="nil"/>
              <w:right w:val="nil"/>
            </w:tcBorders>
            <w:shd w:val="clear" w:color="auto" w:fill="auto"/>
            <w:noWrap/>
            <w:vAlign w:val="center"/>
            <w:hideMark/>
          </w:tcPr>
          <w:p w14:paraId="50E493F0"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Loutpacare_total1</w:t>
            </w:r>
          </w:p>
        </w:tc>
        <w:tc>
          <w:tcPr>
            <w:tcW w:w="1222" w:type="pct"/>
            <w:tcBorders>
              <w:top w:val="nil"/>
              <w:left w:val="nil"/>
              <w:bottom w:val="nil"/>
              <w:right w:val="nil"/>
            </w:tcBorders>
            <w:shd w:val="clear" w:color="auto" w:fill="auto"/>
            <w:noWrap/>
            <w:vAlign w:val="center"/>
            <w:hideMark/>
          </w:tcPr>
          <w:p w14:paraId="6C0C2D3C"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4.95(1.93, N=8625)</w:t>
            </w:r>
          </w:p>
        </w:tc>
        <w:tc>
          <w:tcPr>
            <w:tcW w:w="1109" w:type="pct"/>
            <w:tcBorders>
              <w:top w:val="nil"/>
              <w:left w:val="nil"/>
              <w:bottom w:val="nil"/>
              <w:right w:val="nil"/>
            </w:tcBorders>
            <w:shd w:val="clear" w:color="auto" w:fill="auto"/>
            <w:noWrap/>
            <w:vAlign w:val="center"/>
            <w:hideMark/>
          </w:tcPr>
          <w:p w14:paraId="2A3048D7"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4.95(2.08, N=1477)</w:t>
            </w:r>
          </w:p>
        </w:tc>
        <w:tc>
          <w:tcPr>
            <w:tcW w:w="1222" w:type="pct"/>
            <w:tcBorders>
              <w:top w:val="nil"/>
              <w:left w:val="nil"/>
              <w:bottom w:val="nil"/>
              <w:right w:val="nil"/>
            </w:tcBorders>
            <w:shd w:val="clear" w:color="auto" w:fill="auto"/>
            <w:noWrap/>
            <w:vAlign w:val="center"/>
            <w:hideMark/>
          </w:tcPr>
          <w:p w14:paraId="19672544"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4.94(1.89, N=7148)</w:t>
            </w:r>
          </w:p>
        </w:tc>
      </w:tr>
      <w:tr w:rsidR="00D12091" w:rsidRPr="00F1231D" w14:paraId="46572640" w14:textId="77777777" w:rsidTr="001D28BC">
        <w:trPr>
          <w:trHeight w:val="300"/>
        </w:trPr>
        <w:tc>
          <w:tcPr>
            <w:tcW w:w="1448" w:type="pct"/>
            <w:tcBorders>
              <w:top w:val="nil"/>
              <w:left w:val="nil"/>
              <w:bottom w:val="nil"/>
              <w:right w:val="nil"/>
            </w:tcBorders>
            <w:shd w:val="clear" w:color="auto" w:fill="auto"/>
            <w:noWrap/>
            <w:vAlign w:val="center"/>
            <w:hideMark/>
          </w:tcPr>
          <w:p w14:paraId="0F4C8C10"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Loutpacare_oop1</w:t>
            </w:r>
          </w:p>
        </w:tc>
        <w:tc>
          <w:tcPr>
            <w:tcW w:w="1222" w:type="pct"/>
            <w:tcBorders>
              <w:top w:val="nil"/>
              <w:left w:val="nil"/>
              <w:bottom w:val="nil"/>
              <w:right w:val="nil"/>
            </w:tcBorders>
            <w:shd w:val="clear" w:color="auto" w:fill="auto"/>
            <w:noWrap/>
            <w:vAlign w:val="center"/>
            <w:hideMark/>
          </w:tcPr>
          <w:p w14:paraId="06A5F55E"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4.75(1.87, N=8513)</w:t>
            </w:r>
          </w:p>
        </w:tc>
        <w:tc>
          <w:tcPr>
            <w:tcW w:w="1109" w:type="pct"/>
            <w:tcBorders>
              <w:top w:val="nil"/>
              <w:left w:val="nil"/>
              <w:bottom w:val="nil"/>
              <w:right w:val="nil"/>
            </w:tcBorders>
            <w:shd w:val="clear" w:color="auto" w:fill="auto"/>
            <w:noWrap/>
            <w:vAlign w:val="center"/>
            <w:hideMark/>
          </w:tcPr>
          <w:p w14:paraId="27C2C96D"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4.66(1.98, N=1445)</w:t>
            </w:r>
          </w:p>
        </w:tc>
        <w:tc>
          <w:tcPr>
            <w:tcW w:w="1222" w:type="pct"/>
            <w:tcBorders>
              <w:top w:val="nil"/>
              <w:left w:val="nil"/>
              <w:bottom w:val="nil"/>
              <w:right w:val="nil"/>
            </w:tcBorders>
            <w:shd w:val="clear" w:color="auto" w:fill="auto"/>
            <w:noWrap/>
            <w:vAlign w:val="center"/>
            <w:hideMark/>
          </w:tcPr>
          <w:p w14:paraId="76B62FDD"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4.77(1.85, N=7068)</w:t>
            </w:r>
          </w:p>
        </w:tc>
      </w:tr>
      <w:tr w:rsidR="00D12091" w:rsidRPr="00F1231D" w14:paraId="7F183547" w14:textId="77777777" w:rsidTr="001D28BC">
        <w:trPr>
          <w:trHeight w:val="300"/>
        </w:trPr>
        <w:tc>
          <w:tcPr>
            <w:tcW w:w="1448" w:type="pct"/>
            <w:tcBorders>
              <w:top w:val="nil"/>
              <w:left w:val="nil"/>
              <w:bottom w:val="nil"/>
              <w:right w:val="nil"/>
            </w:tcBorders>
            <w:shd w:val="clear" w:color="auto" w:fill="auto"/>
            <w:noWrap/>
            <w:vAlign w:val="center"/>
            <w:hideMark/>
          </w:tcPr>
          <w:p w14:paraId="18632D8F"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Linpacare_total</w:t>
            </w:r>
          </w:p>
        </w:tc>
        <w:tc>
          <w:tcPr>
            <w:tcW w:w="1222" w:type="pct"/>
            <w:tcBorders>
              <w:top w:val="nil"/>
              <w:left w:val="nil"/>
              <w:bottom w:val="nil"/>
              <w:right w:val="nil"/>
            </w:tcBorders>
            <w:shd w:val="clear" w:color="auto" w:fill="auto"/>
            <w:noWrap/>
            <w:vAlign w:val="center"/>
            <w:hideMark/>
          </w:tcPr>
          <w:p w14:paraId="2FD7854A"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8.44(1.42, N=5555)</w:t>
            </w:r>
          </w:p>
        </w:tc>
        <w:tc>
          <w:tcPr>
            <w:tcW w:w="1109" w:type="pct"/>
            <w:tcBorders>
              <w:top w:val="nil"/>
              <w:left w:val="nil"/>
              <w:bottom w:val="nil"/>
              <w:right w:val="nil"/>
            </w:tcBorders>
            <w:shd w:val="clear" w:color="auto" w:fill="auto"/>
            <w:noWrap/>
            <w:vAlign w:val="center"/>
            <w:hideMark/>
          </w:tcPr>
          <w:p w14:paraId="7A214684"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8.34(1.53, N=1170)</w:t>
            </w:r>
          </w:p>
        </w:tc>
        <w:tc>
          <w:tcPr>
            <w:tcW w:w="1222" w:type="pct"/>
            <w:tcBorders>
              <w:top w:val="nil"/>
              <w:left w:val="nil"/>
              <w:bottom w:val="nil"/>
              <w:right w:val="nil"/>
            </w:tcBorders>
            <w:shd w:val="clear" w:color="auto" w:fill="auto"/>
            <w:noWrap/>
            <w:vAlign w:val="center"/>
            <w:hideMark/>
          </w:tcPr>
          <w:p w14:paraId="699B1F9A"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8.46(1.39, N=4385)</w:t>
            </w:r>
          </w:p>
        </w:tc>
      </w:tr>
      <w:tr w:rsidR="00D12091" w:rsidRPr="00F1231D" w14:paraId="7AC309E0" w14:textId="77777777" w:rsidTr="001D28BC">
        <w:trPr>
          <w:trHeight w:val="300"/>
        </w:trPr>
        <w:tc>
          <w:tcPr>
            <w:tcW w:w="1448" w:type="pct"/>
            <w:tcBorders>
              <w:top w:val="nil"/>
              <w:left w:val="nil"/>
              <w:bottom w:val="nil"/>
              <w:right w:val="nil"/>
            </w:tcBorders>
            <w:shd w:val="clear" w:color="auto" w:fill="auto"/>
            <w:noWrap/>
            <w:vAlign w:val="center"/>
            <w:hideMark/>
          </w:tcPr>
          <w:p w14:paraId="5EC0D8EE"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Linpacare_oop</w:t>
            </w:r>
          </w:p>
        </w:tc>
        <w:tc>
          <w:tcPr>
            <w:tcW w:w="1222" w:type="pct"/>
            <w:tcBorders>
              <w:top w:val="nil"/>
              <w:left w:val="nil"/>
              <w:bottom w:val="nil"/>
              <w:right w:val="nil"/>
            </w:tcBorders>
            <w:shd w:val="clear" w:color="auto" w:fill="auto"/>
            <w:noWrap/>
            <w:vAlign w:val="center"/>
            <w:hideMark/>
          </w:tcPr>
          <w:p w14:paraId="274F1148"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7.61(1.96, N=5447)</w:t>
            </w:r>
          </w:p>
        </w:tc>
        <w:tc>
          <w:tcPr>
            <w:tcW w:w="1109" w:type="pct"/>
            <w:tcBorders>
              <w:top w:val="nil"/>
              <w:left w:val="nil"/>
              <w:bottom w:val="nil"/>
              <w:right w:val="nil"/>
            </w:tcBorders>
            <w:shd w:val="clear" w:color="auto" w:fill="auto"/>
            <w:noWrap/>
            <w:vAlign w:val="center"/>
            <w:hideMark/>
          </w:tcPr>
          <w:p w14:paraId="1F56C370"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7.22(2.19, N=1144)</w:t>
            </w:r>
          </w:p>
        </w:tc>
        <w:tc>
          <w:tcPr>
            <w:tcW w:w="1222" w:type="pct"/>
            <w:tcBorders>
              <w:top w:val="nil"/>
              <w:left w:val="nil"/>
              <w:bottom w:val="nil"/>
              <w:right w:val="nil"/>
            </w:tcBorders>
            <w:shd w:val="clear" w:color="auto" w:fill="auto"/>
            <w:noWrap/>
            <w:vAlign w:val="center"/>
            <w:hideMark/>
          </w:tcPr>
          <w:p w14:paraId="5E944FB7"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7.71(1.88, N=4303)</w:t>
            </w:r>
          </w:p>
        </w:tc>
      </w:tr>
      <w:tr w:rsidR="00D12091" w:rsidRPr="00F1231D" w14:paraId="7E4AD02F" w14:textId="77777777" w:rsidTr="001D28BC">
        <w:trPr>
          <w:trHeight w:val="300"/>
        </w:trPr>
        <w:tc>
          <w:tcPr>
            <w:tcW w:w="1448" w:type="pct"/>
            <w:tcBorders>
              <w:top w:val="nil"/>
              <w:left w:val="nil"/>
              <w:bottom w:val="nil"/>
              <w:right w:val="nil"/>
            </w:tcBorders>
            <w:shd w:val="clear" w:color="auto" w:fill="auto"/>
            <w:noWrap/>
            <w:vAlign w:val="center"/>
            <w:hideMark/>
          </w:tcPr>
          <w:p w14:paraId="275ED3E2"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Linpacare_total1</w:t>
            </w:r>
          </w:p>
        </w:tc>
        <w:tc>
          <w:tcPr>
            <w:tcW w:w="1222" w:type="pct"/>
            <w:tcBorders>
              <w:top w:val="nil"/>
              <w:left w:val="nil"/>
              <w:bottom w:val="nil"/>
              <w:right w:val="nil"/>
            </w:tcBorders>
            <w:shd w:val="clear" w:color="auto" w:fill="auto"/>
            <w:noWrap/>
            <w:vAlign w:val="center"/>
            <w:hideMark/>
          </w:tcPr>
          <w:p w14:paraId="7BF3422A"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8.21(1.39, N=5486)</w:t>
            </w:r>
          </w:p>
        </w:tc>
        <w:tc>
          <w:tcPr>
            <w:tcW w:w="1109" w:type="pct"/>
            <w:tcBorders>
              <w:top w:val="nil"/>
              <w:left w:val="nil"/>
              <w:bottom w:val="nil"/>
              <w:right w:val="nil"/>
            </w:tcBorders>
            <w:shd w:val="clear" w:color="auto" w:fill="auto"/>
            <w:noWrap/>
            <w:vAlign w:val="center"/>
            <w:hideMark/>
          </w:tcPr>
          <w:p w14:paraId="3E3E46E2"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8.01(1.51, N=1141)</w:t>
            </w:r>
          </w:p>
        </w:tc>
        <w:tc>
          <w:tcPr>
            <w:tcW w:w="1222" w:type="pct"/>
            <w:tcBorders>
              <w:top w:val="nil"/>
              <w:left w:val="nil"/>
              <w:bottom w:val="nil"/>
              <w:right w:val="nil"/>
            </w:tcBorders>
            <w:shd w:val="clear" w:color="auto" w:fill="auto"/>
            <w:noWrap/>
            <w:vAlign w:val="center"/>
            <w:hideMark/>
          </w:tcPr>
          <w:p w14:paraId="76322F3B"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8.26(1.36, N=4345)</w:t>
            </w:r>
          </w:p>
        </w:tc>
      </w:tr>
      <w:tr w:rsidR="00D12091" w:rsidRPr="00F1231D" w14:paraId="66625E9D" w14:textId="77777777" w:rsidTr="001D28BC">
        <w:trPr>
          <w:trHeight w:val="300"/>
        </w:trPr>
        <w:tc>
          <w:tcPr>
            <w:tcW w:w="1448" w:type="pct"/>
            <w:tcBorders>
              <w:top w:val="nil"/>
              <w:left w:val="nil"/>
              <w:bottom w:val="nil"/>
              <w:right w:val="nil"/>
            </w:tcBorders>
            <w:shd w:val="clear" w:color="auto" w:fill="auto"/>
            <w:noWrap/>
            <w:vAlign w:val="center"/>
            <w:hideMark/>
          </w:tcPr>
          <w:p w14:paraId="17218EB1"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Linpacare_oop1</w:t>
            </w:r>
          </w:p>
        </w:tc>
        <w:tc>
          <w:tcPr>
            <w:tcW w:w="1222" w:type="pct"/>
            <w:tcBorders>
              <w:top w:val="nil"/>
              <w:left w:val="nil"/>
              <w:bottom w:val="nil"/>
              <w:right w:val="nil"/>
            </w:tcBorders>
            <w:shd w:val="clear" w:color="auto" w:fill="auto"/>
            <w:noWrap/>
            <w:vAlign w:val="center"/>
            <w:hideMark/>
          </w:tcPr>
          <w:p w14:paraId="7D6BDA43"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7.37(1.97, N=5345)</w:t>
            </w:r>
          </w:p>
        </w:tc>
        <w:tc>
          <w:tcPr>
            <w:tcW w:w="1109" w:type="pct"/>
            <w:tcBorders>
              <w:top w:val="nil"/>
              <w:left w:val="nil"/>
              <w:bottom w:val="nil"/>
              <w:right w:val="nil"/>
            </w:tcBorders>
            <w:shd w:val="clear" w:color="auto" w:fill="auto"/>
            <w:noWrap/>
            <w:vAlign w:val="center"/>
            <w:hideMark/>
          </w:tcPr>
          <w:p w14:paraId="2DA144DC"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6.87(2.19, N=1114)</w:t>
            </w:r>
          </w:p>
        </w:tc>
        <w:tc>
          <w:tcPr>
            <w:tcW w:w="1222" w:type="pct"/>
            <w:tcBorders>
              <w:top w:val="nil"/>
              <w:left w:val="nil"/>
              <w:bottom w:val="nil"/>
              <w:right w:val="nil"/>
            </w:tcBorders>
            <w:shd w:val="clear" w:color="auto" w:fill="auto"/>
            <w:noWrap/>
            <w:vAlign w:val="center"/>
            <w:hideMark/>
          </w:tcPr>
          <w:p w14:paraId="1EDB83F7"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7.51(1.88, N=4231)</w:t>
            </w:r>
          </w:p>
        </w:tc>
      </w:tr>
      <w:tr w:rsidR="00D12091" w:rsidRPr="00F1231D" w14:paraId="644E8494" w14:textId="77777777" w:rsidTr="001D28BC">
        <w:trPr>
          <w:trHeight w:val="300"/>
        </w:trPr>
        <w:tc>
          <w:tcPr>
            <w:tcW w:w="1448" w:type="pct"/>
            <w:tcBorders>
              <w:top w:val="nil"/>
              <w:left w:val="nil"/>
              <w:bottom w:val="nil"/>
              <w:right w:val="nil"/>
            </w:tcBorders>
            <w:shd w:val="clear" w:color="auto" w:fill="auto"/>
            <w:noWrap/>
            <w:vAlign w:val="center"/>
            <w:hideMark/>
          </w:tcPr>
          <w:p w14:paraId="66D49C9A"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Lselfmedicare_total</w:t>
            </w:r>
          </w:p>
        </w:tc>
        <w:tc>
          <w:tcPr>
            <w:tcW w:w="1222" w:type="pct"/>
            <w:tcBorders>
              <w:top w:val="nil"/>
              <w:left w:val="nil"/>
              <w:bottom w:val="nil"/>
              <w:right w:val="nil"/>
            </w:tcBorders>
            <w:shd w:val="clear" w:color="auto" w:fill="auto"/>
            <w:noWrap/>
            <w:vAlign w:val="center"/>
            <w:hideMark/>
          </w:tcPr>
          <w:p w14:paraId="0588AB8C"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4.32(1.45, N=23093)</w:t>
            </w:r>
          </w:p>
        </w:tc>
        <w:tc>
          <w:tcPr>
            <w:tcW w:w="1109" w:type="pct"/>
            <w:tcBorders>
              <w:top w:val="nil"/>
              <w:left w:val="nil"/>
              <w:bottom w:val="nil"/>
              <w:right w:val="nil"/>
            </w:tcBorders>
            <w:shd w:val="clear" w:color="auto" w:fill="auto"/>
            <w:noWrap/>
            <w:vAlign w:val="center"/>
            <w:hideMark/>
          </w:tcPr>
          <w:p w14:paraId="6729C70A"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4.48(1.44, N=3743)</w:t>
            </w:r>
          </w:p>
        </w:tc>
        <w:tc>
          <w:tcPr>
            <w:tcW w:w="1222" w:type="pct"/>
            <w:tcBorders>
              <w:top w:val="nil"/>
              <w:left w:val="nil"/>
              <w:bottom w:val="nil"/>
              <w:right w:val="nil"/>
            </w:tcBorders>
            <w:shd w:val="clear" w:color="auto" w:fill="auto"/>
            <w:noWrap/>
            <w:vAlign w:val="center"/>
            <w:hideMark/>
          </w:tcPr>
          <w:p w14:paraId="48C5B8C7"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4.29(1.45, N=19350)</w:t>
            </w:r>
          </w:p>
        </w:tc>
      </w:tr>
      <w:tr w:rsidR="00D12091" w:rsidRPr="00F1231D" w14:paraId="0696D1EC" w14:textId="77777777" w:rsidTr="001D28BC">
        <w:trPr>
          <w:trHeight w:val="300"/>
        </w:trPr>
        <w:tc>
          <w:tcPr>
            <w:tcW w:w="1448" w:type="pct"/>
            <w:tcBorders>
              <w:top w:val="nil"/>
              <w:left w:val="nil"/>
              <w:bottom w:val="nil"/>
              <w:right w:val="nil"/>
            </w:tcBorders>
            <w:shd w:val="clear" w:color="auto" w:fill="auto"/>
            <w:noWrap/>
            <w:vAlign w:val="center"/>
            <w:hideMark/>
          </w:tcPr>
          <w:p w14:paraId="33411D40"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Lselfmedicare_oop</w:t>
            </w:r>
          </w:p>
        </w:tc>
        <w:tc>
          <w:tcPr>
            <w:tcW w:w="1222" w:type="pct"/>
            <w:tcBorders>
              <w:top w:val="nil"/>
              <w:left w:val="nil"/>
              <w:bottom w:val="nil"/>
              <w:right w:val="nil"/>
            </w:tcBorders>
            <w:shd w:val="clear" w:color="auto" w:fill="auto"/>
            <w:noWrap/>
            <w:vAlign w:val="center"/>
            <w:hideMark/>
          </w:tcPr>
          <w:p w14:paraId="640BE0E9"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4.28(1.45, N=22645)</w:t>
            </w:r>
          </w:p>
        </w:tc>
        <w:tc>
          <w:tcPr>
            <w:tcW w:w="1109" w:type="pct"/>
            <w:tcBorders>
              <w:top w:val="nil"/>
              <w:left w:val="nil"/>
              <w:bottom w:val="nil"/>
              <w:right w:val="nil"/>
            </w:tcBorders>
            <w:shd w:val="clear" w:color="auto" w:fill="auto"/>
            <w:noWrap/>
            <w:vAlign w:val="center"/>
            <w:hideMark/>
          </w:tcPr>
          <w:p w14:paraId="36C0417B"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4.43(1.44, N=3701)</w:t>
            </w:r>
          </w:p>
        </w:tc>
        <w:tc>
          <w:tcPr>
            <w:tcW w:w="1222" w:type="pct"/>
            <w:tcBorders>
              <w:top w:val="nil"/>
              <w:left w:val="nil"/>
              <w:bottom w:val="nil"/>
              <w:right w:val="nil"/>
            </w:tcBorders>
            <w:shd w:val="clear" w:color="auto" w:fill="auto"/>
            <w:noWrap/>
            <w:vAlign w:val="center"/>
            <w:hideMark/>
          </w:tcPr>
          <w:p w14:paraId="089CE8AC"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4.25(1.45, N=18944)</w:t>
            </w:r>
          </w:p>
        </w:tc>
      </w:tr>
      <w:tr w:rsidR="00D12091" w:rsidRPr="00F1231D" w14:paraId="35A7D8D2" w14:textId="77777777" w:rsidTr="001D28BC">
        <w:trPr>
          <w:trHeight w:val="300"/>
        </w:trPr>
        <w:tc>
          <w:tcPr>
            <w:tcW w:w="1448" w:type="pct"/>
            <w:tcBorders>
              <w:top w:val="nil"/>
              <w:left w:val="nil"/>
              <w:bottom w:val="nil"/>
              <w:right w:val="nil"/>
            </w:tcBorders>
            <w:shd w:val="clear" w:color="auto" w:fill="auto"/>
            <w:noWrap/>
            <w:vAlign w:val="center"/>
            <w:hideMark/>
          </w:tcPr>
          <w:p w14:paraId="6300107E"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Lmedi_expen</w:t>
            </w:r>
          </w:p>
        </w:tc>
        <w:tc>
          <w:tcPr>
            <w:tcW w:w="1222" w:type="pct"/>
            <w:tcBorders>
              <w:top w:val="nil"/>
              <w:left w:val="nil"/>
              <w:bottom w:val="nil"/>
              <w:right w:val="nil"/>
            </w:tcBorders>
            <w:shd w:val="clear" w:color="auto" w:fill="auto"/>
            <w:noWrap/>
            <w:vAlign w:val="center"/>
            <w:hideMark/>
          </w:tcPr>
          <w:p w14:paraId="14858FBD"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7.44(1.50, N=31625)</w:t>
            </w:r>
          </w:p>
        </w:tc>
        <w:tc>
          <w:tcPr>
            <w:tcW w:w="1109" w:type="pct"/>
            <w:tcBorders>
              <w:top w:val="nil"/>
              <w:left w:val="nil"/>
              <w:bottom w:val="nil"/>
              <w:right w:val="nil"/>
            </w:tcBorders>
            <w:shd w:val="clear" w:color="auto" w:fill="auto"/>
            <w:noWrap/>
            <w:vAlign w:val="center"/>
            <w:hideMark/>
          </w:tcPr>
          <w:p w14:paraId="62E7F098"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7.58(1.55, N=4812)</w:t>
            </w:r>
          </w:p>
        </w:tc>
        <w:tc>
          <w:tcPr>
            <w:tcW w:w="1222" w:type="pct"/>
            <w:tcBorders>
              <w:top w:val="nil"/>
              <w:left w:val="nil"/>
              <w:bottom w:val="nil"/>
              <w:right w:val="nil"/>
            </w:tcBorders>
            <w:shd w:val="clear" w:color="auto" w:fill="auto"/>
            <w:noWrap/>
            <w:vAlign w:val="center"/>
            <w:hideMark/>
          </w:tcPr>
          <w:p w14:paraId="7705D420"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7.41(1.50, N=26813)</w:t>
            </w:r>
          </w:p>
        </w:tc>
      </w:tr>
      <w:tr w:rsidR="00D12091" w:rsidRPr="00F1231D" w14:paraId="5671B8B5" w14:textId="77777777" w:rsidTr="001D28BC">
        <w:trPr>
          <w:trHeight w:val="300"/>
        </w:trPr>
        <w:tc>
          <w:tcPr>
            <w:tcW w:w="1448" w:type="pct"/>
            <w:tcBorders>
              <w:top w:val="nil"/>
              <w:left w:val="nil"/>
              <w:bottom w:val="nil"/>
              <w:right w:val="nil"/>
            </w:tcBorders>
            <w:shd w:val="clear" w:color="auto" w:fill="auto"/>
            <w:noWrap/>
            <w:vAlign w:val="center"/>
            <w:hideMark/>
          </w:tcPr>
          <w:p w14:paraId="0335BA3F"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Lfctp</w:t>
            </w:r>
          </w:p>
        </w:tc>
        <w:tc>
          <w:tcPr>
            <w:tcW w:w="1222" w:type="pct"/>
            <w:tcBorders>
              <w:top w:val="nil"/>
              <w:left w:val="nil"/>
              <w:bottom w:val="nil"/>
              <w:right w:val="nil"/>
            </w:tcBorders>
            <w:shd w:val="clear" w:color="auto" w:fill="auto"/>
            <w:noWrap/>
            <w:vAlign w:val="center"/>
            <w:hideMark/>
          </w:tcPr>
          <w:p w14:paraId="3F36C114"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8.95(1.34, N=37241)</w:t>
            </w:r>
          </w:p>
        </w:tc>
        <w:tc>
          <w:tcPr>
            <w:tcW w:w="1109" w:type="pct"/>
            <w:tcBorders>
              <w:top w:val="nil"/>
              <w:left w:val="nil"/>
              <w:bottom w:val="nil"/>
              <w:right w:val="nil"/>
            </w:tcBorders>
            <w:shd w:val="clear" w:color="auto" w:fill="auto"/>
            <w:noWrap/>
            <w:vAlign w:val="center"/>
            <w:hideMark/>
          </w:tcPr>
          <w:p w14:paraId="3299ECF8"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8.73(1.35, N=5534)</w:t>
            </w:r>
          </w:p>
        </w:tc>
        <w:tc>
          <w:tcPr>
            <w:tcW w:w="1222" w:type="pct"/>
            <w:tcBorders>
              <w:top w:val="nil"/>
              <w:left w:val="nil"/>
              <w:bottom w:val="nil"/>
              <w:right w:val="nil"/>
            </w:tcBorders>
            <w:shd w:val="clear" w:color="auto" w:fill="auto"/>
            <w:noWrap/>
            <w:vAlign w:val="center"/>
            <w:hideMark/>
          </w:tcPr>
          <w:p w14:paraId="5624A243"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8.99(1.33, N=31707)</w:t>
            </w:r>
          </w:p>
        </w:tc>
      </w:tr>
      <w:tr w:rsidR="00D12091" w:rsidRPr="00F1231D" w14:paraId="386DB96C" w14:textId="77777777" w:rsidTr="001D28BC">
        <w:trPr>
          <w:trHeight w:val="300"/>
        </w:trPr>
        <w:tc>
          <w:tcPr>
            <w:tcW w:w="1448" w:type="pct"/>
            <w:tcBorders>
              <w:top w:val="nil"/>
              <w:left w:val="nil"/>
              <w:bottom w:val="nil"/>
              <w:right w:val="nil"/>
            </w:tcBorders>
            <w:shd w:val="clear" w:color="auto" w:fill="auto"/>
            <w:noWrap/>
            <w:vAlign w:val="center"/>
            <w:hideMark/>
          </w:tcPr>
          <w:p w14:paraId="63C7E5D2"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Smoke, n(%)</w:t>
            </w:r>
          </w:p>
        </w:tc>
        <w:tc>
          <w:tcPr>
            <w:tcW w:w="1222" w:type="pct"/>
            <w:tcBorders>
              <w:top w:val="nil"/>
              <w:left w:val="nil"/>
              <w:bottom w:val="nil"/>
              <w:right w:val="nil"/>
            </w:tcBorders>
            <w:shd w:val="clear" w:color="auto" w:fill="auto"/>
            <w:noWrap/>
            <w:vAlign w:val="center"/>
            <w:hideMark/>
          </w:tcPr>
          <w:p w14:paraId="06C8A2FA"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6159(18.76%, N=32828)</w:t>
            </w:r>
          </w:p>
        </w:tc>
        <w:tc>
          <w:tcPr>
            <w:tcW w:w="1109" w:type="pct"/>
            <w:tcBorders>
              <w:top w:val="nil"/>
              <w:left w:val="nil"/>
              <w:bottom w:val="nil"/>
              <w:right w:val="nil"/>
            </w:tcBorders>
            <w:shd w:val="clear" w:color="auto" w:fill="auto"/>
            <w:noWrap/>
            <w:vAlign w:val="center"/>
            <w:hideMark/>
          </w:tcPr>
          <w:p w14:paraId="5A2103B2"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840(18.94%, N=4435)</w:t>
            </w:r>
          </w:p>
        </w:tc>
        <w:tc>
          <w:tcPr>
            <w:tcW w:w="1222" w:type="pct"/>
            <w:tcBorders>
              <w:top w:val="nil"/>
              <w:left w:val="nil"/>
              <w:bottom w:val="nil"/>
              <w:right w:val="nil"/>
            </w:tcBorders>
            <w:shd w:val="clear" w:color="auto" w:fill="auto"/>
            <w:noWrap/>
            <w:vAlign w:val="center"/>
            <w:hideMark/>
          </w:tcPr>
          <w:p w14:paraId="3F97AA51"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5319(18.73%, N=28393)</w:t>
            </w:r>
          </w:p>
        </w:tc>
      </w:tr>
      <w:tr w:rsidR="00D12091" w:rsidRPr="00F1231D" w14:paraId="687B9441" w14:textId="77777777" w:rsidTr="001D28BC">
        <w:trPr>
          <w:trHeight w:val="300"/>
        </w:trPr>
        <w:tc>
          <w:tcPr>
            <w:tcW w:w="1448" w:type="pct"/>
            <w:tcBorders>
              <w:top w:val="nil"/>
              <w:left w:val="nil"/>
              <w:bottom w:val="nil"/>
              <w:right w:val="nil"/>
            </w:tcBorders>
            <w:shd w:val="clear" w:color="auto" w:fill="auto"/>
            <w:noWrap/>
            <w:vAlign w:val="center"/>
            <w:hideMark/>
          </w:tcPr>
          <w:p w14:paraId="646F2F76"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Drink, n(%)</w:t>
            </w:r>
          </w:p>
        </w:tc>
        <w:tc>
          <w:tcPr>
            <w:tcW w:w="1222" w:type="pct"/>
            <w:tcBorders>
              <w:top w:val="nil"/>
              <w:left w:val="nil"/>
              <w:bottom w:val="nil"/>
              <w:right w:val="nil"/>
            </w:tcBorders>
            <w:shd w:val="clear" w:color="auto" w:fill="auto"/>
            <w:noWrap/>
            <w:vAlign w:val="center"/>
            <w:hideMark/>
          </w:tcPr>
          <w:p w14:paraId="187CA9CC"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15130(32.99%, N=45869)</w:t>
            </w:r>
          </w:p>
        </w:tc>
        <w:tc>
          <w:tcPr>
            <w:tcW w:w="1109" w:type="pct"/>
            <w:tcBorders>
              <w:top w:val="nil"/>
              <w:left w:val="nil"/>
              <w:bottom w:val="nil"/>
              <w:right w:val="nil"/>
            </w:tcBorders>
            <w:shd w:val="clear" w:color="auto" w:fill="auto"/>
            <w:noWrap/>
            <w:vAlign w:val="center"/>
            <w:hideMark/>
          </w:tcPr>
          <w:p w14:paraId="018AA81E"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2056(30.59%, N=6721)</w:t>
            </w:r>
          </w:p>
        </w:tc>
        <w:tc>
          <w:tcPr>
            <w:tcW w:w="1222" w:type="pct"/>
            <w:tcBorders>
              <w:top w:val="nil"/>
              <w:left w:val="nil"/>
              <w:bottom w:val="nil"/>
              <w:right w:val="nil"/>
            </w:tcBorders>
            <w:shd w:val="clear" w:color="auto" w:fill="auto"/>
            <w:noWrap/>
            <w:vAlign w:val="center"/>
            <w:hideMark/>
          </w:tcPr>
          <w:p w14:paraId="3F60326F"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13074(33.4%, N=39148)</w:t>
            </w:r>
          </w:p>
        </w:tc>
      </w:tr>
      <w:tr w:rsidR="00D12091" w:rsidRPr="00F1231D" w14:paraId="5F0FF9B5" w14:textId="77777777" w:rsidTr="001D28BC">
        <w:trPr>
          <w:trHeight w:val="300"/>
        </w:trPr>
        <w:tc>
          <w:tcPr>
            <w:tcW w:w="1448" w:type="pct"/>
            <w:tcBorders>
              <w:top w:val="nil"/>
              <w:left w:val="nil"/>
              <w:bottom w:val="single" w:sz="4" w:space="0" w:color="auto"/>
              <w:right w:val="nil"/>
            </w:tcBorders>
            <w:shd w:val="clear" w:color="auto" w:fill="auto"/>
            <w:noWrap/>
            <w:vAlign w:val="center"/>
            <w:hideMark/>
          </w:tcPr>
          <w:p w14:paraId="67F3754D"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CHE, n(%)</w:t>
            </w:r>
          </w:p>
        </w:tc>
        <w:tc>
          <w:tcPr>
            <w:tcW w:w="1222" w:type="pct"/>
            <w:tcBorders>
              <w:top w:val="nil"/>
              <w:left w:val="nil"/>
              <w:bottom w:val="single" w:sz="4" w:space="0" w:color="auto"/>
              <w:right w:val="nil"/>
            </w:tcBorders>
            <w:shd w:val="clear" w:color="auto" w:fill="auto"/>
            <w:noWrap/>
            <w:vAlign w:val="center"/>
            <w:hideMark/>
          </w:tcPr>
          <w:p w14:paraId="01E7F633"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10768(30.15%, N=35709)</w:t>
            </w:r>
          </w:p>
        </w:tc>
        <w:tc>
          <w:tcPr>
            <w:tcW w:w="1109" w:type="pct"/>
            <w:tcBorders>
              <w:top w:val="nil"/>
              <w:left w:val="nil"/>
              <w:bottom w:val="single" w:sz="4" w:space="0" w:color="auto"/>
              <w:right w:val="nil"/>
            </w:tcBorders>
            <w:shd w:val="clear" w:color="auto" w:fill="auto"/>
            <w:noWrap/>
            <w:vAlign w:val="center"/>
            <w:hideMark/>
          </w:tcPr>
          <w:p w14:paraId="3ADCB33B"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2207(41.62%, N=5303)</w:t>
            </w:r>
          </w:p>
        </w:tc>
        <w:tc>
          <w:tcPr>
            <w:tcW w:w="1222" w:type="pct"/>
            <w:tcBorders>
              <w:top w:val="nil"/>
              <w:left w:val="nil"/>
              <w:bottom w:val="single" w:sz="4" w:space="0" w:color="auto"/>
              <w:right w:val="nil"/>
            </w:tcBorders>
            <w:shd w:val="clear" w:color="auto" w:fill="auto"/>
            <w:noWrap/>
            <w:vAlign w:val="center"/>
            <w:hideMark/>
          </w:tcPr>
          <w:p w14:paraId="3FD4BAD3" w14:textId="77777777" w:rsidR="00D12091" w:rsidRPr="00F1231D" w:rsidRDefault="00D12091" w:rsidP="00D12091">
            <w:pPr>
              <w:widowControl/>
              <w:spacing w:line="240" w:lineRule="auto"/>
              <w:ind w:firstLineChars="0" w:firstLine="0"/>
              <w:jc w:val="center"/>
              <w:rPr>
                <w:rFonts w:ascii="Arial" w:eastAsiaTheme="minorEastAsia" w:hAnsi="Arial" w:cs="Arial"/>
                <w:color w:val="000000"/>
                <w:kern w:val="0"/>
                <w:sz w:val="15"/>
                <w:szCs w:val="15"/>
                <w:lang w:eastAsia="en-US"/>
              </w:rPr>
            </w:pPr>
            <w:r w:rsidRPr="00F1231D">
              <w:rPr>
                <w:rFonts w:ascii="Arial" w:eastAsiaTheme="minorEastAsia" w:hAnsi="Arial" w:cs="Arial"/>
                <w:color w:val="000000"/>
                <w:kern w:val="0"/>
                <w:sz w:val="15"/>
                <w:szCs w:val="15"/>
                <w:lang w:eastAsia="en-US"/>
              </w:rPr>
              <w:t>8561(28.16%, N=30406)</w:t>
            </w:r>
          </w:p>
        </w:tc>
      </w:tr>
    </w:tbl>
    <w:p w14:paraId="02EB726B"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r w:rsidRPr="00F1231D">
        <w:rPr>
          <w:rFonts w:ascii="Arial" w:eastAsiaTheme="minorEastAsia" w:hAnsi="Arial" w:cs="Arial"/>
          <w:b/>
          <w:color w:val="000000"/>
          <w:kern w:val="0"/>
          <w:sz w:val="15"/>
          <w:szCs w:val="15"/>
          <w:lang w:eastAsia="en-US"/>
        </w:rPr>
        <w:t>Notes:</w:t>
      </w:r>
      <w:r w:rsidRPr="00F1231D">
        <w:rPr>
          <w:rFonts w:ascii="Arial" w:eastAsiaTheme="minorEastAsia" w:hAnsi="Arial" w:cs="Arial"/>
          <w:color w:val="000000"/>
          <w:kern w:val="0"/>
          <w:sz w:val="15"/>
          <w:szCs w:val="15"/>
          <w:lang w:eastAsia="en-US"/>
        </w:rPr>
        <w:t xml:space="preserve"> Table A3 report summary statistics of the dependent variables used in the paper to examine the impact of HPAP on healthcare utilization and healthcare cost</w:t>
      </w:r>
      <w:r w:rsidR="0036371F" w:rsidRPr="00F1231D">
        <w:rPr>
          <w:rFonts w:ascii="Arial" w:eastAsiaTheme="minorEastAsia" w:hAnsi="Arial" w:cs="Arial"/>
          <w:color w:val="000000"/>
          <w:kern w:val="0"/>
          <w:sz w:val="15"/>
          <w:szCs w:val="15"/>
          <w:lang w:eastAsia="en-US"/>
        </w:rPr>
        <w:t>s</w:t>
      </w:r>
      <w:r w:rsidRPr="00F1231D">
        <w:rPr>
          <w:rFonts w:ascii="Arial" w:eastAsiaTheme="minorEastAsia" w:hAnsi="Arial" w:cs="Arial"/>
          <w:color w:val="000000"/>
          <w:kern w:val="0"/>
          <w:sz w:val="15"/>
          <w:szCs w:val="15"/>
          <w:lang w:eastAsia="en-US"/>
        </w:rPr>
        <w:t xml:space="preserve">. </w:t>
      </w:r>
      <w:r w:rsidRPr="00F1231D">
        <w:rPr>
          <w:rFonts w:ascii="Arial" w:eastAsiaTheme="minorEastAsia" w:hAnsi="Arial" w:cs="Arial"/>
          <w:bCs/>
          <w:color w:val="000000"/>
          <w:kern w:val="0"/>
          <w:sz w:val="15"/>
          <w:szCs w:val="15"/>
          <w:lang w:eastAsia="en-US"/>
        </w:rPr>
        <w:t xml:space="preserve">For the dummy variables, Table A3 reports the number of samples and the percentage of samples that take the value 1. For continuous variables, Table A3 reports the mean and standard deviation. </w:t>
      </w:r>
      <w:r w:rsidRPr="00F1231D">
        <w:rPr>
          <w:rFonts w:ascii="Arial" w:eastAsiaTheme="minorEastAsia" w:hAnsi="Arial" w:cs="Arial"/>
          <w:color w:val="000000"/>
          <w:kern w:val="0"/>
          <w:sz w:val="15"/>
          <w:szCs w:val="15"/>
          <w:lang w:eastAsia="en-US"/>
        </w:rPr>
        <w:t>The sample sizes reported for all variables in Table 3 are based on the samples from the corresponding regressions.</w:t>
      </w:r>
    </w:p>
    <w:p w14:paraId="1D91284C" w14:textId="77777777" w:rsidR="00D12091" w:rsidRPr="00F1231D" w:rsidRDefault="00D12091" w:rsidP="00D12091">
      <w:pPr>
        <w:widowControl/>
        <w:spacing w:line="240" w:lineRule="auto"/>
        <w:ind w:firstLineChars="0" w:firstLine="0"/>
        <w:jc w:val="left"/>
        <w:rPr>
          <w:rFonts w:ascii="Arial" w:eastAsiaTheme="minorEastAsia" w:hAnsi="Arial" w:cs="Arial"/>
          <w:color w:val="000000"/>
          <w:kern w:val="0"/>
          <w:sz w:val="15"/>
          <w:szCs w:val="15"/>
          <w:lang w:eastAsia="en-US"/>
        </w:rPr>
      </w:pPr>
    </w:p>
    <w:p w14:paraId="64C3B2A4" w14:textId="77777777" w:rsidR="00D12091" w:rsidRPr="00F1231D" w:rsidRDefault="00D12091" w:rsidP="00D12091">
      <w:pPr>
        <w:ind w:firstLineChars="0" w:firstLine="0"/>
        <w:rPr>
          <w:color w:val="000000"/>
        </w:rPr>
      </w:pPr>
    </w:p>
    <w:p w14:paraId="42A935EA" w14:textId="77777777" w:rsidR="00D12091" w:rsidRPr="00F1231D" w:rsidRDefault="00D12091" w:rsidP="00D12091">
      <w:pPr>
        <w:ind w:firstLineChars="0" w:firstLine="0"/>
        <w:rPr>
          <w:color w:val="000000"/>
        </w:rPr>
      </w:pPr>
    </w:p>
    <w:p w14:paraId="708620E8" w14:textId="77777777" w:rsidR="00D12091" w:rsidRPr="00F1231D" w:rsidRDefault="00D12091" w:rsidP="00D12091">
      <w:pPr>
        <w:ind w:firstLineChars="0" w:firstLine="0"/>
        <w:rPr>
          <w:color w:val="000000"/>
        </w:rPr>
      </w:pPr>
    </w:p>
    <w:sectPr w:rsidR="00D12091" w:rsidRPr="00F1231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B517" w14:textId="77777777" w:rsidR="00624474" w:rsidRDefault="00624474" w:rsidP="00D12091">
      <w:pPr>
        <w:spacing w:line="240" w:lineRule="auto"/>
        <w:ind w:firstLine="480"/>
      </w:pPr>
      <w:r>
        <w:separator/>
      </w:r>
    </w:p>
  </w:endnote>
  <w:endnote w:type="continuationSeparator" w:id="0">
    <w:p w14:paraId="4FCC1D87" w14:textId="77777777" w:rsidR="00624474" w:rsidRDefault="00624474" w:rsidP="00D1209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8D01" w14:textId="17041992" w:rsidR="00D12091" w:rsidRDefault="00B3120F">
    <w:pPr>
      <w:pStyle w:val="Footer"/>
      <w:ind w:firstLine="360"/>
    </w:pPr>
    <w:r>
      <w:rPr>
        <w:noProof/>
      </w:rPr>
      <mc:AlternateContent>
        <mc:Choice Requires="wps">
          <w:drawing>
            <wp:anchor distT="0" distB="0" distL="0" distR="0" simplePos="0" relativeHeight="251659264" behindDoc="0" locked="0" layoutInCell="1" allowOverlap="1" wp14:anchorId="1355B61B" wp14:editId="5A0CD736">
              <wp:simplePos x="635" y="635"/>
              <wp:positionH relativeFrom="page">
                <wp:align>left</wp:align>
              </wp:positionH>
              <wp:positionV relativeFrom="page">
                <wp:align>bottom</wp:align>
              </wp:positionV>
              <wp:extent cx="443865" cy="443865"/>
              <wp:effectExtent l="0" t="0" r="18415" b="0"/>
              <wp:wrapNone/>
              <wp:docPr id="72622684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94D3E" w14:textId="0C852575" w:rsidR="00B3120F" w:rsidRPr="00B3120F" w:rsidRDefault="00B3120F" w:rsidP="00B3120F">
                          <w:pPr>
                            <w:ind w:firstLine="360"/>
                            <w:rPr>
                              <w:rFonts w:ascii="Rockwell" w:eastAsia="Rockwell" w:hAnsi="Rockwell" w:cs="Rockwell"/>
                              <w:noProof/>
                              <w:color w:val="0078D7"/>
                              <w:sz w:val="18"/>
                              <w:szCs w:val="18"/>
                            </w:rPr>
                          </w:pPr>
                          <w:r w:rsidRPr="00B3120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55B61B"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5294D3E" w14:textId="0C852575" w:rsidR="00B3120F" w:rsidRPr="00B3120F" w:rsidRDefault="00B3120F" w:rsidP="00B3120F">
                    <w:pPr>
                      <w:ind w:firstLine="360"/>
                      <w:rPr>
                        <w:rFonts w:ascii="Rockwell" w:eastAsia="Rockwell" w:hAnsi="Rockwell" w:cs="Rockwell"/>
                        <w:noProof/>
                        <w:color w:val="0078D7"/>
                        <w:sz w:val="18"/>
                        <w:szCs w:val="18"/>
                      </w:rPr>
                    </w:pPr>
                    <w:r w:rsidRPr="00B3120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39C5" w14:textId="2674E8FD" w:rsidR="00D12091" w:rsidRDefault="00B3120F">
    <w:pPr>
      <w:pStyle w:val="Footer"/>
      <w:ind w:firstLine="360"/>
    </w:pPr>
    <w:r>
      <w:rPr>
        <w:noProof/>
      </w:rPr>
      <mc:AlternateContent>
        <mc:Choice Requires="wps">
          <w:drawing>
            <wp:anchor distT="0" distB="0" distL="0" distR="0" simplePos="0" relativeHeight="251660288" behindDoc="0" locked="0" layoutInCell="1" allowOverlap="1" wp14:anchorId="6E1AE695" wp14:editId="29229502">
              <wp:simplePos x="1146517" y="9931791"/>
              <wp:positionH relativeFrom="page">
                <wp:align>left</wp:align>
              </wp:positionH>
              <wp:positionV relativeFrom="page">
                <wp:align>bottom</wp:align>
              </wp:positionV>
              <wp:extent cx="443865" cy="443865"/>
              <wp:effectExtent l="0" t="0" r="18415" b="0"/>
              <wp:wrapNone/>
              <wp:docPr id="72298486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CD184" w14:textId="430EB335" w:rsidR="00B3120F" w:rsidRPr="00B3120F" w:rsidRDefault="00B3120F" w:rsidP="00B3120F">
                          <w:pPr>
                            <w:ind w:firstLine="360"/>
                            <w:rPr>
                              <w:rFonts w:ascii="Rockwell" w:eastAsia="Rockwell" w:hAnsi="Rockwell" w:cs="Rockwell"/>
                              <w:noProof/>
                              <w:color w:val="0078D7"/>
                              <w:sz w:val="18"/>
                              <w:szCs w:val="18"/>
                            </w:rPr>
                          </w:pPr>
                          <w:r w:rsidRPr="00B3120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1AE695"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94CD184" w14:textId="430EB335" w:rsidR="00B3120F" w:rsidRPr="00B3120F" w:rsidRDefault="00B3120F" w:rsidP="00B3120F">
                    <w:pPr>
                      <w:ind w:firstLine="360"/>
                      <w:rPr>
                        <w:rFonts w:ascii="Rockwell" w:eastAsia="Rockwell" w:hAnsi="Rockwell" w:cs="Rockwell"/>
                        <w:noProof/>
                        <w:color w:val="0078D7"/>
                        <w:sz w:val="18"/>
                        <w:szCs w:val="18"/>
                      </w:rPr>
                    </w:pPr>
                    <w:r w:rsidRPr="00B3120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D156" w14:textId="6F465B5F" w:rsidR="00D12091" w:rsidRDefault="00B3120F">
    <w:pPr>
      <w:pStyle w:val="Footer"/>
      <w:ind w:firstLine="360"/>
    </w:pPr>
    <w:r>
      <w:rPr>
        <w:noProof/>
      </w:rPr>
      <mc:AlternateContent>
        <mc:Choice Requires="wps">
          <w:drawing>
            <wp:anchor distT="0" distB="0" distL="0" distR="0" simplePos="0" relativeHeight="251658240" behindDoc="0" locked="0" layoutInCell="1" allowOverlap="1" wp14:anchorId="792C30E3" wp14:editId="4BC227D7">
              <wp:simplePos x="635" y="635"/>
              <wp:positionH relativeFrom="page">
                <wp:align>left</wp:align>
              </wp:positionH>
              <wp:positionV relativeFrom="page">
                <wp:align>bottom</wp:align>
              </wp:positionV>
              <wp:extent cx="443865" cy="443865"/>
              <wp:effectExtent l="0" t="0" r="18415" b="0"/>
              <wp:wrapNone/>
              <wp:docPr id="102631660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7CF59" w14:textId="06FA4C19" w:rsidR="00B3120F" w:rsidRPr="00B3120F" w:rsidRDefault="00B3120F" w:rsidP="00B3120F">
                          <w:pPr>
                            <w:ind w:firstLine="360"/>
                            <w:rPr>
                              <w:rFonts w:ascii="Rockwell" w:eastAsia="Rockwell" w:hAnsi="Rockwell" w:cs="Rockwell"/>
                              <w:noProof/>
                              <w:color w:val="0078D7"/>
                              <w:sz w:val="18"/>
                              <w:szCs w:val="18"/>
                            </w:rPr>
                          </w:pPr>
                          <w:r w:rsidRPr="00B3120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C30E3"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C97CF59" w14:textId="06FA4C19" w:rsidR="00B3120F" w:rsidRPr="00B3120F" w:rsidRDefault="00B3120F" w:rsidP="00B3120F">
                    <w:pPr>
                      <w:ind w:firstLine="360"/>
                      <w:rPr>
                        <w:rFonts w:ascii="Rockwell" w:eastAsia="Rockwell" w:hAnsi="Rockwell" w:cs="Rockwell"/>
                        <w:noProof/>
                        <w:color w:val="0078D7"/>
                        <w:sz w:val="18"/>
                        <w:szCs w:val="18"/>
                      </w:rPr>
                    </w:pPr>
                    <w:r w:rsidRPr="00B3120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E69B" w14:textId="77777777" w:rsidR="00624474" w:rsidRDefault="00624474" w:rsidP="00D12091">
      <w:pPr>
        <w:spacing w:line="240" w:lineRule="auto"/>
        <w:ind w:firstLine="480"/>
      </w:pPr>
      <w:r>
        <w:separator/>
      </w:r>
    </w:p>
  </w:footnote>
  <w:footnote w:type="continuationSeparator" w:id="0">
    <w:p w14:paraId="4CE6F2AF" w14:textId="77777777" w:rsidR="00624474" w:rsidRDefault="00624474" w:rsidP="00D1209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7EF2" w14:textId="77777777" w:rsidR="00D12091" w:rsidRDefault="00D1209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CF2B" w14:textId="77777777" w:rsidR="00D12091" w:rsidRDefault="00D12091" w:rsidP="00D12091">
    <w:pPr>
      <w:pStyle w:val="Header"/>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5EAB" w14:textId="77777777" w:rsidR="00D12091" w:rsidRDefault="00D12091">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8"/>
    <w:rsid w:val="000244E5"/>
    <w:rsid w:val="001336D4"/>
    <w:rsid w:val="001D5AB0"/>
    <w:rsid w:val="001D5EEF"/>
    <w:rsid w:val="00203A28"/>
    <w:rsid w:val="00250773"/>
    <w:rsid w:val="0036371F"/>
    <w:rsid w:val="004035C8"/>
    <w:rsid w:val="0051651C"/>
    <w:rsid w:val="006226CC"/>
    <w:rsid w:val="00624474"/>
    <w:rsid w:val="0070672A"/>
    <w:rsid w:val="009505D6"/>
    <w:rsid w:val="009B4B8B"/>
    <w:rsid w:val="009D53CF"/>
    <w:rsid w:val="00B3120F"/>
    <w:rsid w:val="00B767E8"/>
    <w:rsid w:val="00CC03CA"/>
    <w:rsid w:val="00D12091"/>
    <w:rsid w:val="00D25AA8"/>
    <w:rsid w:val="00DC65D9"/>
    <w:rsid w:val="00EB71E1"/>
    <w:rsid w:val="00F1231D"/>
    <w:rsid w:val="00F6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37463"/>
  <w15:chartTrackingRefBased/>
  <w15:docId w15:val="{D46947EC-A5E7-4609-8F49-891FB7C4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B0"/>
    <w:pPr>
      <w:widowControl w:val="0"/>
      <w:spacing w:line="360" w:lineRule="auto"/>
      <w:ind w:firstLineChars="200" w:firstLine="200"/>
      <w:jc w:val="both"/>
    </w:pPr>
    <w:rPr>
      <w:rFonts w:ascii="Times New Roman" w:eastAsia="SimSun" w:hAnsi="Times New Roman"/>
      <w:sz w:val="24"/>
    </w:rPr>
  </w:style>
  <w:style w:type="paragraph" w:styleId="Heading1">
    <w:name w:val="heading 1"/>
    <w:basedOn w:val="Normal"/>
    <w:next w:val="Normal"/>
    <w:link w:val="Heading1Char"/>
    <w:uiPriority w:val="9"/>
    <w:qFormat/>
    <w:rsid w:val="00EB71E1"/>
    <w:pPr>
      <w:keepNext/>
      <w:keepLines/>
      <w:ind w:firstLineChars="0" w:firstLine="0"/>
      <w:outlineLvl w:val="0"/>
    </w:pPr>
    <w:rPr>
      <w:b/>
      <w:bCs/>
      <w:kern w:val="44"/>
      <w:szCs w:val="44"/>
    </w:rPr>
  </w:style>
  <w:style w:type="paragraph" w:styleId="Heading2">
    <w:name w:val="heading 2"/>
    <w:basedOn w:val="Normal"/>
    <w:next w:val="Normal"/>
    <w:link w:val="Heading2Char"/>
    <w:uiPriority w:val="9"/>
    <w:semiHidden/>
    <w:unhideWhenUsed/>
    <w:qFormat/>
    <w:rsid w:val="00EB71E1"/>
    <w:pPr>
      <w:keepNext/>
      <w:keepLines/>
      <w:ind w:firstLineChars="0" w:firstLine="0"/>
      <w:outlineLvl w:val="1"/>
    </w:pPr>
    <w:rPr>
      <w:rFonts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1E1"/>
    <w:rPr>
      <w:rFonts w:ascii="Times New Roman" w:eastAsia="SimSun" w:hAnsi="Times New Roman"/>
      <w:b/>
      <w:bCs/>
      <w:kern w:val="44"/>
      <w:sz w:val="24"/>
      <w:szCs w:val="44"/>
    </w:rPr>
  </w:style>
  <w:style w:type="character" w:customStyle="1" w:styleId="Heading2Char">
    <w:name w:val="Heading 2 Char"/>
    <w:basedOn w:val="DefaultParagraphFont"/>
    <w:link w:val="Heading2"/>
    <w:uiPriority w:val="9"/>
    <w:semiHidden/>
    <w:rsid w:val="00EB71E1"/>
    <w:rPr>
      <w:rFonts w:ascii="Times New Roman" w:eastAsia="SimSun" w:hAnsi="Times New Roman" w:cstheme="majorBidi"/>
      <w:b/>
      <w:bCs/>
      <w:sz w:val="24"/>
      <w:szCs w:val="32"/>
    </w:rPr>
  </w:style>
  <w:style w:type="paragraph" w:styleId="Header">
    <w:name w:val="header"/>
    <w:basedOn w:val="Normal"/>
    <w:link w:val="HeaderChar"/>
    <w:uiPriority w:val="99"/>
    <w:unhideWhenUsed/>
    <w:rsid w:val="00D1209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12091"/>
    <w:rPr>
      <w:rFonts w:ascii="Times New Roman" w:eastAsia="SimSun" w:hAnsi="Times New Roman"/>
      <w:sz w:val="18"/>
      <w:szCs w:val="18"/>
    </w:rPr>
  </w:style>
  <w:style w:type="paragraph" w:styleId="Footer">
    <w:name w:val="footer"/>
    <w:basedOn w:val="Normal"/>
    <w:link w:val="FooterChar"/>
    <w:uiPriority w:val="99"/>
    <w:unhideWhenUsed/>
    <w:rsid w:val="00D12091"/>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D12091"/>
    <w:rPr>
      <w:rFonts w:ascii="Times New Roman" w:eastAsia="SimSun" w:hAnsi="Times New Roman"/>
      <w:sz w:val="18"/>
      <w:szCs w:val="18"/>
    </w:rPr>
  </w:style>
  <w:style w:type="character" w:styleId="CommentReference">
    <w:name w:val="annotation reference"/>
    <w:basedOn w:val="DefaultParagraphFont"/>
    <w:uiPriority w:val="99"/>
    <w:semiHidden/>
    <w:unhideWhenUsed/>
    <w:rsid w:val="00B3120F"/>
    <w:rPr>
      <w:sz w:val="16"/>
      <w:szCs w:val="16"/>
    </w:rPr>
  </w:style>
  <w:style w:type="paragraph" w:styleId="CommentText">
    <w:name w:val="annotation text"/>
    <w:basedOn w:val="Normal"/>
    <w:link w:val="CommentTextChar"/>
    <w:uiPriority w:val="99"/>
    <w:unhideWhenUsed/>
    <w:rsid w:val="00B3120F"/>
    <w:pPr>
      <w:spacing w:line="240" w:lineRule="auto"/>
    </w:pPr>
    <w:rPr>
      <w:sz w:val="20"/>
      <w:szCs w:val="20"/>
    </w:rPr>
  </w:style>
  <w:style w:type="character" w:customStyle="1" w:styleId="CommentTextChar">
    <w:name w:val="Comment Text Char"/>
    <w:basedOn w:val="DefaultParagraphFont"/>
    <w:link w:val="CommentText"/>
    <w:uiPriority w:val="99"/>
    <w:rsid w:val="00B3120F"/>
    <w:rPr>
      <w:rFonts w:ascii="Times New Roman" w:eastAsia="SimSun" w:hAnsi="Times New Roman"/>
      <w:sz w:val="20"/>
      <w:szCs w:val="20"/>
    </w:rPr>
  </w:style>
  <w:style w:type="paragraph" w:styleId="CommentSubject">
    <w:name w:val="annotation subject"/>
    <w:basedOn w:val="CommentText"/>
    <w:next w:val="CommentText"/>
    <w:link w:val="CommentSubjectChar"/>
    <w:uiPriority w:val="99"/>
    <w:semiHidden/>
    <w:unhideWhenUsed/>
    <w:rsid w:val="00B3120F"/>
    <w:rPr>
      <w:b/>
      <w:bCs/>
    </w:rPr>
  </w:style>
  <w:style w:type="character" w:customStyle="1" w:styleId="CommentSubjectChar">
    <w:name w:val="Comment Subject Char"/>
    <w:basedOn w:val="CommentTextChar"/>
    <w:link w:val="CommentSubject"/>
    <w:uiPriority w:val="99"/>
    <w:semiHidden/>
    <w:rsid w:val="00B3120F"/>
    <w:rPr>
      <w:rFonts w:ascii="Times New Roman" w:eastAsia="SimSun" w:hAnsi="Times New Roman"/>
      <w:b/>
      <w:bCs/>
      <w:sz w:val="20"/>
      <w:szCs w:val="20"/>
    </w:rPr>
  </w:style>
  <w:style w:type="paragraph" w:styleId="BalloonText">
    <w:name w:val="Balloon Text"/>
    <w:basedOn w:val="Normal"/>
    <w:link w:val="BalloonTextChar"/>
    <w:uiPriority w:val="99"/>
    <w:semiHidden/>
    <w:unhideWhenUsed/>
    <w:rsid w:val="00D25AA8"/>
    <w:pPr>
      <w:spacing w:line="240" w:lineRule="auto"/>
    </w:pPr>
    <w:rPr>
      <w:sz w:val="18"/>
      <w:szCs w:val="18"/>
    </w:rPr>
  </w:style>
  <w:style w:type="character" w:customStyle="1" w:styleId="BalloonTextChar">
    <w:name w:val="Balloon Text Char"/>
    <w:basedOn w:val="DefaultParagraphFont"/>
    <w:link w:val="BalloonText"/>
    <w:uiPriority w:val="99"/>
    <w:semiHidden/>
    <w:rsid w:val="00D25AA8"/>
    <w:rPr>
      <w:rFonts w:ascii="Times New Roman" w:eastAsia="SimSu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 : Zhipeng Li</dc:creator>
  <cp:keywords/>
  <dc:description/>
  <cp:lastModifiedBy>Hardgrave, Melissa</cp:lastModifiedBy>
  <cp:revision>2</cp:revision>
  <dcterms:created xsi:type="dcterms:W3CDTF">2023-11-28T21:27:00Z</dcterms:created>
  <dcterms:modified xsi:type="dcterms:W3CDTF">2023-11-28T21:27:00Z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3d2c593c,2b49579f,2b17dfa0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2023-11-27T22:06:57Z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1bb6245f-7d06-4a5b-b539-e127b69a9446</vt:lpwstr>
  </property>
  <property fmtid="{D5CDD505-2E9C-101B-9397-08002B2CF9AE}" pid="11" name="MSIP_Label_2bbab825-a111-45e4-86a1-18cee0005896_ContentBits">
    <vt:lpwstr>2</vt:lpwstr>
  </property>
</Properties>
</file>