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0067B4" w14:textId="77777777" w:rsidR="00031014" w:rsidRPr="00031014" w:rsidRDefault="00226D5E" w:rsidP="00031014">
      <w:pPr>
        <w:rPr>
          <w:b/>
          <w:bCs/>
        </w:rPr>
      </w:pPr>
      <w:r w:rsidRPr="007100B9">
        <w:t xml:space="preserve">Halicka </w:t>
      </w:r>
      <w:r w:rsidR="00DF6A1F" w:rsidRPr="007100B9">
        <w:t>et al</w:t>
      </w:r>
      <w:r w:rsidR="00983867">
        <w:t xml:space="preserve">, </w:t>
      </w:r>
      <w:proofErr w:type="gramStart"/>
      <w:r w:rsidR="00031014" w:rsidRPr="0069556D">
        <w:t>Reduced</w:t>
      </w:r>
      <w:proofErr w:type="gramEnd"/>
      <w:r w:rsidR="00031014" w:rsidRPr="0069556D">
        <w:t xml:space="preserve"> visuospatial attention in personal space is not limited to the affected limb in Complex Regional Pain Syndrome</w:t>
      </w:r>
    </w:p>
    <w:p w14:paraId="4FFE8EB8" w14:textId="1D665F8D" w:rsidR="0060400B" w:rsidRPr="007100B9" w:rsidRDefault="0060400B" w:rsidP="0060400B"/>
    <w:p w14:paraId="73B60E72" w14:textId="51801645" w:rsidR="00431388" w:rsidRPr="007100B9" w:rsidRDefault="001A073E" w:rsidP="0060400B">
      <w:pPr>
        <w:pStyle w:val="Heading1"/>
      </w:pPr>
      <w:r>
        <w:t>Supplement</w:t>
      </w:r>
    </w:p>
    <w:p w14:paraId="4A9FE199" w14:textId="4027749B" w:rsidR="00B30BC3" w:rsidRPr="007100B9" w:rsidRDefault="00DE0E4C" w:rsidP="008D1E96">
      <w:pPr>
        <w:pStyle w:val="Heading2"/>
      </w:pPr>
      <w:r>
        <w:t>Binocular peripheral vis</w:t>
      </w:r>
      <w:r w:rsidR="003002D7">
        <w:t>ion</w:t>
      </w:r>
    </w:p>
    <w:p w14:paraId="01401783" w14:textId="48DBE752" w:rsidR="00117D43" w:rsidRDefault="00F81353" w:rsidP="00EE0BD3">
      <w:pPr>
        <w:ind w:firstLine="720"/>
      </w:pPr>
      <w:r>
        <w:t>P</w:t>
      </w:r>
      <w:r w:rsidR="00D23424">
        <w:t>articipants</w:t>
      </w:r>
      <w:r w:rsidR="007B3E12">
        <w:t xml:space="preserve"> completed </w:t>
      </w:r>
      <w:r w:rsidR="00D23424">
        <w:t>a test of</w:t>
      </w:r>
      <w:r w:rsidR="007B3E12">
        <w:t xml:space="preserve"> binocular peripheral vision</w:t>
      </w:r>
      <w:r>
        <w:t xml:space="preserve">, where they indicated </w:t>
      </w:r>
      <w:r w:rsidR="00431D86">
        <w:t xml:space="preserve">the orientation (left/right/up/down) of Landolt C optotypes </w:t>
      </w:r>
      <w:r w:rsidR="00943625">
        <w:t>(</w:t>
      </w:r>
      <w:r w:rsidR="009D1C7E">
        <w:t xml:space="preserve">2 by 2 degrees of visual angle) </w:t>
      </w:r>
      <w:r w:rsidR="00431D86">
        <w:t>presented</w:t>
      </w:r>
      <w:r w:rsidR="0028115F">
        <w:t xml:space="preserve"> at six different eccentricities, from </w:t>
      </w:r>
      <w:r w:rsidR="0028115F" w:rsidRPr="0028115F">
        <w:t>3 to 23</w:t>
      </w:r>
      <w:r w:rsidR="0028115F">
        <w:t xml:space="preserve"> degrees</w:t>
      </w:r>
      <w:r w:rsidR="00391A20">
        <w:t xml:space="preserve"> of visual angle</w:t>
      </w:r>
      <w:r w:rsidR="0028115F">
        <w:t xml:space="preserve"> horizontally relative to the central fixation cross</w:t>
      </w:r>
      <w:r w:rsidR="003A23D7">
        <w:t>, either in the left or the right visual field</w:t>
      </w:r>
      <w:r w:rsidR="009D1C7E">
        <w:t>, at 50cm viewing distance</w:t>
      </w:r>
      <w:r w:rsidR="003A23D7">
        <w:t xml:space="preserve">. </w:t>
      </w:r>
      <w:r w:rsidR="009D1C7E">
        <w:t>The stimuli were</w:t>
      </w:r>
      <w:r w:rsidR="00CD7BB2">
        <w:t xml:space="preserve"> presented </w:t>
      </w:r>
      <w:r w:rsidR="009D1C7E">
        <w:t xml:space="preserve">for 200ms, </w:t>
      </w:r>
      <w:r w:rsidR="00A030A4">
        <w:t xml:space="preserve">pseudo-randomly </w:t>
      </w:r>
      <w:r w:rsidR="00CD7BB2">
        <w:t xml:space="preserve">three times </w:t>
      </w:r>
      <w:r w:rsidR="005E2A53">
        <w:t xml:space="preserve">in each orientation, </w:t>
      </w:r>
      <w:r w:rsidR="00D36B89">
        <w:t>at each eccentricity and visual field (</w:t>
      </w:r>
      <w:r w:rsidR="005E2A53">
        <w:t>3</w:t>
      </w:r>
      <w:r w:rsidR="00D36B89">
        <w:t xml:space="preserve"> x </w:t>
      </w:r>
      <w:r w:rsidR="005E2A53">
        <w:t>4</w:t>
      </w:r>
      <w:r w:rsidR="00D36B89">
        <w:t xml:space="preserve"> x 6 x 2), resulting in 144 trials.</w:t>
      </w:r>
      <w:r w:rsidR="009265DA">
        <w:t xml:space="preserve"> Further details of the procedure can be found in our previous publication.</w:t>
      </w:r>
      <w:r w:rsidR="009265DA">
        <w:fldChar w:fldCharType="begin"/>
      </w:r>
      <w:r w:rsidR="00A82BC5">
        <w:instrText xml:space="preserve"> ADDIN ZOTERO_ITEM CSL_CITATION {"citationID":"droZ1LpM","properties":{"formattedCitation":"\\super 1\\nosupersub{}","plainCitation":"1","noteIndex":0},"citationItems":[{"id":4646,"uris":["http://zotero.org/users/2402792/items/2BWANNFS"],"itemData":{"id":4646,"type":"article-journal","container-title":"Neuropsychologia","note":"publisher: Elsevier","page":"108079","source":"Google Scholar","title":"Attention upturned: Bias toward and away from the affected side of the body and near space in a case of complex regional pain syndrome","title-short":"Attention upturned","volume":"163","author":[{"family":"Halicka","given":"Monika"},{"family":"Vittersø","given":"Axel D."},{"family":"Proulx","given":"Michael J."},{"family":"Bultitude","given":"Janet H."}],"issued":{"date-parts":[["2021"]]}}}],"schema":"https://github.com/citation-style-language/schema/raw/master/csl-citation.json"} </w:instrText>
      </w:r>
      <w:r w:rsidR="009265DA">
        <w:fldChar w:fldCharType="separate"/>
      </w:r>
      <w:r w:rsidR="009265DA" w:rsidRPr="009265DA">
        <w:rPr>
          <w:rFonts w:cs="Arial"/>
          <w:vertAlign w:val="superscript"/>
        </w:rPr>
        <w:t>1</w:t>
      </w:r>
      <w:r w:rsidR="009265DA">
        <w:fldChar w:fldCharType="end"/>
      </w:r>
      <w:r w:rsidR="00D36B89">
        <w:t xml:space="preserve"> </w:t>
      </w:r>
      <w:r w:rsidR="007E5119">
        <w:t>The</w:t>
      </w:r>
      <w:r w:rsidR="00B1595D">
        <w:t xml:space="preserve"> accuracy of key-press responses </w:t>
      </w:r>
      <w:r w:rsidR="00F869B0">
        <w:t xml:space="preserve">was compared between </w:t>
      </w:r>
      <w:r w:rsidR="007E5119">
        <w:t xml:space="preserve">each visual field and </w:t>
      </w:r>
      <w:r w:rsidR="00391A20">
        <w:t xml:space="preserve">eccentricity </w:t>
      </w:r>
      <w:r w:rsidR="00231D84">
        <w:t>and</w:t>
      </w:r>
      <w:r w:rsidR="005A3A4D">
        <w:t xml:space="preserve"> between groups (UL-CRPS, LL-CRPS, </w:t>
      </w:r>
      <w:r w:rsidR="0027239C">
        <w:t>control</w:t>
      </w:r>
      <w:r w:rsidR="005A3A4D">
        <w:t>)</w:t>
      </w:r>
      <w:r w:rsidR="008B4199">
        <w:t xml:space="preserve"> using an ANOVA. </w:t>
      </w:r>
      <w:r w:rsidR="00231D84">
        <w:t>Consistent with the analyses reported in the main text, the data was analyzed both as coded relative to the affected</w:t>
      </w:r>
      <w:r w:rsidR="00234C32">
        <w:t>(</w:t>
      </w:r>
      <w:r w:rsidR="00231D84">
        <w:t>/non-dominant</w:t>
      </w:r>
      <w:r w:rsidR="00234C32">
        <w:t>)</w:t>
      </w:r>
      <w:r w:rsidR="00231D84">
        <w:t xml:space="preserve"> and unaffected</w:t>
      </w:r>
      <w:r w:rsidR="00234C32">
        <w:t>(</w:t>
      </w:r>
      <w:r w:rsidR="00231D84">
        <w:t>/dominant</w:t>
      </w:r>
      <w:r w:rsidR="00234C32">
        <w:t>)</w:t>
      </w:r>
      <w:r w:rsidR="00231D84">
        <w:t xml:space="preserve"> visual field, and relative to the left and visual field.</w:t>
      </w:r>
    </w:p>
    <w:p w14:paraId="509550F5" w14:textId="7A91EA7D" w:rsidR="0087664F" w:rsidRDefault="00377E52" w:rsidP="00852615">
      <w:pPr>
        <w:ind w:firstLine="720"/>
      </w:pPr>
      <w:r>
        <w:t xml:space="preserve">Due to technical issues, </w:t>
      </w:r>
      <w:r w:rsidR="0087664F">
        <w:t xml:space="preserve">data on binocular peripheral vision for </w:t>
      </w:r>
      <w:r>
        <w:t xml:space="preserve">one </w:t>
      </w:r>
      <w:r w:rsidR="002C00EA">
        <w:t>control</w:t>
      </w:r>
      <w:r>
        <w:t xml:space="preserve"> </w:t>
      </w:r>
      <w:r w:rsidR="006B609C">
        <w:t>participant was missing.</w:t>
      </w:r>
      <w:r w:rsidR="00BF49AF">
        <w:t xml:space="preserve"> </w:t>
      </w:r>
      <w:r w:rsidR="00B876BF">
        <w:t>T</w:t>
      </w:r>
      <w:r w:rsidR="00BF49AF">
        <w:t>here w</w:t>
      </w:r>
      <w:r w:rsidR="00481F24">
        <w:t>ere</w:t>
      </w:r>
      <w:r w:rsidR="00BF49AF">
        <w:t xml:space="preserve"> no effect</w:t>
      </w:r>
      <w:r w:rsidR="00481F24">
        <w:t>s</w:t>
      </w:r>
      <w:r w:rsidR="00BF49AF">
        <w:t xml:space="preserve"> of Group or interaction</w:t>
      </w:r>
      <w:r w:rsidR="00481F24">
        <w:t>s</w:t>
      </w:r>
      <w:r w:rsidR="00BF49AF">
        <w:t xml:space="preserve"> between Group and Eccentricity</w:t>
      </w:r>
      <w:r w:rsidR="0043025D">
        <w:t xml:space="preserve"> (</w:t>
      </w:r>
      <w:proofErr w:type="spellStart"/>
      <w:r w:rsidR="0043025D" w:rsidRPr="00852615">
        <w:rPr>
          <w:i/>
          <w:iCs/>
        </w:rPr>
        <w:t>ps</w:t>
      </w:r>
      <w:proofErr w:type="spellEnd"/>
      <w:r w:rsidR="0043025D">
        <w:t xml:space="preserve"> &gt; </w:t>
      </w:r>
      <w:r w:rsidR="0043025D" w:rsidRPr="0043025D">
        <w:t>0.447</w:t>
      </w:r>
      <w:r w:rsidR="0043025D">
        <w:t>)</w:t>
      </w:r>
      <w:r w:rsidR="00B876BF">
        <w:t xml:space="preserve"> both when the data was analyzed relative to the affected and unaffected visual field, and right and left visual field</w:t>
      </w:r>
      <w:r w:rsidR="00065B78">
        <w:t xml:space="preserve">, indicating that peripheral vision of each group was comparable </w:t>
      </w:r>
      <w:r w:rsidR="00164D31">
        <w:t>in both sides of space</w:t>
      </w:r>
      <w:r w:rsidR="003151EB">
        <w:t xml:space="preserve"> (</w:t>
      </w:r>
      <w:r w:rsidR="00163E3B">
        <w:t xml:space="preserve">Supplementary </w:t>
      </w:r>
      <w:r w:rsidR="003151EB">
        <w:t>Fig</w:t>
      </w:r>
      <w:r w:rsidR="006D2635">
        <w:t>ure</w:t>
      </w:r>
      <w:r w:rsidR="003151EB">
        <w:t xml:space="preserve"> </w:t>
      </w:r>
      <w:r w:rsidR="00213B90">
        <w:t>S</w:t>
      </w:r>
      <w:r w:rsidR="003151EB">
        <w:t>1)</w:t>
      </w:r>
      <w:r w:rsidR="003563B5">
        <w:t>. Th</w:t>
      </w:r>
      <w:r w:rsidR="00090288">
        <w:t xml:space="preserve">ere </w:t>
      </w:r>
      <w:r w:rsidR="00481F24">
        <w:t>were</w:t>
      </w:r>
      <w:r w:rsidR="00090288">
        <w:t xml:space="preserve"> main effect</w:t>
      </w:r>
      <w:r w:rsidR="00481F24">
        <w:t>s</w:t>
      </w:r>
      <w:r w:rsidR="00090288">
        <w:t xml:space="preserve"> of Eccentricity</w:t>
      </w:r>
      <w:r w:rsidR="0043025D">
        <w:t xml:space="preserve"> (</w:t>
      </w:r>
      <w:proofErr w:type="spellStart"/>
      <w:r w:rsidR="0043025D" w:rsidRPr="00852615">
        <w:rPr>
          <w:i/>
          <w:iCs/>
        </w:rPr>
        <w:t>ps</w:t>
      </w:r>
      <w:proofErr w:type="spellEnd"/>
      <w:r w:rsidR="0043025D">
        <w:t xml:space="preserve"> &lt; 0.001)</w:t>
      </w:r>
      <w:r w:rsidR="003151EB">
        <w:t xml:space="preserve">, where all participants </w:t>
      </w:r>
      <w:r w:rsidR="00F72E8A">
        <w:t>were less accurate</w:t>
      </w:r>
      <w:r w:rsidR="00FB5A7F">
        <w:t xml:space="preserve"> </w:t>
      </w:r>
      <w:r w:rsidR="00251FF6">
        <w:t>in the unaffected</w:t>
      </w:r>
      <w:r w:rsidR="00481F24">
        <w:t xml:space="preserve"> and right</w:t>
      </w:r>
      <w:r w:rsidR="00251FF6">
        <w:t xml:space="preserve"> than </w:t>
      </w:r>
      <w:r w:rsidR="00481F24">
        <w:t xml:space="preserve">the </w:t>
      </w:r>
      <w:r w:rsidR="00251FF6">
        <w:t>affected</w:t>
      </w:r>
      <w:r w:rsidR="00481F24">
        <w:t xml:space="preserve"> and left</w:t>
      </w:r>
      <w:r w:rsidR="00251FF6">
        <w:t xml:space="preserve"> visual field at 23 degrees, and in the affected </w:t>
      </w:r>
      <w:r w:rsidR="004C5089">
        <w:t xml:space="preserve">and left </w:t>
      </w:r>
      <w:r w:rsidR="00251FF6">
        <w:t>than</w:t>
      </w:r>
      <w:r w:rsidR="004C5089">
        <w:t xml:space="preserve"> the</w:t>
      </w:r>
      <w:r w:rsidR="00251FF6">
        <w:t xml:space="preserve"> unaffected </w:t>
      </w:r>
      <w:r w:rsidR="004C5089">
        <w:t xml:space="preserve">and right </w:t>
      </w:r>
      <w:r w:rsidR="00251FF6">
        <w:t xml:space="preserve">visual field </w:t>
      </w:r>
      <w:r w:rsidR="000B32A5">
        <w:t>at 17 degrees</w:t>
      </w:r>
      <w:r w:rsidR="00DC5634">
        <w:t xml:space="preserve"> (</w:t>
      </w:r>
      <w:proofErr w:type="spellStart"/>
      <w:r w:rsidR="00DC5634" w:rsidRPr="00852615">
        <w:rPr>
          <w:i/>
          <w:iCs/>
        </w:rPr>
        <w:t>ps</w:t>
      </w:r>
      <w:proofErr w:type="spellEnd"/>
      <w:r w:rsidR="00DC5634">
        <w:t xml:space="preserve"> &lt; 0.05)</w:t>
      </w:r>
      <w:r w:rsidR="002D1B0D">
        <w:t xml:space="preserve">. Their accuracy was also </w:t>
      </w:r>
      <w:r w:rsidR="00F72E8A">
        <w:t>lower</w:t>
      </w:r>
      <w:r w:rsidR="002D1B0D">
        <w:t xml:space="preserve"> at these most peripheral eccentricities </w:t>
      </w:r>
      <w:r w:rsidR="009365BD">
        <w:t xml:space="preserve">compared to </w:t>
      </w:r>
      <w:r w:rsidR="00813999">
        <w:t xml:space="preserve">more central from 12 degrees </w:t>
      </w:r>
      <w:r w:rsidR="000C2A1E">
        <w:t>i</w:t>
      </w:r>
      <w:r w:rsidR="00C85DD2">
        <w:t>n</w:t>
      </w:r>
      <w:r w:rsidR="000C2A1E">
        <w:t>wards</w:t>
      </w:r>
      <w:r w:rsidR="00DC5634">
        <w:t xml:space="preserve"> (</w:t>
      </w:r>
      <w:proofErr w:type="spellStart"/>
      <w:r w:rsidR="00DC5634" w:rsidRPr="00852615">
        <w:rPr>
          <w:i/>
          <w:iCs/>
        </w:rPr>
        <w:t>ps</w:t>
      </w:r>
      <w:proofErr w:type="spellEnd"/>
      <w:r w:rsidR="00DC5634">
        <w:t xml:space="preserve"> &lt; 0.001)</w:t>
      </w:r>
      <w:r w:rsidR="00813999">
        <w:t>.</w:t>
      </w:r>
    </w:p>
    <w:p w14:paraId="0B4FB53A" w14:textId="11AB20F9" w:rsidR="0087664F" w:rsidRDefault="0087664F" w:rsidP="0087664F">
      <w:r>
        <w:lastRenderedPageBreak/>
        <w:tab/>
        <w:t xml:space="preserve">In conclusion, there were no group differences or asymmetries between the two visual fields that could bias the assessment of visuospatial attention, as the visual </w:t>
      </w:r>
      <w:r w:rsidR="00A1122F">
        <w:t>T</w:t>
      </w:r>
      <w:r>
        <w:t xml:space="preserve">emporal </w:t>
      </w:r>
      <w:r w:rsidR="00A1122F">
        <w:t>O</w:t>
      </w:r>
      <w:r>
        <w:t xml:space="preserve">rder </w:t>
      </w:r>
      <w:r w:rsidR="00A1122F">
        <w:t>J</w:t>
      </w:r>
      <w:r>
        <w:t>udgement</w:t>
      </w:r>
      <w:r w:rsidR="00A1122F">
        <w:t xml:space="preserve"> (TOJ)</w:t>
      </w:r>
      <w:r>
        <w:t xml:space="preserve"> task stimuli were presented at eccentricities smaller than 12 degrees from central fixation.</w:t>
      </w:r>
    </w:p>
    <w:p w14:paraId="43AFD262" w14:textId="0BE82CF8" w:rsidR="00D36106" w:rsidRDefault="00D36106" w:rsidP="00135280">
      <w:pPr>
        <w:ind w:firstLine="720"/>
      </w:pPr>
    </w:p>
    <w:p w14:paraId="1EE17FC4" w14:textId="51C18D60" w:rsidR="00171519" w:rsidRDefault="00171519" w:rsidP="00171519">
      <w:r w:rsidRPr="00171519">
        <w:rPr>
          <w:noProof/>
        </w:rPr>
        <w:drawing>
          <wp:inline distT="0" distB="0" distL="0" distR="0" wp14:anchorId="2717BF39" wp14:editId="45320B88">
            <wp:extent cx="5486400" cy="2041525"/>
            <wp:effectExtent l="0" t="0" r="0" b="0"/>
            <wp:docPr id="3" name="Picture 3" descr="A picture containing text, diagram, line,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diagram, line, plot&#10;&#10;Description automatically generated"/>
                    <pic:cNvPicPr/>
                  </pic:nvPicPr>
                  <pic:blipFill>
                    <a:blip r:embed="rId7"/>
                    <a:stretch>
                      <a:fillRect/>
                    </a:stretch>
                  </pic:blipFill>
                  <pic:spPr>
                    <a:xfrm>
                      <a:off x="0" y="0"/>
                      <a:ext cx="5486400" cy="2041525"/>
                    </a:xfrm>
                    <a:prstGeom prst="rect">
                      <a:avLst/>
                    </a:prstGeom>
                  </pic:spPr>
                </pic:pic>
              </a:graphicData>
            </a:graphic>
          </wp:inline>
        </w:drawing>
      </w:r>
    </w:p>
    <w:p w14:paraId="20C151CA" w14:textId="47B67EA1" w:rsidR="0047187C" w:rsidRDefault="00163E3B" w:rsidP="00171519">
      <w:r>
        <w:rPr>
          <w:b/>
          <w:bCs/>
        </w:rPr>
        <w:t xml:space="preserve">Supplementary </w:t>
      </w:r>
      <w:r w:rsidR="00C85DD2" w:rsidRPr="00F27EC9">
        <w:rPr>
          <w:b/>
          <w:bCs/>
        </w:rPr>
        <w:t>Fig</w:t>
      </w:r>
      <w:r w:rsidR="006D2635" w:rsidRPr="00F27EC9">
        <w:rPr>
          <w:b/>
          <w:bCs/>
        </w:rPr>
        <w:t xml:space="preserve">ure </w:t>
      </w:r>
      <w:r w:rsidR="00213B90">
        <w:rPr>
          <w:b/>
          <w:bCs/>
        </w:rPr>
        <w:t>S</w:t>
      </w:r>
      <w:r w:rsidR="006D2635" w:rsidRPr="00F27EC9">
        <w:rPr>
          <w:b/>
          <w:bCs/>
        </w:rPr>
        <w:t>1</w:t>
      </w:r>
      <w:r w:rsidR="006D2635">
        <w:t xml:space="preserve"> </w:t>
      </w:r>
      <w:r w:rsidR="001B4888">
        <w:t>Mean (</w:t>
      </w:r>
      <w:r w:rsidR="00056F2E" w:rsidRPr="00056F2E">
        <w:rPr>
          <w:rFonts w:eastAsia="DengXian" w:cs="Arial"/>
        </w:rPr>
        <w:t>±</w:t>
      </w:r>
      <w:r w:rsidR="00056F2E" w:rsidRPr="00056F2E">
        <w:rPr>
          <w:rFonts w:cs="Arial"/>
        </w:rPr>
        <w:t xml:space="preserve"> </w:t>
      </w:r>
      <w:proofErr w:type="spellStart"/>
      <w:r w:rsidR="00056F2E">
        <w:t>BCa</w:t>
      </w:r>
      <w:proofErr w:type="spellEnd"/>
      <w:r w:rsidR="00056F2E">
        <w:t xml:space="preserve"> </w:t>
      </w:r>
      <w:r w:rsidR="001B4888">
        <w:t>95% CIs</w:t>
      </w:r>
      <w:r w:rsidR="006C31D3">
        <w:t xml:space="preserve">, </w:t>
      </w:r>
      <w:r w:rsidR="006C31D3" w:rsidRPr="006C31D3">
        <w:t>bootstrap corrected and accelerated 95% confidence intervals</w:t>
      </w:r>
      <w:r w:rsidR="001B4888">
        <w:t>) a</w:t>
      </w:r>
      <w:r w:rsidR="006D64F6">
        <w:t xml:space="preserve">ccuracy of </w:t>
      </w:r>
      <w:r w:rsidR="002C00EA">
        <w:t>pain-free</w:t>
      </w:r>
      <w:r w:rsidR="00C82CE6">
        <w:t xml:space="preserve"> control participants (CON), participants with upper limb </w:t>
      </w:r>
      <w:r w:rsidR="0087664F">
        <w:t>Complex Regional Pain Syndrome</w:t>
      </w:r>
      <w:r w:rsidR="00C82CE6">
        <w:t xml:space="preserve"> (UL-CRPS), and lower limb CRPS (LL-CRPS)</w:t>
      </w:r>
      <w:r w:rsidR="00192B1E">
        <w:t xml:space="preserve"> in the test of binocular peripheral vision at diffe</w:t>
      </w:r>
      <w:r w:rsidR="008752A8">
        <w:t xml:space="preserve">rent eccentricities (degrees of visual angle). (A) </w:t>
      </w:r>
      <w:r w:rsidR="00B8076C">
        <w:t>In the data expressed relative to the CRPS-affected(</w:t>
      </w:r>
      <w:r w:rsidR="001F7C2C">
        <w:t>/</w:t>
      </w:r>
      <w:r w:rsidR="00B8076C">
        <w:t>non-dominant) side, negative eccentricities correspond to the unaffected visual field. (B) In the data expressed relative to the right and left side, negative eccentricities correspond to the left visual field.</w:t>
      </w:r>
    </w:p>
    <w:p w14:paraId="2C942B8D" w14:textId="7794D421" w:rsidR="00F27EC9" w:rsidRDefault="00F27EC9" w:rsidP="0087664F">
      <w:r>
        <w:tab/>
      </w:r>
    </w:p>
    <w:p w14:paraId="34D34266" w14:textId="77777777" w:rsidR="00A72CE0" w:rsidRPr="007100B9" w:rsidRDefault="00A72CE0" w:rsidP="00171519"/>
    <w:p w14:paraId="29D13ADA" w14:textId="2F85A529" w:rsidR="00EE0017" w:rsidRDefault="004A069E" w:rsidP="004A069E">
      <w:pPr>
        <w:pStyle w:val="Heading2"/>
      </w:pPr>
      <w:r>
        <w:t>Mechanical Detection Thresholds</w:t>
      </w:r>
    </w:p>
    <w:p w14:paraId="351DD210" w14:textId="54316557" w:rsidR="00B71072" w:rsidRDefault="00CF66FC" w:rsidP="008C102F">
      <w:pPr>
        <w:ind w:firstLine="720"/>
      </w:pPr>
      <w:r>
        <w:t xml:space="preserve">All participants underwent an assessment of </w:t>
      </w:r>
      <w:r w:rsidR="00352DD0">
        <w:t>M</w:t>
      </w:r>
      <w:r>
        <w:t xml:space="preserve">echanical </w:t>
      </w:r>
      <w:r w:rsidR="00352DD0">
        <w:t>D</w:t>
      </w:r>
      <w:r>
        <w:t xml:space="preserve">etection </w:t>
      </w:r>
      <w:r w:rsidR="00352DD0">
        <w:t>T</w:t>
      </w:r>
      <w:r>
        <w:t xml:space="preserve">hreshold </w:t>
      </w:r>
      <w:r w:rsidR="00C61DD4">
        <w:t>according to</w:t>
      </w:r>
      <w:r w:rsidR="00B25233">
        <w:t xml:space="preserve"> a standardized Quantitative</w:t>
      </w:r>
      <w:r w:rsidR="00C61DD4">
        <w:t xml:space="preserve"> </w:t>
      </w:r>
      <w:r w:rsidR="00B25233">
        <w:t>Sensory Testing protocol</w:t>
      </w:r>
      <w:r w:rsidR="008C102F">
        <w:t>.</w:t>
      </w:r>
      <w:r w:rsidR="00990C78">
        <w:fldChar w:fldCharType="begin"/>
      </w:r>
      <w:r w:rsidR="00A82BC5">
        <w:instrText xml:space="preserve"> ADDIN ZOTERO_ITEM CSL_CITATION {"citationID":"R3cIpDeO","properties":{"formattedCitation":"\\super 2\\nosupersub{}","plainCitation":"2","noteIndex":0},"citationItems":[{"id":565,"uris":["http://zotero.org/users/2402792/items/ZM8ANUIZ"],"itemData":{"id":565,"type":"article-journal","container-title":"European Journal of Pain","DOI":"10.1016/j.ejpain.2005.02.003","ISSN":"10903801","issue":"1","language":"en","page":"77-77","source":"CrossRef","title":"Quantitative sensory testing: a comprehensive protocol for clinical trials","title-short":"Quantitative sensory testing","volume":"10","author":[{"family":"Rolke","given":"R."},{"family":"Magerl","given":"W."},{"family":"Campbell","given":"K. Andrews"},{"family":"Schalber","given":"C."},{"family":"Caspari","given":"S."},{"family":"Birklein","given":"F."},{"family":"Treede","given":"R.-D."}],"issued":{"date-parts":[["2006",1]]}}}],"schema":"https://github.com/citation-style-language/schema/raw/master/csl-citation.json"} </w:instrText>
      </w:r>
      <w:r w:rsidR="00990C78">
        <w:fldChar w:fldCharType="separate"/>
      </w:r>
      <w:r w:rsidR="00990C78" w:rsidRPr="00990C78">
        <w:rPr>
          <w:rFonts w:cs="Arial"/>
          <w:vertAlign w:val="superscript"/>
        </w:rPr>
        <w:t>2</w:t>
      </w:r>
      <w:r w:rsidR="00990C78">
        <w:fldChar w:fldCharType="end"/>
      </w:r>
      <w:r w:rsidR="00B25233">
        <w:t xml:space="preserve"> </w:t>
      </w:r>
      <w:r w:rsidR="00C61DD4">
        <w:t>V</w:t>
      </w:r>
      <w:r w:rsidR="00B25233">
        <w:t>on Frey</w:t>
      </w:r>
      <w:r w:rsidR="008C102F">
        <w:t xml:space="preserve"> </w:t>
      </w:r>
      <w:r w:rsidR="00B25233">
        <w:t>filaments (</w:t>
      </w:r>
      <w:r w:rsidR="00C61DD4">
        <w:t>0</w:t>
      </w:r>
      <w:r w:rsidR="00B25233">
        <w:t>.008</w:t>
      </w:r>
      <w:r w:rsidR="00C61DD4">
        <w:t xml:space="preserve"> - </w:t>
      </w:r>
      <w:r w:rsidR="00B25233">
        <w:t xml:space="preserve">300g force; </w:t>
      </w:r>
      <w:proofErr w:type="spellStart"/>
      <w:r w:rsidR="00B25233">
        <w:t>Bioseb</w:t>
      </w:r>
      <w:proofErr w:type="spellEnd"/>
      <w:r w:rsidR="00B25233">
        <w:t>, model Bio-VF-M)</w:t>
      </w:r>
      <w:r w:rsidR="00A324A6">
        <w:t xml:space="preserve"> were applied </w:t>
      </w:r>
      <w:r w:rsidR="009D18DD">
        <w:t xml:space="preserve">to the dorsum of </w:t>
      </w:r>
      <w:r w:rsidR="00544F38">
        <w:t>participants</w:t>
      </w:r>
      <w:r w:rsidR="009D18DD">
        <w:t xml:space="preserve">’ </w:t>
      </w:r>
      <w:r w:rsidR="00544F38">
        <w:t>left and right hands and feet.</w:t>
      </w:r>
      <w:r w:rsidR="00B25233">
        <w:t xml:space="preserve"> </w:t>
      </w:r>
      <w:r w:rsidR="00A54CC8">
        <w:t>Geometric mean</w:t>
      </w:r>
      <w:r w:rsidR="0087664F">
        <w:t>s</w:t>
      </w:r>
      <w:r w:rsidR="00A54CC8">
        <w:t xml:space="preserve"> of five subthreshold and five suprathreshold values </w:t>
      </w:r>
      <w:r w:rsidR="0087664F">
        <w:t xml:space="preserve">were </w:t>
      </w:r>
      <w:r w:rsidR="009947FF">
        <w:t xml:space="preserve">calculated for each limb. </w:t>
      </w:r>
      <w:r w:rsidR="00B25233">
        <w:t>A positive</w:t>
      </w:r>
      <w:r w:rsidR="009947FF">
        <w:t xml:space="preserve"> </w:t>
      </w:r>
      <w:r w:rsidR="00B25233">
        <w:t>ratio of thresholds for affected</w:t>
      </w:r>
      <w:r w:rsidR="009947FF">
        <w:t>(</w:t>
      </w:r>
      <w:r w:rsidR="000A6C49">
        <w:t>/</w:t>
      </w:r>
      <w:r w:rsidR="009947FF">
        <w:t>non-dominant)</w:t>
      </w:r>
      <w:r w:rsidR="00B25233">
        <w:t xml:space="preserve"> versus unaffected</w:t>
      </w:r>
      <w:r w:rsidR="009947FF">
        <w:t>(</w:t>
      </w:r>
      <w:r w:rsidR="000A6C49">
        <w:t>/</w:t>
      </w:r>
      <w:r w:rsidR="009947FF">
        <w:t>dominant)</w:t>
      </w:r>
      <w:r w:rsidR="00B25233">
        <w:t xml:space="preserve"> side</w:t>
      </w:r>
      <w:r w:rsidR="000A241F">
        <w:t xml:space="preserve"> </w:t>
      </w:r>
      <w:r w:rsidR="004A6ABD">
        <w:lastRenderedPageBreak/>
        <w:t xml:space="preserve">would </w:t>
      </w:r>
      <w:r w:rsidR="00B25233">
        <w:t>indicate hypoesthesia (</w:t>
      </w:r>
      <w:proofErr w:type="spellStart"/>
      <w:proofErr w:type="gramStart"/>
      <w:r w:rsidR="0087664F">
        <w:t>ie</w:t>
      </w:r>
      <w:proofErr w:type="spellEnd"/>
      <w:proofErr w:type="gramEnd"/>
      <w:r w:rsidR="00B25233">
        <w:t xml:space="preserve"> increased tactile detection</w:t>
      </w:r>
      <w:r w:rsidR="004A6ABD">
        <w:t xml:space="preserve"> </w:t>
      </w:r>
      <w:r w:rsidR="00B25233">
        <w:t>threshold) on the affected</w:t>
      </w:r>
      <w:r w:rsidR="004A6ABD">
        <w:t>(</w:t>
      </w:r>
      <w:r w:rsidR="000A6C49">
        <w:t>/</w:t>
      </w:r>
      <w:r w:rsidR="004A6ABD">
        <w:t>non-dominant)</w:t>
      </w:r>
      <w:r w:rsidR="00B25233">
        <w:t xml:space="preserve"> </w:t>
      </w:r>
      <w:r w:rsidR="004A6ABD">
        <w:t>side of the body</w:t>
      </w:r>
      <w:r w:rsidR="00987723">
        <w:t>;</w:t>
      </w:r>
      <w:r w:rsidR="00F01001">
        <w:t xml:space="preserve"> or</w:t>
      </w:r>
      <w:r w:rsidR="00987723">
        <w:t xml:space="preserve"> hypoesthesia</w:t>
      </w:r>
      <w:r w:rsidR="00F01001">
        <w:t xml:space="preserve"> on the left side of </w:t>
      </w:r>
      <w:r w:rsidR="003B3F68">
        <w:t>the body</w:t>
      </w:r>
      <w:r w:rsidR="00987723">
        <w:t xml:space="preserve"> when the data is analyzed relative to the left and right side.</w:t>
      </w:r>
    </w:p>
    <w:p w14:paraId="3BC30102" w14:textId="3EFDC88E" w:rsidR="004B69E1" w:rsidRDefault="00D02FE6" w:rsidP="00B25233">
      <w:r>
        <w:tab/>
      </w:r>
      <w:r w:rsidR="00EF46E3">
        <w:t xml:space="preserve">In both analyses, </w:t>
      </w:r>
      <w:r w:rsidR="007B3E0E">
        <w:t>ANOVAs revealed</w:t>
      </w:r>
      <w:r w:rsidR="004137DA">
        <w:t xml:space="preserve"> no significant differences </w:t>
      </w:r>
      <w:r w:rsidR="00BE7F97">
        <w:t xml:space="preserve">in the hands or feet </w:t>
      </w:r>
      <w:r w:rsidR="00F95846">
        <w:t>M</w:t>
      </w:r>
      <w:r w:rsidR="0087664F">
        <w:t xml:space="preserve">echanical </w:t>
      </w:r>
      <w:r w:rsidR="00F95846">
        <w:t>D</w:t>
      </w:r>
      <w:r w:rsidR="0087664F">
        <w:t xml:space="preserve">etection </w:t>
      </w:r>
      <w:r w:rsidR="00F95846">
        <w:t>T</w:t>
      </w:r>
      <w:r w:rsidR="0087664F">
        <w:t xml:space="preserve">hreshold </w:t>
      </w:r>
      <w:r w:rsidR="00BE7F97">
        <w:t xml:space="preserve">ratios </w:t>
      </w:r>
      <w:r w:rsidR="004137DA">
        <w:t>between the groups</w:t>
      </w:r>
      <w:r w:rsidR="004B69E1">
        <w:t xml:space="preserve"> (</w:t>
      </w:r>
      <w:proofErr w:type="spellStart"/>
      <w:r w:rsidR="00E8611A" w:rsidRPr="004E1ACD">
        <w:rPr>
          <w:i/>
          <w:iCs/>
        </w:rPr>
        <w:t>ps</w:t>
      </w:r>
      <w:proofErr w:type="spellEnd"/>
      <w:r w:rsidR="00E8611A">
        <w:t xml:space="preserve"> &gt; 0.202; </w:t>
      </w:r>
      <w:r w:rsidR="00163E3B">
        <w:t xml:space="preserve">Supplementary </w:t>
      </w:r>
      <w:r w:rsidR="004B69E1">
        <w:t xml:space="preserve">Figure </w:t>
      </w:r>
      <w:r w:rsidR="00213B90">
        <w:t>S</w:t>
      </w:r>
      <w:r w:rsidR="004B69E1">
        <w:t xml:space="preserve">2). </w:t>
      </w:r>
    </w:p>
    <w:p w14:paraId="10BF58DE" w14:textId="5199E3A7" w:rsidR="00D02FE6" w:rsidRDefault="004B69E1" w:rsidP="00B25233">
      <w:r w:rsidRPr="004B69E1">
        <w:rPr>
          <w:noProof/>
        </w:rPr>
        <w:drawing>
          <wp:inline distT="0" distB="0" distL="0" distR="0" wp14:anchorId="17BF4C32" wp14:editId="12060B49">
            <wp:extent cx="5486400" cy="1744345"/>
            <wp:effectExtent l="0" t="0" r="0" b="8255"/>
            <wp:docPr id="4" name="Picture 4" descr="A picture containing screenshot, line, diagram, pl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A picture containing screenshot, line, diagram, plot&#10;&#10;Description automatically generated"/>
                    <pic:cNvPicPr/>
                  </pic:nvPicPr>
                  <pic:blipFill>
                    <a:blip r:embed="rId8"/>
                    <a:stretch>
                      <a:fillRect/>
                    </a:stretch>
                  </pic:blipFill>
                  <pic:spPr>
                    <a:xfrm>
                      <a:off x="0" y="0"/>
                      <a:ext cx="5486400" cy="1744345"/>
                    </a:xfrm>
                    <a:prstGeom prst="rect">
                      <a:avLst/>
                    </a:prstGeom>
                  </pic:spPr>
                </pic:pic>
              </a:graphicData>
            </a:graphic>
          </wp:inline>
        </w:drawing>
      </w:r>
      <w:r w:rsidR="004137DA">
        <w:t xml:space="preserve"> </w:t>
      </w:r>
    </w:p>
    <w:p w14:paraId="26B50D9A" w14:textId="43B6EB44" w:rsidR="004B69E1" w:rsidRDefault="00163E3B" w:rsidP="004B69E1">
      <w:r>
        <w:rPr>
          <w:b/>
          <w:bCs/>
        </w:rPr>
        <w:t xml:space="preserve">Supplementary </w:t>
      </w:r>
      <w:r w:rsidR="004B69E1" w:rsidRPr="00F27EC9">
        <w:rPr>
          <w:b/>
          <w:bCs/>
        </w:rPr>
        <w:t xml:space="preserve">Figure </w:t>
      </w:r>
      <w:r w:rsidR="00213B90">
        <w:rPr>
          <w:b/>
          <w:bCs/>
        </w:rPr>
        <w:t>S</w:t>
      </w:r>
      <w:r w:rsidR="004B69E1">
        <w:rPr>
          <w:b/>
          <w:bCs/>
        </w:rPr>
        <w:t>2</w:t>
      </w:r>
      <w:r w:rsidR="004B69E1">
        <w:t xml:space="preserve"> </w:t>
      </w:r>
      <w:r w:rsidR="000D033A">
        <w:t>Black circles represent the m</w:t>
      </w:r>
      <w:r w:rsidR="004B69E1">
        <w:t>ean (</w:t>
      </w:r>
      <w:r w:rsidR="004B69E1" w:rsidRPr="00056F2E">
        <w:rPr>
          <w:rFonts w:eastAsia="DengXian" w:cs="Arial"/>
        </w:rPr>
        <w:t>±</w:t>
      </w:r>
      <w:r w:rsidR="004B69E1" w:rsidRPr="00056F2E">
        <w:rPr>
          <w:rFonts w:cs="Arial"/>
        </w:rPr>
        <w:t xml:space="preserve"> </w:t>
      </w:r>
      <w:proofErr w:type="spellStart"/>
      <w:r w:rsidR="004B69E1">
        <w:t>BCa</w:t>
      </w:r>
      <w:proofErr w:type="spellEnd"/>
      <w:r w:rsidR="004B69E1">
        <w:t xml:space="preserve"> 95% CIs</w:t>
      </w:r>
      <w:r w:rsidR="006C31D3">
        <w:t xml:space="preserve">, </w:t>
      </w:r>
      <w:r w:rsidR="006C31D3" w:rsidRPr="006C31D3">
        <w:t>bootstrap corrected and accelerated 95% confidence intervals</w:t>
      </w:r>
      <w:r w:rsidR="004B69E1">
        <w:t xml:space="preserve">) </w:t>
      </w:r>
      <w:r w:rsidR="00533661">
        <w:t xml:space="preserve">Mechanical Detection Threshold </w:t>
      </w:r>
      <w:r w:rsidR="00EE6ABD">
        <w:t xml:space="preserve">(MDT) </w:t>
      </w:r>
      <w:r w:rsidR="00533661">
        <w:t>ratios</w:t>
      </w:r>
      <w:r w:rsidR="0060046C">
        <w:t xml:space="preserve"> for (A) affected</w:t>
      </w:r>
      <w:r w:rsidR="00C3500C">
        <w:t>(</w:t>
      </w:r>
      <w:r w:rsidR="00115570">
        <w:t>/non-dominant</w:t>
      </w:r>
      <w:r w:rsidR="00C3500C">
        <w:t>)</w:t>
      </w:r>
      <w:r w:rsidR="0060046C">
        <w:t xml:space="preserve"> v</w:t>
      </w:r>
      <w:r w:rsidR="00115570">
        <w:t>ersu</w:t>
      </w:r>
      <w:r w:rsidR="0060046C">
        <w:t>s unaffected</w:t>
      </w:r>
      <w:r w:rsidR="00C3500C">
        <w:t>(</w:t>
      </w:r>
      <w:r w:rsidR="00115570">
        <w:t>/dominant</w:t>
      </w:r>
      <w:r w:rsidR="00C3500C">
        <w:t>)</w:t>
      </w:r>
      <w:r w:rsidR="0060046C">
        <w:t>, and (B) left v</w:t>
      </w:r>
      <w:r w:rsidR="00115570">
        <w:t>ersu</w:t>
      </w:r>
      <w:r w:rsidR="0060046C">
        <w:t>s right</w:t>
      </w:r>
      <w:r w:rsidR="000D033A">
        <w:t xml:space="preserve"> hands and feet,</w:t>
      </w:r>
      <w:r w:rsidR="004B69E1">
        <w:t xml:space="preserve"> </w:t>
      </w:r>
      <w:r w:rsidR="000D033A">
        <w:t>in</w:t>
      </w:r>
      <w:r w:rsidR="004B69E1">
        <w:t xml:space="preserve"> healthy control participants (CON), participants with upper limb </w:t>
      </w:r>
      <w:r w:rsidR="0087664F">
        <w:t>Complex Regional Pain Syndrom</w:t>
      </w:r>
      <w:r w:rsidR="0076174F">
        <w:t>e</w:t>
      </w:r>
      <w:r w:rsidR="004B69E1">
        <w:t xml:space="preserve"> (UL-CRPS), and lower limb CRPS (LL-CRPS)</w:t>
      </w:r>
      <w:r w:rsidR="000D033A">
        <w:t>.</w:t>
      </w:r>
      <w:r w:rsidR="004B69E1">
        <w:t xml:space="preserve"> </w:t>
      </w:r>
      <w:r w:rsidR="007B3E0E">
        <w:t xml:space="preserve">Colored </w:t>
      </w:r>
      <w:r w:rsidR="0087664F">
        <w:t xml:space="preserve">dots </w:t>
      </w:r>
      <w:r w:rsidR="007B3E0E">
        <w:t>represent individual data points.</w:t>
      </w:r>
    </w:p>
    <w:p w14:paraId="18559A91" w14:textId="1EED6C1E" w:rsidR="006C7BD5" w:rsidRDefault="006C7BD5" w:rsidP="00B25233">
      <w:r>
        <w:tab/>
      </w:r>
    </w:p>
    <w:p w14:paraId="611753EB" w14:textId="77777777" w:rsidR="00911C10" w:rsidRDefault="00911C10" w:rsidP="00B25233"/>
    <w:p w14:paraId="0E40066C" w14:textId="5E3F0AB7" w:rsidR="00911C10" w:rsidRPr="00911C10" w:rsidRDefault="00911C10" w:rsidP="00911C10">
      <w:pPr>
        <w:pStyle w:val="Heading2"/>
        <w:rPr>
          <w:lang w:val="en-GB"/>
        </w:rPr>
      </w:pPr>
      <w:r w:rsidRPr="00911C10">
        <w:rPr>
          <w:lang w:val="en-GB"/>
        </w:rPr>
        <w:t>Temporal acuity (</w:t>
      </w:r>
      <w:r w:rsidR="00807357">
        <w:rPr>
          <w:lang w:val="en-GB"/>
        </w:rPr>
        <w:t xml:space="preserve">secondary </w:t>
      </w:r>
      <w:r w:rsidR="002E1965">
        <w:rPr>
          <w:lang w:val="en-GB"/>
        </w:rPr>
        <w:t>analysis</w:t>
      </w:r>
      <w:r w:rsidRPr="00911C10">
        <w:rPr>
          <w:lang w:val="en-GB"/>
        </w:rPr>
        <w:t>)</w:t>
      </w:r>
    </w:p>
    <w:p w14:paraId="16143508" w14:textId="5E88E3EA" w:rsidR="00852615" w:rsidRPr="00911C10" w:rsidRDefault="00911C10" w:rsidP="0069556D">
      <w:pPr>
        <w:ind w:firstLine="720"/>
      </w:pPr>
      <w:r w:rsidRPr="00911C10">
        <w:t xml:space="preserve">Previous research </w:t>
      </w:r>
      <w:r w:rsidR="009D2142">
        <w:t>has</w:t>
      </w:r>
      <w:r w:rsidRPr="00911C10">
        <w:t xml:space="preserve"> reported lower temporal acuity for TOJs under conditions where people with CRPS show spatial bias, reflecting</w:t>
      </w:r>
      <w:r w:rsidR="00185C52" w:rsidRPr="004728BE">
        <w:t xml:space="preserve"> reduced precision</w:t>
      </w:r>
      <w:r w:rsidR="004728BE" w:rsidRPr="004728BE">
        <w:t xml:space="preserve"> of their judgements.</w:t>
      </w:r>
      <w:r w:rsidR="00A82BC5">
        <w:fldChar w:fldCharType="begin"/>
      </w:r>
      <w:r w:rsidR="00A82BC5">
        <w:instrText xml:space="preserve"> ADDIN ZOTERO_ITEM CSL_CITATION {"citationID":"Xd5ZGVwK","properties":{"formattedCitation":"\\super 3\\nosupersub{}","plainCitation":"3","noteIndex":0},"citationItems":[{"id":1994,"uris":["http://zotero.org/users/2402792/items/8SZT2PRF"],"itemData":{"id":1994,"type":"article-journal","container-title":"Brain","DOI":"10.1093/brain/awx152","ISSN":"0006-8950, 1460-2156","issue":"9","language":"en","page":"2306-2321","source":"CrossRef","title":"Space-based bias of covert visual attention in complex regional pain syndrome","volume":"140","author":[{"family":"Bultitude","given":"Janet H"},{"family":"Walker","given":"Ian"},{"family":"Spence","given":"Charles"}],"issued":{"date-parts":[["2017",9,1]]}}}],"schema":"https://github.com/citation-style-language/schema/raw/master/csl-citation.json"} </w:instrText>
      </w:r>
      <w:r w:rsidR="00A82BC5">
        <w:fldChar w:fldCharType="separate"/>
      </w:r>
      <w:r w:rsidR="00A82BC5" w:rsidRPr="00A82BC5">
        <w:rPr>
          <w:rFonts w:cs="Arial"/>
          <w:vertAlign w:val="superscript"/>
        </w:rPr>
        <w:t>3</w:t>
      </w:r>
      <w:r w:rsidR="00A82BC5">
        <w:fldChar w:fldCharType="end"/>
      </w:r>
      <w:r w:rsidR="00A82BC5">
        <w:t xml:space="preserve"> </w:t>
      </w:r>
      <w:r w:rsidRPr="00911C10">
        <w:t>As a secondary hypothesis, we therefore expected the temporal acuity in the TOJ tasks to be lower in participants with CRPS compared to controls, and in the affected region of the body compared to the unaffected region of the body.</w:t>
      </w:r>
    </w:p>
    <w:p w14:paraId="19266B19" w14:textId="019FBB7E" w:rsidR="00911C10" w:rsidRDefault="00911C10" w:rsidP="00911C10">
      <w:r w:rsidRPr="00911C10">
        <w:lastRenderedPageBreak/>
        <w:tab/>
        <w:t>For the secondary analysis</w:t>
      </w:r>
      <w:r w:rsidR="00062713">
        <w:t xml:space="preserve"> to address this hypothesis</w:t>
      </w:r>
      <w:r w:rsidRPr="00911C10">
        <w:t xml:space="preserve">, we derived Just Noticeable Differences (JNDs) for each condition of the TOJ task. JNDs were calculated as the difference between the 75% and 25% points of the cumulative Gaussian. Larger JNDs would reflect lower temporal acuity, </w:t>
      </w:r>
      <w:proofErr w:type="spellStart"/>
      <w:proofErr w:type="gramStart"/>
      <w:r w:rsidRPr="00911C10">
        <w:t>ie</w:t>
      </w:r>
      <w:proofErr w:type="spellEnd"/>
      <w:proofErr w:type="gramEnd"/>
      <w:r w:rsidRPr="00911C10">
        <w:t xml:space="preserve"> participants would need larger time intervals between the visual stimuli to reliably indicate their order. </w:t>
      </w:r>
      <w:r w:rsidR="00430FA1">
        <w:t>W</w:t>
      </w:r>
      <w:r w:rsidR="00D20BA7" w:rsidRPr="00ED2A3C">
        <w:t>e conducted the same ANOVA on the JND</w:t>
      </w:r>
      <w:r w:rsidR="00030A88">
        <w:t xml:space="preserve"> as w</w:t>
      </w:r>
      <w:r w:rsidR="00A765BF">
        <w:t>as</w:t>
      </w:r>
      <w:r w:rsidR="00030A88">
        <w:t xml:space="preserve"> specified for the primary analysis of the </w:t>
      </w:r>
      <w:r w:rsidR="006C6284">
        <w:t>P</w:t>
      </w:r>
      <w:r w:rsidR="00A765BF">
        <w:t xml:space="preserve">oint of </w:t>
      </w:r>
      <w:r w:rsidR="006C6284">
        <w:t>S</w:t>
      </w:r>
      <w:r w:rsidR="00A765BF">
        <w:t xml:space="preserve">ubjective </w:t>
      </w:r>
      <w:r w:rsidR="006C6284">
        <w:t>S</w:t>
      </w:r>
      <w:r w:rsidR="00A765BF">
        <w:t>imultaneity (</w:t>
      </w:r>
      <w:r w:rsidR="00030A88">
        <w:t>PSS</w:t>
      </w:r>
      <w:r w:rsidR="00A765BF">
        <w:t xml:space="preserve">; </w:t>
      </w:r>
      <w:r w:rsidR="00030A88">
        <w:t xml:space="preserve">see main </w:t>
      </w:r>
      <w:r w:rsidR="00A765BF">
        <w:t>text).</w:t>
      </w:r>
      <w:r w:rsidR="00D20BA7" w:rsidRPr="00ED2A3C">
        <w:t xml:space="preserve"> </w:t>
      </w:r>
    </w:p>
    <w:p w14:paraId="1826E8DE" w14:textId="22FC66E0" w:rsidR="00D729A7" w:rsidRDefault="00814D3E" w:rsidP="00814D3E">
      <w:r>
        <w:tab/>
      </w:r>
      <w:r w:rsidRPr="00ED2A3C">
        <w:t xml:space="preserve">Three observations (one in each group) were identified as outliers on the JND outcome and removed from this analysis. There was a significant </w:t>
      </w:r>
      <w:r w:rsidR="00690470">
        <w:t xml:space="preserve">small </w:t>
      </w:r>
      <w:r w:rsidRPr="00ED2A3C">
        <w:t xml:space="preserve">interaction between Group and </w:t>
      </w:r>
      <w:r w:rsidR="00FF1EF4">
        <w:t>Body Region</w:t>
      </w:r>
      <w:r w:rsidRPr="00ED2A3C">
        <w:t xml:space="preserve"> (</w:t>
      </w:r>
      <w:r w:rsidR="00631222" w:rsidRPr="00631222">
        <w:t>Supplementary Table S1</w:t>
      </w:r>
      <w:r w:rsidR="00D729A7">
        <w:t xml:space="preserve">; </w:t>
      </w:r>
      <w:r w:rsidR="00DE0F72">
        <w:t xml:space="preserve">Supplementary </w:t>
      </w:r>
      <w:r w:rsidRPr="00ED2A3C">
        <w:t xml:space="preserve">Figure </w:t>
      </w:r>
      <w:r w:rsidR="00DE0F72">
        <w:t>S</w:t>
      </w:r>
      <w:r w:rsidRPr="00ED2A3C">
        <w:t>3A), however, none of the planned contrasts remained statistically significant following the Holm-Bonferroni correction (</w:t>
      </w:r>
      <w:proofErr w:type="spellStart"/>
      <w:r w:rsidRPr="00ED2A3C">
        <w:rPr>
          <w:i/>
          <w:iCs/>
        </w:rPr>
        <w:t>ps</w:t>
      </w:r>
      <w:r w:rsidRPr="00ED2A3C">
        <w:rPr>
          <w:i/>
          <w:iCs/>
          <w:vertAlign w:val="subscript"/>
        </w:rPr>
        <w:t>adj</w:t>
      </w:r>
      <w:proofErr w:type="spellEnd"/>
      <w:r w:rsidRPr="00ED2A3C">
        <w:t xml:space="preserve"> &gt; 0.126). There was also a significant </w:t>
      </w:r>
      <w:r w:rsidR="00690470">
        <w:t xml:space="preserve">small </w:t>
      </w:r>
      <w:r w:rsidRPr="00ED2A3C">
        <w:t xml:space="preserve">main effect of </w:t>
      </w:r>
      <w:r w:rsidR="00FF1EF4">
        <w:t>Body Region</w:t>
      </w:r>
      <w:r w:rsidRPr="00ED2A3C">
        <w:t xml:space="preserve"> indicating larger JND values for </w:t>
      </w:r>
      <w:r w:rsidR="009D56C6">
        <w:t>h</w:t>
      </w:r>
      <w:r w:rsidRPr="00ED2A3C">
        <w:t xml:space="preserve">ands compared to </w:t>
      </w:r>
      <w:r w:rsidR="009D56C6">
        <w:t>f</w:t>
      </w:r>
      <w:r w:rsidRPr="00ED2A3C">
        <w:t>eet, regardless of Group (</w:t>
      </w:r>
      <w:r w:rsidR="00DE0F72" w:rsidRPr="00DE0F72">
        <w:t xml:space="preserve">Supplementary </w:t>
      </w:r>
      <w:r w:rsidRPr="00ED2A3C">
        <w:t xml:space="preserve">Figure </w:t>
      </w:r>
      <w:r w:rsidR="00DE0F72">
        <w:t>S</w:t>
      </w:r>
      <w:r w:rsidRPr="00ED2A3C">
        <w:t xml:space="preserve">3B). </w:t>
      </w:r>
    </w:p>
    <w:p w14:paraId="674A068A" w14:textId="77777777" w:rsidR="00DE0F72" w:rsidRDefault="00DE0F72" w:rsidP="00814D3E"/>
    <w:p w14:paraId="28A6745B" w14:textId="6ED9AA5E" w:rsidR="00C95E58" w:rsidRPr="00C95E58" w:rsidRDefault="00C95E58" w:rsidP="00C95E58">
      <w:r w:rsidRPr="00C95E58">
        <w:rPr>
          <w:b/>
          <w:bCs/>
        </w:rPr>
        <w:t>Supplementary Table S1</w:t>
      </w:r>
      <w:r w:rsidRPr="00C95E58">
        <w:t xml:space="preserve"> Results of the ANOVAs on the JND outcome</w:t>
      </w:r>
    </w:p>
    <w:tbl>
      <w:tblPr>
        <w:tblStyle w:val="TableGrid"/>
        <w:tblW w:w="0" w:type="auto"/>
        <w:tblLook w:val="04A0" w:firstRow="1" w:lastRow="0" w:firstColumn="1" w:lastColumn="0" w:noHBand="0" w:noVBand="1"/>
      </w:tblPr>
      <w:tblGrid>
        <w:gridCol w:w="2263"/>
        <w:gridCol w:w="1701"/>
        <w:gridCol w:w="1521"/>
        <w:gridCol w:w="1530"/>
        <w:gridCol w:w="1615"/>
      </w:tblGrid>
      <w:tr w:rsidR="00C95E58" w:rsidRPr="00C95E58" w14:paraId="38C069C5" w14:textId="77777777" w:rsidTr="00FF1EF4">
        <w:tc>
          <w:tcPr>
            <w:tcW w:w="2263" w:type="dxa"/>
          </w:tcPr>
          <w:p w14:paraId="14CA9104" w14:textId="77777777" w:rsidR="00C95E58" w:rsidRPr="00C95E58" w:rsidRDefault="00C95E58" w:rsidP="00C95E58">
            <w:r w:rsidRPr="00C95E58">
              <w:t>Effect</w:t>
            </w:r>
          </w:p>
        </w:tc>
        <w:tc>
          <w:tcPr>
            <w:tcW w:w="1701" w:type="dxa"/>
          </w:tcPr>
          <w:p w14:paraId="3A2A04A5" w14:textId="77777777" w:rsidR="00C95E58" w:rsidRPr="005E511B" w:rsidRDefault="00C95E58" w:rsidP="00C95E58">
            <w:pPr>
              <w:rPr>
                <w:i/>
                <w:iCs/>
              </w:rPr>
            </w:pPr>
            <w:r w:rsidRPr="005E511B">
              <w:rPr>
                <w:i/>
                <w:iCs/>
              </w:rPr>
              <w:t>F</w:t>
            </w:r>
          </w:p>
        </w:tc>
        <w:tc>
          <w:tcPr>
            <w:tcW w:w="1521" w:type="dxa"/>
          </w:tcPr>
          <w:p w14:paraId="7900FEA3" w14:textId="77777777" w:rsidR="00C95E58" w:rsidRPr="00C95E58" w:rsidRDefault="00C95E58" w:rsidP="00C95E58">
            <w:proofErr w:type="spellStart"/>
            <w:r w:rsidRPr="00C95E58">
              <w:t>df</w:t>
            </w:r>
            <w:proofErr w:type="spellEnd"/>
          </w:p>
        </w:tc>
        <w:tc>
          <w:tcPr>
            <w:tcW w:w="1530" w:type="dxa"/>
          </w:tcPr>
          <w:p w14:paraId="3635A51B" w14:textId="77777777" w:rsidR="00C95E58" w:rsidRPr="005E511B" w:rsidRDefault="00C95E58" w:rsidP="00C95E58">
            <w:pPr>
              <w:rPr>
                <w:i/>
                <w:iCs/>
              </w:rPr>
            </w:pPr>
            <w:r w:rsidRPr="005E511B">
              <w:rPr>
                <w:i/>
                <w:iCs/>
              </w:rPr>
              <w:t>p</w:t>
            </w:r>
          </w:p>
        </w:tc>
        <w:tc>
          <w:tcPr>
            <w:tcW w:w="1615" w:type="dxa"/>
          </w:tcPr>
          <w:p w14:paraId="430BDA3F" w14:textId="77777777" w:rsidR="00C95E58" w:rsidRPr="005E511B" w:rsidRDefault="00C95E58" w:rsidP="00C95E58">
            <w:pPr>
              <w:rPr>
                <w:i/>
                <w:iCs/>
              </w:rPr>
            </w:pPr>
            <w:r w:rsidRPr="005E511B">
              <w:rPr>
                <w:i/>
                <w:iCs/>
              </w:rPr>
              <w:t>eta</w:t>
            </w:r>
            <w:r w:rsidRPr="005E511B">
              <w:rPr>
                <w:i/>
                <w:iCs/>
                <w:vertAlign w:val="superscript"/>
              </w:rPr>
              <w:t>2</w:t>
            </w:r>
          </w:p>
        </w:tc>
      </w:tr>
      <w:tr w:rsidR="00C95E58" w:rsidRPr="00C95E58" w14:paraId="49D37B4C" w14:textId="77777777" w:rsidTr="00E66035">
        <w:tc>
          <w:tcPr>
            <w:tcW w:w="8630" w:type="dxa"/>
            <w:gridSpan w:val="5"/>
          </w:tcPr>
          <w:p w14:paraId="4F6DFEC4" w14:textId="095C7277" w:rsidR="00C95E58" w:rsidRPr="00C95E58" w:rsidRDefault="0011039E" w:rsidP="00C95E58">
            <w:pPr>
              <w:rPr>
                <w:b/>
                <w:bCs/>
              </w:rPr>
            </w:pPr>
            <w:r>
              <w:rPr>
                <w:b/>
                <w:bCs/>
              </w:rPr>
              <w:t>JND (outliers removed)</w:t>
            </w:r>
          </w:p>
        </w:tc>
      </w:tr>
      <w:tr w:rsidR="000C44DE" w:rsidRPr="00C95E58" w14:paraId="735CD898" w14:textId="77777777" w:rsidTr="00FF1EF4">
        <w:tc>
          <w:tcPr>
            <w:tcW w:w="2263" w:type="dxa"/>
          </w:tcPr>
          <w:p w14:paraId="512DE122" w14:textId="77777777" w:rsidR="000C44DE" w:rsidRPr="00C95E58" w:rsidRDefault="000C44DE" w:rsidP="000C44DE">
            <w:r w:rsidRPr="00C95E58">
              <w:t>Group</w:t>
            </w:r>
          </w:p>
        </w:tc>
        <w:tc>
          <w:tcPr>
            <w:tcW w:w="1701" w:type="dxa"/>
          </w:tcPr>
          <w:p w14:paraId="6822BCFA" w14:textId="7FB6BBA2" w:rsidR="000C44DE" w:rsidRPr="00C95E58" w:rsidRDefault="000C44DE" w:rsidP="000C44DE">
            <w:r w:rsidRPr="00ED2A3C">
              <w:t>0.67</w:t>
            </w:r>
          </w:p>
        </w:tc>
        <w:tc>
          <w:tcPr>
            <w:tcW w:w="1521" w:type="dxa"/>
          </w:tcPr>
          <w:p w14:paraId="17B8A4AE" w14:textId="36044DBB" w:rsidR="000C44DE" w:rsidRPr="00C95E58" w:rsidRDefault="000C44DE" w:rsidP="000C44DE">
            <w:r w:rsidRPr="00ED2A3C">
              <w:t>2, 39</w:t>
            </w:r>
          </w:p>
        </w:tc>
        <w:tc>
          <w:tcPr>
            <w:tcW w:w="1530" w:type="dxa"/>
          </w:tcPr>
          <w:p w14:paraId="2192633B" w14:textId="10ADB441" w:rsidR="000C44DE" w:rsidRPr="00C95E58" w:rsidRDefault="000C44DE" w:rsidP="000C44DE">
            <w:pPr>
              <w:rPr>
                <w:b/>
                <w:bCs/>
              </w:rPr>
            </w:pPr>
            <w:r w:rsidRPr="00ED2A3C">
              <w:t>0.519</w:t>
            </w:r>
          </w:p>
        </w:tc>
        <w:tc>
          <w:tcPr>
            <w:tcW w:w="1615" w:type="dxa"/>
          </w:tcPr>
          <w:p w14:paraId="07F594DF" w14:textId="6BD5E769" w:rsidR="000C44DE" w:rsidRPr="00C95E58" w:rsidRDefault="000C44DE" w:rsidP="000C44DE">
            <w:r w:rsidRPr="00ED2A3C">
              <w:t>0.03</w:t>
            </w:r>
          </w:p>
        </w:tc>
      </w:tr>
      <w:tr w:rsidR="000C44DE" w:rsidRPr="00C95E58" w14:paraId="456D30AC" w14:textId="77777777" w:rsidTr="00FF1EF4">
        <w:tc>
          <w:tcPr>
            <w:tcW w:w="2263" w:type="dxa"/>
          </w:tcPr>
          <w:p w14:paraId="4BEE3827" w14:textId="42E09878" w:rsidR="000C44DE" w:rsidRPr="00C95E58" w:rsidRDefault="00FF1EF4" w:rsidP="000C44DE">
            <w:r>
              <w:t>Body Region</w:t>
            </w:r>
          </w:p>
        </w:tc>
        <w:tc>
          <w:tcPr>
            <w:tcW w:w="1701" w:type="dxa"/>
          </w:tcPr>
          <w:p w14:paraId="0CED109B" w14:textId="246EFB6E" w:rsidR="000C44DE" w:rsidRPr="00C95E58" w:rsidRDefault="000C44DE" w:rsidP="000C44DE">
            <w:r w:rsidRPr="00ED2A3C">
              <w:t>12.73</w:t>
            </w:r>
          </w:p>
        </w:tc>
        <w:tc>
          <w:tcPr>
            <w:tcW w:w="1521" w:type="dxa"/>
          </w:tcPr>
          <w:p w14:paraId="7DA2B504" w14:textId="1D14B2F8" w:rsidR="000C44DE" w:rsidRPr="00C95E58" w:rsidRDefault="000C44DE" w:rsidP="000C44DE">
            <w:r w:rsidRPr="00ED2A3C">
              <w:t>1, 39</w:t>
            </w:r>
          </w:p>
        </w:tc>
        <w:tc>
          <w:tcPr>
            <w:tcW w:w="1530" w:type="dxa"/>
          </w:tcPr>
          <w:p w14:paraId="660748D2" w14:textId="4F588AF5" w:rsidR="000C44DE" w:rsidRPr="00C95E58" w:rsidRDefault="000C44DE" w:rsidP="000C44DE">
            <w:r w:rsidRPr="00ED2A3C">
              <w:rPr>
                <w:b/>
                <w:bCs/>
              </w:rPr>
              <w:t>0.001</w:t>
            </w:r>
          </w:p>
        </w:tc>
        <w:tc>
          <w:tcPr>
            <w:tcW w:w="1615" w:type="dxa"/>
          </w:tcPr>
          <w:p w14:paraId="40818F8F" w14:textId="7A535ED9" w:rsidR="000C44DE" w:rsidRPr="00C95E58" w:rsidRDefault="000C44DE" w:rsidP="000C44DE">
            <w:r w:rsidRPr="00ED2A3C">
              <w:t>0.04</w:t>
            </w:r>
          </w:p>
        </w:tc>
      </w:tr>
      <w:tr w:rsidR="000C44DE" w:rsidRPr="00C95E58" w14:paraId="4E429132" w14:textId="77777777" w:rsidTr="00FF1EF4">
        <w:tc>
          <w:tcPr>
            <w:tcW w:w="2263" w:type="dxa"/>
          </w:tcPr>
          <w:p w14:paraId="08F11A84" w14:textId="45AEB3C7" w:rsidR="000C44DE" w:rsidRPr="00C95E58" w:rsidRDefault="000C44DE" w:rsidP="000C44DE">
            <w:r w:rsidRPr="00C95E58">
              <w:t xml:space="preserve">Group x </w:t>
            </w:r>
            <w:r w:rsidR="00FF1EF4">
              <w:t>Body Region</w:t>
            </w:r>
          </w:p>
        </w:tc>
        <w:tc>
          <w:tcPr>
            <w:tcW w:w="1701" w:type="dxa"/>
          </w:tcPr>
          <w:p w14:paraId="2493003D" w14:textId="780A9499" w:rsidR="000C44DE" w:rsidRPr="00C95E58" w:rsidRDefault="000C44DE" w:rsidP="000C44DE">
            <w:r w:rsidRPr="00ED2A3C">
              <w:t>4.23</w:t>
            </w:r>
          </w:p>
        </w:tc>
        <w:tc>
          <w:tcPr>
            <w:tcW w:w="1521" w:type="dxa"/>
          </w:tcPr>
          <w:p w14:paraId="367CE62C" w14:textId="497F2C2D" w:rsidR="000C44DE" w:rsidRPr="00C95E58" w:rsidRDefault="000C44DE" w:rsidP="000C44DE">
            <w:r w:rsidRPr="00ED2A3C">
              <w:t>2, 39</w:t>
            </w:r>
          </w:p>
        </w:tc>
        <w:tc>
          <w:tcPr>
            <w:tcW w:w="1530" w:type="dxa"/>
          </w:tcPr>
          <w:p w14:paraId="709700CB" w14:textId="4950C1FE" w:rsidR="000C44DE" w:rsidRPr="00C95E58" w:rsidRDefault="000C44DE" w:rsidP="000C44DE">
            <w:r w:rsidRPr="00ED2A3C">
              <w:rPr>
                <w:b/>
                <w:bCs/>
              </w:rPr>
              <w:t>0.022</w:t>
            </w:r>
          </w:p>
        </w:tc>
        <w:tc>
          <w:tcPr>
            <w:tcW w:w="1615" w:type="dxa"/>
          </w:tcPr>
          <w:p w14:paraId="6C0671A4" w14:textId="3A198ABB" w:rsidR="000C44DE" w:rsidRPr="00C95E58" w:rsidRDefault="000C44DE" w:rsidP="000C44DE">
            <w:r w:rsidRPr="00ED2A3C">
              <w:t>0.03</w:t>
            </w:r>
          </w:p>
        </w:tc>
      </w:tr>
      <w:tr w:rsidR="00C95E58" w:rsidRPr="00C95E58" w14:paraId="3CDD4885" w14:textId="77777777" w:rsidTr="00E66035">
        <w:tc>
          <w:tcPr>
            <w:tcW w:w="8630" w:type="dxa"/>
            <w:gridSpan w:val="5"/>
          </w:tcPr>
          <w:p w14:paraId="6AC9054D" w14:textId="09B3CBB2" w:rsidR="00C95E58" w:rsidRPr="00C95E58" w:rsidRDefault="00C95E58" w:rsidP="00C95E58">
            <w:r w:rsidRPr="00C95E58">
              <w:rPr>
                <w:b/>
                <w:bCs/>
              </w:rPr>
              <w:t>JND</w:t>
            </w:r>
            <w:r w:rsidR="0011039E">
              <w:rPr>
                <w:b/>
                <w:bCs/>
              </w:rPr>
              <w:t xml:space="preserve"> (outliers retained)</w:t>
            </w:r>
          </w:p>
        </w:tc>
      </w:tr>
      <w:tr w:rsidR="00C95E58" w:rsidRPr="00C95E58" w14:paraId="0B841EFF" w14:textId="77777777" w:rsidTr="00FF1EF4">
        <w:tc>
          <w:tcPr>
            <w:tcW w:w="2263" w:type="dxa"/>
          </w:tcPr>
          <w:p w14:paraId="1033DF60" w14:textId="77777777" w:rsidR="00C95E58" w:rsidRPr="00C95E58" w:rsidRDefault="00C95E58" w:rsidP="00C95E58">
            <w:r w:rsidRPr="00C95E58">
              <w:t>Group</w:t>
            </w:r>
          </w:p>
        </w:tc>
        <w:tc>
          <w:tcPr>
            <w:tcW w:w="1701" w:type="dxa"/>
          </w:tcPr>
          <w:p w14:paraId="310D1D2C" w14:textId="77777777" w:rsidR="00C95E58" w:rsidRPr="00C95E58" w:rsidRDefault="00C95E58" w:rsidP="00C95E58">
            <w:r w:rsidRPr="00C95E58">
              <w:t>0.91</w:t>
            </w:r>
          </w:p>
        </w:tc>
        <w:tc>
          <w:tcPr>
            <w:tcW w:w="1521" w:type="dxa"/>
          </w:tcPr>
          <w:p w14:paraId="5F24FCC5" w14:textId="77777777" w:rsidR="00C95E58" w:rsidRPr="00C95E58" w:rsidRDefault="00C95E58" w:rsidP="00C95E58">
            <w:r w:rsidRPr="00C95E58">
              <w:t>2, 42</w:t>
            </w:r>
          </w:p>
        </w:tc>
        <w:tc>
          <w:tcPr>
            <w:tcW w:w="1530" w:type="dxa"/>
          </w:tcPr>
          <w:p w14:paraId="2901FEF7" w14:textId="77777777" w:rsidR="00C95E58" w:rsidRPr="00C95E58" w:rsidRDefault="00C95E58" w:rsidP="00C95E58">
            <w:r w:rsidRPr="00C95E58">
              <w:t>0.411</w:t>
            </w:r>
          </w:p>
        </w:tc>
        <w:tc>
          <w:tcPr>
            <w:tcW w:w="1615" w:type="dxa"/>
          </w:tcPr>
          <w:p w14:paraId="4C9F04B3" w14:textId="77777777" w:rsidR="00C95E58" w:rsidRPr="00C95E58" w:rsidRDefault="00C95E58" w:rsidP="00C95E58">
            <w:r w:rsidRPr="00C95E58">
              <w:t>0.03</w:t>
            </w:r>
          </w:p>
        </w:tc>
      </w:tr>
      <w:tr w:rsidR="00C95E58" w:rsidRPr="00C95E58" w14:paraId="1CC399CF" w14:textId="77777777" w:rsidTr="00FF1EF4">
        <w:tc>
          <w:tcPr>
            <w:tcW w:w="2263" w:type="dxa"/>
          </w:tcPr>
          <w:p w14:paraId="66A5D98D" w14:textId="0CA84E50" w:rsidR="00C95E58" w:rsidRPr="00C95E58" w:rsidRDefault="00FF1EF4" w:rsidP="00C95E58">
            <w:r>
              <w:t>Body Region</w:t>
            </w:r>
          </w:p>
        </w:tc>
        <w:tc>
          <w:tcPr>
            <w:tcW w:w="1701" w:type="dxa"/>
          </w:tcPr>
          <w:p w14:paraId="0397E9EA" w14:textId="77777777" w:rsidR="00C95E58" w:rsidRPr="00C95E58" w:rsidRDefault="00C95E58" w:rsidP="00C95E58">
            <w:r w:rsidRPr="00C95E58">
              <w:t>0.79</w:t>
            </w:r>
          </w:p>
        </w:tc>
        <w:tc>
          <w:tcPr>
            <w:tcW w:w="1521" w:type="dxa"/>
          </w:tcPr>
          <w:p w14:paraId="75F57ADD" w14:textId="77777777" w:rsidR="00C95E58" w:rsidRPr="00C95E58" w:rsidRDefault="00C95E58" w:rsidP="00C95E58">
            <w:r w:rsidRPr="00C95E58">
              <w:t>1, 42</w:t>
            </w:r>
          </w:p>
        </w:tc>
        <w:tc>
          <w:tcPr>
            <w:tcW w:w="1530" w:type="dxa"/>
          </w:tcPr>
          <w:p w14:paraId="65776DB7" w14:textId="77777777" w:rsidR="00C95E58" w:rsidRPr="00C95E58" w:rsidRDefault="00C95E58" w:rsidP="00C95E58">
            <w:r w:rsidRPr="00C95E58">
              <w:t>0.280</w:t>
            </w:r>
          </w:p>
        </w:tc>
        <w:tc>
          <w:tcPr>
            <w:tcW w:w="1615" w:type="dxa"/>
          </w:tcPr>
          <w:p w14:paraId="31B8E205" w14:textId="77777777" w:rsidR="00C95E58" w:rsidRPr="00C95E58" w:rsidRDefault="00C95E58" w:rsidP="00C95E58">
            <w:r w:rsidRPr="00C95E58">
              <w:t>0.01</w:t>
            </w:r>
          </w:p>
        </w:tc>
      </w:tr>
      <w:tr w:rsidR="00C95E58" w:rsidRPr="00C95E58" w14:paraId="54391E70" w14:textId="77777777" w:rsidTr="00FF1EF4">
        <w:tc>
          <w:tcPr>
            <w:tcW w:w="2263" w:type="dxa"/>
          </w:tcPr>
          <w:p w14:paraId="16F05253" w14:textId="7F6ADF85" w:rsidR="00C95E58" w:rsidRPr="00C95E58" w:rsidRDefault="00C95E58" w:rsidP="00C95E58">
            <w:r w:rsidRPr="00C95E58">
              <w:t xml:space="preserve">Group x </w:t>
            </w:r>
            <w:r w:rsidR="00FF1EF4">
              <w:t>Body Region</w:t>
            </w:r>
          </w:p>
        </w:tc>
        <w:tc>
          <w:tcPr>
            <w:tcW w:w="1701" w:type="dxa"/>
          </w:tcPr>
          <w:p w14:paraId="1C92EF81" w14:textId="77777777" w:rsidR="00C95E58" w:rsidRPr="00C95E58" w:rsidRDefault="00C95E58" w:rsidP="00C95E58">
            <w:r w:rsidRPr="00C95E58">
              <w:t>0.14</w:t>
            </w:r>
          </w:p>
        </w:tc>
        <w:tc>
          <w:tcPr>
            <w:tcW w:w="1521" w:type="dxa"/>
          </w:tcPr>
          <w:p w14:paraId="4BFAE7ED" w14:textId="77777777" w:rsidR="00C95E58" w:rsidRPr="00C95E58" w:rsidRDefault="00C95E58" w:rsidP="00C95E58">
            <w:r w:rsidRPr="00C95E58">
              <w:t>2, 42</w:t>
            </w:r>
          </w:p>
        </w:tc>
        <w:tc>
          <w:tcPr>
            <w:tcW w:w="1530" w:type="dxa"/>
          </w:tcPr>
          <w:p w14:paraId="73A0548C" w14:textId="77777777" w:rsidR="00C95E58" w:rsidRPr="00C95E58" w:rsidRDefault="00C95E58" w:rsidP="00C95E58">
            <w:r w:rsidRPr="00C95E58">
              <w:t>0.867</w:t>
            </w:r>
          </w:p>
        </w:tc>
        <w:tc>
          <w:tcPr>
            <w:tcW w:w="1615" w:type="dxa"/>
          </w:tcPr>
          <w:p w14:paraId="68D87CD0" w14:textId="77777777" w:rsidR="00C95E58" w:rsidRPr="00C95E58" w:rsidRDefault="00C95E58" w:rsidP="00C95E58">
            <w:r w:rsidRPr="00C95E58">
              <w:t>&lt; 0.01</w:t>
            </w:r>
          </w:p>
        </w:tc>
      </w:tr>
    </w:tbl>
    <w:p w14:paraId="777FDA26" w14:textId="77777777" w:rsidR="006930B5" w:rsidRPr="006930B5" w:rsidRDefault="006930B5" w:rsidP="006930B5">
      <w:r>
        <w:rPr>
          <w:b/>
          <w:bCs/>
        </w:rPr>
        <w:t xml:space="preserve">Notes: </w:t>
      </w:r>
      <w:r w:rsidRPr="006930B5">
        <w:rPr>
          <w:i/>
          <w:iCs/>
        </w:rPr>
        <w:t>P</w:t>
      </w:r>
      <w:r w:rsidRPr="00E06432">
        <w:t>-values depicted in bold indicate statistically significant</w:t>
      </w:r>
      <w:r w:rsidRPr="00E06432">
        <w:rPr>
          <w:b/>
          <w:bCs/>
        </w:rPr>
        <w:t xml:space="preserve"> </w:t>
      </w:r>
      <w:r>
        <w:t>effects. Row headings in bold indicate the type of analysis.</w:t>
      </w:r>
    </w:p>
    <w:p w14:paraId="1748E7B4" w14:textId="35D871B9" w:rsidR="00D729A7" w:rsidRPr="006930B5" w:rsidRDefault="006930B5" w:rsidP="00814D3E">
      <w:pPr>
        <w:rPr>
          <w:i/>
          <w:iCs/>
        </w:rPr>
      </w:pPr>
      <w:r w:rsidRPr="00ED2A3C">
        <w:rPr>
          <w:b/>
          <w:bCs/>
        </w:rPr>
        <w:t>Abbreviations:</w:t>
      </w:r>
      <w:r w:rsidRPr="00ED2A3C">
        <w:rPr>
          <w:i/>
          <w:iCs/>
        </w:rPr>
        <w:t xml:space="preserve"> </w:t>
      </w:r>
      <w:r w:rsidRPr="009C2558">
        <w:rPr>
          <w:i/>
          <w:iCs/>
        </w:rPr>
        <w:t>eta</w:t>
      </w:r>
      <w:r w:rsidRPr="009C2558">
        <w:rPr>
          <w:i/>
          <w:iCs/>
          <w:vertAlign w:val="superscript"/>
        </w:rPr>
        <w:t>2</w:t>
      </w:r>
      <w:r>
        <w:rPr>
          <w:i/>
          <w:iCs/>
          <w:vertAlign w:val="superscript"/>
        </w:rPr>
        <w:t xml:space="preserve">, </w:t>
      </w:r>
      <w:r w:rsidRPr="006930B5">
        <w:t xml:space="preserve">effect size; </w:t>
      </w:r>
      <w:proofErr w:type="spellStart"/>
      <w:r>
        <w:t>df</w:t>
      </w:r>
      <w:proofErr w:type="spellEnd"/>
      <w:r>
        <w:t xml:space="preserve">, degrees of freedom; </w:t>
      </w:r>
      <w:r w:rsidRPr="006930B5">
        <w:rPr>
          <w:i/>
          <w:iCs/>
        </w:rPr>
        <w:t>F</w:t>
      </w:r>
      <w:r>
        <w:t>, F test statistic;</w:t>
      </w:r>
      <w:r w:rsidR="00FC5BA7">
        <w:t xml:space="preserve"> JND, Just Noticeable Difference;</w:t>
      </w:r>
      <w:r>
        <w:t xml:space="preserve"> </w:t>
      </w:r>
      <w:r w:rsidRPr="006930B5">
        <w:rPr>
          <w:i/>
          <w:iCs/>
        </w:rPr>
        <w:t>p</w:t>
      </w:r>
      <w:r>
        <w:t>. p value</w:t>
      </w:r>
      <w:r w:rsidR="00FC5BA7">
        <w:t>.</w:t>
      </w:r>
    </w:p>
    <w:p w14:paraId="4743C7E8" w14:textId="3FCCD2D9" w:rsidR="00814D3E" w:rsidRPr="00ED2A3C" w:rsidRDefault="00814D3E" w:rsidP="00814D3E"/>
    <w:p w14:paraId="0E58F0B1" w14:textId="542DBBCC" w:rsidR="00814D3E" w:rsidRPr="00ED2A3C" w:rsidRDefault="00B17EEE" w:rsidP="00814D3E">
      <w:r w:rsidRPr="00B17EEE">
        <w:rPr>
          <w:noProof/>
        </w:rPr>
        <w:lastRenderedPageBreak/>
        <w:drawing>
          <wp:anchor distT="0" distB="0" distL="114300" distR="114300" simplePos="0" relativeHeight="251663360" behindDoc="0" locked="0" layoutInCell="1" allowOverlap="1" wp14:anchorId="4970044B" wp14:editId="74CB2B83">
            <wp:simplePos x="0" y="0"/>
            <wp:positionH relativeFrom="column">
              <wp:posOffset>0</wp:posOffset>
            </wp:positionH>
            <wp:positionV relativeFrom="paragraph">
              <wp:posOffset>0</wp:posOffset>
            </wp:positionV>
            <wp:extent cx="5486400" cy="3425825"/>
            <wp:effectExtent l="0" t="0" r="0" b="3175"/>
            <wp:wrapTopAndBottom/>
            <wp:docPr id="1383977053" name="Picture 1" descr="A graph of different colored lin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3977053" name="Picture 1" descr="A graph of different colored lines&#10;&#10;Description automatically generated with medium confidence"/>
                    <pic:cNvPicPr/>
                  </pic:nvPicPr>
                  <pic:blipFill>
                    <a:blip r:embed="rId9"/>
                    <a:stretch>
                      <a:fillRect/>
                    </a:stretch>
                  </pic:blipFill>
                  <pic:spPr>
                    <a:xfrm>
                      <a:off x="0" y="0"/>
                      <a:ext cx="5486400" cy="3425825"/>
                    </a:xfrm>
                    <a:prstGeom prst="rect">
                      <a:avLst/>
                    </a:prstGeom>
                  </pic:spPr>
                </pic:pic>
              </a:graphicData>
            </a:graphic>
          </wp:anchor>
        </w:drawing>
      </w:r>
      <w:r w:rsidR="00DE0F72">
        <w:rPr>
          <w:b/>
          <w:bCs/>
        </w:rPr>
        <w:t xml:space="preserve">Supplementary </w:t>
      </w:r>
      <w:r w:rsidR="00814D3E" w:rsidRPr="00ED2A3C">
        <w:rPr>
          <w:b/>
          <w:bCs/>
        </w:rPr>
        <w:t xml:space="preserve">Figure </w:t>
      </w:r>
      <w:r w:rsidR="00DE0F72">
        <w:rPr>
          <w:b/>
          <w:bCs/>
        </w:rPr>
        <w:t>S</w:t>
      </w:r>
      <w:r w:rsidR="00814D3E" w:rsidRPr="00ED2A3C">
        <w:rPr>
          <w:b/>
          <w:bCs/>
        </w:rPr>
        <w:t>3</w:t>
      </w:r>
      <w:r w:rsidR="00814D3E" w:rsidRPr="00ED2A3C">
        <w:t xml:space="preserve"> Just </w:t>
      </w:r>
      <w:r w:rsidR="006C6284">
        <w:t>N</w:t>
      </w:r>
      <w:r w:rsidR="00814D3E" w:rsidRPr="00ED2A3C">
        <w:t xml:space="preserve">oticeable </w:t>
      </w:r>
      <w:r w:rsidR="006C6284">
        <w:t>D</w:t>
      </w:r>
      <w:r w:rsidR="00814D3E" w:rsidRPr="00ED2A3C">
        <w:t xml:space="preserve">ifference (JND). (A) Interaction between Group (CON, control; LL-CRPS, lower limb </w:t>
      </w:r>
      <w:r w:rsidR="00690470">
        <w:t>Complex Regional Pain Syndrome</w:t>
      </w:r>
      <w:r w:rsidR="00814D3E" w:rsidRPr="00ED2A3C">
        <w:t xml:space="preserve">; UL-CRPS, upper limb CRPS) and </w:t>
      </w:r>
      <w:r w:rsidR="00FF1EF4">
        <w:t>Body Region</w:t>
      </w:r>
      <w:r w:rsidR="00814D3E" w:rsidRPr="00ED2A3C">
        <w:t xml:space="preserve">. (B) Main effect of </w:t>
      </w:r>
      <w:r w:rsidR="00FF1EF4">
        <w:t>Body Region</w:t>
      </w:r>
      <w:r w:rsidR="00814D3E" w:rsidRPr="00ED2A3C">
        <w:t xml:space="preserve">. Smaller </w:t>
      </w:r>
      <w:r w:rsidR="0087664F">
        <w:t>dots</w:t>
      </w:r>
      <w:r w:rsidR="0087664F" w:rsidRPr="00ED2A3C">
        <w:t xml:space="preserve"> </w:t>
      </w:r>
      <w:r w:rsidR="00814D3E" w:rsidRPr="00ED2A3C">
        <w:t xml:space="preserve">indicate individual observations. Larger </w:t>
      </w:r>
      <w:r w:rsidR="0087664F">
        <w:t>dots</w:t>
      </w:r>
      <w:r w:rsidR="0087664F" w:rsidRPr="00ED2A3C">
        <w:t xml:space="preserve"> </w:t>
      </w:r>
      <w:r w:rsidR="00814D3E" w:rsidRPr="00ED2A3C">
        <w:t xml:space="preserve">with error bars represent means with bootstrap corrected and accelerated 95% confidence intervals. Three outliers were removed from this </w:t>
      </w:r>
      <w:r w:rsidR="00814D3E">
        <w:t>figure and the analysis</w:t>
      </w:r>
      <w:r w:rsidR="00814D3E" w:rsidRPr="00ED2A3C">
        <w:t>.</w:t>
      </w:r>
    </w:p>
    <w:p w14:paraId="627644AF" w14:textId="05166EE0" w:rsidR="00814D3E" w:rsidRDefault="00814D3E" w:rsidP="00911C10"/>
    <w:p w14:paraId="71E75201" w14:textId="31267A72" w:rsidR="00911C10" w:rsidRPr="00911C10" w:rsidRDefault="002870E8" w:rsidP="002870E8">
      <w:pPr>
        <w:ind w:firstLine="720"/>
      </w:pPr>
      <w:r w:rsidRPr="002870E8">
        <w:t>When outliers were retained in the analysis, there were no significant main effects or interaction (</w:t>
      </w:r>
      <w:r w:rsidR="00911C10" w:rsidRPr="00911C10">
        <w:t>Supplementary Figure S</w:t>
      </w:r>
      <w:r w:rsidR="00DE0F72">
        <w:t>4</w:t>
      </w:r>
      <w:r w:rsidR="00911C10" w:rsidRPr="00911C10">
        <w:t xml:space="preserve">). </w:t>
      </w:r>
    </w:p>
    <w:p w14:paraId="5241EBD8" w14:textId="769EA8A8" w:rsidR="00911C10" w:rsidRPr="00911C10" w:rsidRDefault="00911C10" w:rsidP="00911C10"/>
    <w:p w14:paraId="4601A47F" w14:textId="6EB949F8" w:rsidR="00911C10" w:rsidRPr="00911C10" w:rsidRDefault="00C63675" w:rsidP="00911C10">
      <w:r w:rsidRPr="00C63675">
        <w:rPr>
          <w:noProof/>
        </w:rPr>
        <w:lastRenderedPageBreak/>
        <w:drawing>
          <wp:anchor distT="0" distB="0" distL="114300" distR="114300" simplePos="0" relativeHeight="251661312" behindDoc="0" locked="0" layoutInCell="1" allowOverlap="1" wp14:anchorId="6710F460" wp14:editId="6FF9A5B4">
            <wp:simplePos x="0" y="0"/>
            <wp:positionH relativeFrom="column">
              <wp:posOffset>0</wp:posOffset>
            </wp:positionH>
            <wp:positionV relativeFrom="paragraph">
              <wp:posOffset>0</wp:posOffset>
            </wp:positionV>
            <wp:extent cx="3809365" cy="3333115"/>
            <wp:effectExtent l="0" t="0" r="635" b="635"/>
            <wp:wrapTopAndBottom/>
            <wp:docPr id="1926741354" name="Picture 1" descr="A graph of different colored lin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741354" name="Picture 1" descr="A graph of different colored lines&#10;&#10;Description automatically generated"/>
                    <pic:cNvPicPr/>
                  </pic:nvPicPr>
                  <pic:blipFill>
                    <a:blip r:embed="rId10"/>
                    <a:stretch>
                      <a:fillRect/>
                    </a:stretch>
                  </pic:blipFill>
                  <pic:spPr>
                    <a:xfrm>
                      <a:off x="0" y="0"/>
                      <a:ext cx="3809365" cy="3333115"/>
                    </a:xfrm>
                    <a:prstGeom prst="rect">
                      <a:avLst/>
                    </a:prstGeom>
                  </pic:spPr>
                </pic:pic>
              </a:graphicData>
            </a:graphic>
          </wp:anchor>
        </w:drawing>
      </w:r>
      <w:r w:rsidR="00911C10" w:rsidRPr="00911C10">
        <w:rPr>
          <w:b/>
          <w:bCs/>
        </w:rPr>
        <w:t>Supplementary Figure S</w:t>
      </w:r>
      <w:r w:rsidR="00DE0F72">
        <w:rPr>
          <w:b/>
          <w:bCs/>
        </w:rPr>
        <w:t>4</w:t>
      </w:r>
      <w:r w:rsidR="00911C10" w:rsidRPr="00911C10">
        <w:rPr>
          <w:b/>
          <w:bCs/>
        </w:rPr>
        <w:t>.</w:t>
      </w:r>
      <w:r w:rsidR="00911C10" w:rsidRPr="00911C10">
        <w:t xml:space="preserve"> Interaction between Group (CON, control; LL-CRPS, lower limb </w:t>
      </w:r>
      <w:r w:rsidR="00C72EAC">
        <w:t>Complex Regional Pain Syndrome</w:t>
      </w:r>
      <w:r w:rsidR="00911C10" w:rsidRPr="00911C10">
        <w:t xml:space="preserve">; UL-CRPS, upper limb CRPS) and </w:t>
      </w:r>
      <w:r w:rsidR="00FF1EF4">
        <w:t>Body Region</w:t>
      </w:r>
      <w:r w:rsidR="00911C10" w:rsidRPr="00911C10">
        <w:t xml:space="preserve"> on </w:t>
      </w:r>
      <w:r w:rsidR="006C6284">
        <w:t>J</w:t>
      </w:r>
      <w:r w:rsidR="00911C10" w:rsidRPr="00911C10">
        <w:t xml:space="preserve">ust </w:t>
      </w:r>
      <w:r w:rsidR="006C6284">
        <w:t>N</w:t>
      </w:r>
      <w:r w:rsidR="00911C10" w:rsidRPr="00911C10">
        <w:t xml:space="preserve">oticeable </w:t>
      </w:r>
      <w:r w:rsidR="006C6284">
        <w:t>D</w:t>
      </w:r>
      <w:r w:rsidR="00911C10" w:rsidRPr="00911C10">
        <w:t xml:space="preserve">ifference (JND; not statistically significant). </w:t>
      </w:r>
      <w:r w:rsidR="0087664F">
        <w:t>Dots</w:t>
      </w:r>
      <w:r w:rsidR="0087664F" w:rsidRPr="00911C10">
        <w:t xml:space="preserve"> </w:t>
      </w:r>
      <w:r w:rsidR="00911C10" w:rsidRPr="00911C10">
        <w:t>with error bars represent means with bootstrap corrected and accelerated 95% confidence intervals.</w:t>
      </w:r>
      <w:r w:rsidR="0087664F">
        <w:t xml:space="preserve"> Three outliers were retained in this figure and analysis.</w:t>
      </w:r>
    </w:p>
    <w:p w14:paraId="7F5A7944" w14:textId="77777777" w:rsidR="00911C10" w:rsidRDefault="00911C10" w:rsidP="00B25233"/>
    <w:p w14:paraId="3B1BF416" w14:textId="2468CB6C" w:rsidR="00204079" w:rsidRDefault="00204079" w:rsidP="00204079">
      <w:pPr>
        <w:ind w:firstLine="720"/>
      </w:pPr>
      <w:r>
        <w:t>We found no group differences</w:t>
      </w:r>
      <w:r w:rsidR="00631E46">
        <w:t xml:space="preserve"> in</w:t>
      </w:r>
      <w:r>
        <w:t xml:space="preserve"> </w:t>
      </w:r>
      <w:r w:rsidR="00631E46">
        <w:t>temporal acuity on TOJ tasks</w:t>
      </w:r>
      <w:r>
        <w:t>, suggesting that both participants with CRPS and pain-free controls could judge the temporal order of the visual stimuli with comparable precision. This finding is consistent with another recent TOJ study in CRPS,</w:t>
      </w:r>
      <w:r>
        <w:fldChar w:fldCharType="begin"/>
      </w:r>
      <w:r w:rsidR="00DA29CB">
        <w:instrText xml:space="preserve"> ADDIN ZOTERO_ITEM CSL_CITATION {"citationID":"G4AO1ZBF","properties":{"formattedCitation":"\\super 4\\nosupersub{}","plainCitation":"4","noteIndex":0},"citationItems":[{"id":4682,"uris":["http://zotero.org/users/2402792/items/6DFWU5K8"],"itemData":{"id":4682,"type":"article-journal","container-title":"European Journal of Pain","note":"publisher: Wiley Online Library","source":"Google Scholar","title":"Characterizing biased visuospatial perception in complex regional pain syndrome","author":[{"family":"Filbrich","given":"Lieve"},{"family":"Kuzminova","given":"Avgustina"},{"family":"Molitor","given":"Victoria"},{"family":"Verfaille","given":"Charlotte"},{"family":"Mouraux","given":"Dominique"},{"family":"Berquin","given":"Anne"},{"family":"Barbier","given":"Olivier"},{"family":"Libouton","given":"Xavier"},{"family":"Legrain","given":"Valéry"}],"issued":{"date-parts":[["2023"]]}}}],"schema":"https://github.com/citation-style-language/schema/raw/master/csl-citation.json"} </w:instrText>
      </w:r>
      <w:r>
        <w:fldChar w:fldCharType="separate"/>
      </w:r>
      <w:r w:rsidR="00DA29CB" w:rsidRPr="00DA29CB">
        <w:rPr>
          <w:rFonts w:cs="Arial"/>
          <w:vertAlign w:val="superscript"/>
        </w:rPr>
        <w:t>4</w:t>
      </w:r>
      <w:r>
        <w:fldChar w:fldCharType="end"/>
      </w:r>
      <w:r>
        <w:t xml:space="preserve"> however, it contrasts the results in which individuals with CRPS presented with reduced temporal acuity relative to controls.</w:t>
      </w:r>
      <w:r>
        <w:fldChar w:fldCharType="begin"/>
      </w:r>
      <w:r w:rsidR="00DA29CB">
        <w:instrText xml:space="preserve"> ADDIN ZOTERO_ITEM CSL_CITATION {"citationID":"KdhY3xLF","properties":{"formattedCitation":"\\super 3\\nosupersub{}","plainCitation":"3","noteIndex":0},"citationItems":[{"id":1994,"uris":["http://zotero.org/users/2402792/items/8SZT2PRF"],"itemData":{"id":1994,"type":"article-journal","container-title":"Brain","DOI":"10.1093/brain/awx152","ISSN":"0006-8950, 1460-2156","issue":"9","language":"en","page":"2306-2321","source":"CrossRef","title":"Space-based bias of covert visual attention in complex regional pain syndrome","volume":"140","author":[{"family":"Bultitude","given":"Janet H"},{"family":"Walker","given":"Ian"},{"family":"Spence","given":"Charles"}],"issued":{"date-parts":[["2017",9,1]]}}}],"schema":"https://github.com/citation-style-language/schema/raw/master/csl-citation.json"} </w:instrText>
      </w:r>
      <w:r>
        <w:fldChar w:fldCharType="separate"/>
      </w:r>
      <w:r w:rsidR="00DA29CB" w:rsidRPr="00DA29CB">
        <w:rPr>
          <w:rFonts w:cs="Arial"/>
          <w:vertAlign w:val="superscript"/>
        </w:rPr>
        <w:t>3</w:t>
      </w:r>
      <w:r>
        <w:fldChar w:fldCharType="end"/>
      </w:r>
      <w:r>
        <w:t xml:space="preserve"> The latter study used a more narrow range of time intervals between the visual stimuli, which could have been insufficient for the CRPS group to be able to reliably judge their temporal order. Regardless of group, our participants were more precise in judging the temporal order of the visual stimuli presented on their feet than those presented on their hands. During visual TOJs, the precision has been shown to increase with decreasing distance between the visual stimuli.</w:t>
      </w:r>
      <w:r>
        <w:fldChar w:fldCharType="begin"/>
      </w:r>
      <w:r w:rsidR="00DA29CB">
        <w:instrText xml:space="preserve"> ADDIN ZOTERO_ITEM CSL_CITATION {"citationID":"yQvqZbjO","properties":{"formattedCitation":"\\super 5\\uc0\\u8211{}7\\nosupersub{}","plainCitation":"5–7","noteIndex":0},"citationItems":[{"id":4673,"uris":["http://zotero.org/users/2402792/items/C3YTNAS4"],"itemData":{"id":4673,"type":"article-journal","abstract":"It has long been known that a dark visual stimulus is seen later than a bright one, with a delay up to several 10s of milliseconds. Systematic studies of various phenomena demonstrating this delay have revealed that the perceptual latency decreases monotonically as the stimulus intensity increases. Because latencies measured by psychological methods and cortical evoked responses are very similar to electroretinogram latencies, it has become a common belief that there is little in the intensity-dependent latency function that cannot be explained by retinal processes. In this study, we report evidence that there is no one absolute visual delay common to the whole visual system, but rather that the delay varies considerably in different perceptual subsystems. The relative visual latency was found to be considerably shorter in the task involving detecting the direction of movement than in other perceptual tasks that presume visual awareness of the beginning or temporal order of visual events.","container-title":"Psychological Science","DOI":"10.1111/1467-9280.00025","ISSN":"0956-7976","issue":"2","journalAbbreviation":"Psychol Sci","language":"en","note":"publisher: SAGE Publications Inc","page":"135-138","source":"SAGE Journals","title":"Multiple Visual Latency","volume":"9","author":[{"family":"Allik","given":"Jüri"},{"family":"Kreegipuu","given":"Kairi"}],"issued":{"date-parts":[["1998",3,1]]}}},{"id":4676,"uris":["http://zotero.org/users/2402792/items/HMNDUX97"],"itemData":{"id":4676,"type":"article-journal","abstract":"For single short exposures, the temporal order of appearance of two adjacent stimuli in the human fovea can be correctly identified when one is delayed by as little as 3 msec. The threshold delay is almost unaffected by the length of the stimuli or their relative orientation, but depends critically on their separation, being minimal in the range 2–6′. Illusion of movement is strong but not a necessary condition for detection of temporal order. In the conditions showing lowest thresholds, sensitivity is less with dichoptic viewing. Uniocular stimuli in opposite directions can be combined to yield a stereoscopic appearance. If the neural processing for such fine temporo-spatial comparisons does not occur in the retina, our results imply that retino-cortical transmission of the involved signals is exceedingly crisp and that cortical processing is more delicate if stimuli arise wholly in one eye.","container-title":"Vision Research","DOI":"10.1016/0042-6989(77)90062-1","ISSN":"0042-6989","issue":"8","journalAbbreviation":"Vision Research","language":"en","page":"887-892","source":"ScienceDirect","title":"Perception of temporal order in adjacent visual stimuli","volume":"17","author":[{"family":"Westheimer","given":"Gerald"},{"family":"McKee","given":"Suzanne P."}],"issued":{"date-parts":[["1977",1,1]]}}},{"id":4674,"uris":["http://zotero.org/users/2402792/items/97Y2KPFF"],"itemData":{"id":4674,"type":"article-journal","abstract":"In the present investigation, the effects of spatial separation on the interstimulus onset intervals (ISOIs) that produce auditory and visual apparent motion were compared. In Experiment 1, subjects were tested on auditory apparent motion. They listened to 50-msec broadband noise pulses that were presented through two speakers separated by one of six different values between 0° and 160°. On each trial, the sounds were temporally separated by 1 of 12 ISOIs from 0 to 500 msec. The subjects were instructed to categorize their perception of the sounds as “single,” “simultaneous,” “continuous motion,” “broken motion,” or “succession.” They also indicated the proper temporal sequence of each sound pair. In Experiments 2 and 3, subjects were tested on visual apparent motion. Experiment 2 included a range of spatial separations from 6° to 80°; Experiment 3 included separations from 5° to 10°. The same ISOIs were used as in Experiment 1. When the separations were equal, the ISOIs at which auditory apparent motion was perceived were smaller than the values that produced the same experience in vision. Spatial separation affected only visual apparent motion. For separations less than 2°, the ISOIs that produced visual continuous motion were nearly equal to those which produced auditory continuous motion. For larger separations, the ISOIs that produced visual apparent motion increased.","container-title":"Perception &amp; Psychophysics","DOI":"10.3758/BF03208177","ISSN":"1532-5962","issue":"5","journalAbbreviation":"Perception &amp; Psychophysics","language":"en","page":"439-448","source":"Springer Link","title":"A comparison of the effects of spatial separation on apparent motion in the auditory and visual modalities","volume":"47","author":[{"family":"Strybel","given":"Thomas Z."},{"family":"Manligas","given":"Carol L."},{"family":"Chan","given":"Ozzie"},{"family":"Perrott","given":"David R."}],"issued":{"date-parts":[["1990",9,1]]}}}],"schema":"https://github.com/citation-style-language/schema/raw/master/csl-citation.json"} </w:instrText>
      </w:r>
      <w:r>
        <w:fldChar w:fldCharType="separate"/>
      </w:r>
      <w:r w:rsidR="00DA29CB" w:rsidRPr="00DA29CB">
        <w:rPr>
          <w:rFonts w:cs="Arial"/>
          <w:vertAlign w:val="superscript"/>
        </w:rPr>
        <w:t>5–7</w:t>
      </w:r>
      <w:r>
        <w:fldChar w:fldCharType="end"/>
      </w:r>
      <w:r>
        <w:t xml:space="preserve"> Therefore, one possible explanation is that this advantage in the feet condition could be due to a greater viewing distance while retaining the same physical distance of </w:t>
      </w:r>
      <w:r>
        <w:lastRenderedPageBreak/>
        <w:t xml:space="preserve">the visual stimuli relative to fixation, </w:t>
      </w:r>
      <w:proofErr w:type="spellStart"/>
      <w:r>
        <w:t>ie</w:t>
      </w:r>
      <w:proofErr w:type="spellEnd"/>
      <w:r>
        <w:t xml:space="preserve"> the visual stimuli on the feet would have appeared less in the periphery than the visual stimuli on the hands. </w:t>
      </w:r>
    </w:p>
    <w:p w14:paraId="2C28597A" w14:textId="77777777" w:rsidR="00B22DBE" w:rsidRDefault="00B22DBE" w:rsidP="00B25233"/>
    <w:p w14:paraId="6E3C0F4F" w14:textId="77777777" w:rsidR="00B22DBE" w:rsidRDefault="00B22DBE" w:rsidP="00B25233"/>
    <w:p w14:paraId="1559812F" w14:textId="18997467" w:rsidR="001C665E" w:rsidRDefault="002E1965" w:rsidP="001C665E">
      <w:pPr>
        <w:pStyle w:val="Heading2"/>
      </w:pPr>
      <w:r>
        <w:t>A</w:t>
      </w:r>
      <w:r w:rsidR="001C665E">
        <w:t xml:space="preserve">nalyses </w:t>
      </w:r>
      <w:r w:rsidR="008A037A">
        <w:t>o</w:t>
      </w:r>
      <w:r w:rsidR="00D7401F">
        <w:t>f</w:t>
      </w:r>
      <w:r w:rsidR="008A037A">
        <w:t xml:space="preserve"> visuospatial attention (PSS) </w:t>
      </w:r>
      <w:r w:rsidR="001C665E">
        <w:t xml:space="preserve">with the outliers retained in the </w:t>
      </w:r>
      <w:proofErr w:type="gramStart"/>
      <w:r w:rsidR="001C665E">
        <w:t>data</w:t>
      </w:r>
      <w:proofErr w:type="gramEnd"/>
    </w:p>
    <w:p w14:paraId="178F0AED" w14:textId="0DB2729D" w:rsidR="00064E9C" w:rsidRDefault="0087664F" w:rsidP="00852615">
      <w:pPr>
        <w:ind w:firstLine="720"/>
      </w:pPr>
      <w:r>
        <w:rPr>
          <w:lang w:val="en-GB"/>
        </w:rPr>
        <w:t xml:space="preserve">Data of the PSS per group in which the outliers were </w:t>
      </w:r>
      <w:proofErr w:type="gramStart"/>
      <w:r>
        <w:rPr>
          <w:lang w:val="en-GB"/>
        </w:rPr>
        <w:t>retained</w:t>
      </w:r>
      <w:proofErr w:type="gramEnd"/>
      <w:r>
        <w:rPr>
          <w:lang w:val="en-GB"/>
        </w:rPr>
        <w:t xml:space="preserve"> in the data are visualized in Supplementary Figure S5, and r</w:t>
      </w:r>
      <w:r w:rsidR="00850178">
        <w:rPr>
          <w:lang w:val="en-GB"/>
        </w:rPr>
        <w:t>esults of the ANOVAs</w:t>
      </w:r>
      <w:r>
        <w:rPr>
          <w:lang w:val="en-GB"/>
        </w:rPr>
        <w:t xml:space="preserve"> </w:t>
      </w:r>
      <w:r w:rsidR="00850178">
        <w:rPr>
          <w:lang w:val="en-GB"/>
        </w:rPr>
        <w:t xml:space="preserve">are reported in Supplementary Table </w:t>
      </w:r>
      <w:r w:rsidR="00213B90">
        <w:rPr>
          <w:lang w:val="en-GB"/>
        </w:rPr>
        <w:t>S</w:t>
      </w:r>
      <w:r w:rsidR="008B72DB">
        <w:rPr>
          <w:lang w:val="en-GB"/>
        </w:rPr>
        <w:t>2</w:t>
      </w:r>
      <w:r w:rsidR="006647A9">
        <w:rPr>
          <w:lang w:val="en-GB"/>
        </w:rPr>
        <w:t>.</w:t>
      </w:r>
      <w:r w:rsidRPr="0087664F">
        <w:t xml:space="preserve"> </w:t>
      </w:r>
      <w:r>
        <w:t>When retaining the outliers in the data</w:t>
      </w:r>
      <w:r w:rsidR="00B876BF">
        <w:t xml:space="preserve"> for</w:t>
      </w:r>
      <w:r>
        <w:t xml:space="preserve"> the ANOVA on the PSS expressed relative to the affected(/non-dominant) and unaffected(/dominant) side of the body, there was no significant interaction between Group and </w:t>
      </w:r>
      <w:r w:rsidR="00FF1EF4">
        <w:t>Body Region</w:t>
      </w:r>
      <w:r>
        <w:t xml:space="preserve"> (Supplementary Figure S5A), and no main effect of the </w:t>
      </w:r>
      <w:r w:rsidR="00FF1EF4">
        <w:t>Body Region</w:t>
      </w:r>
      <w:r>
        <w:t xml:space="preserve">. We found a significant </w:t>
      </w:r>
      <w:r w:rsidR="007B69C1">
        <w:t xml:space="preserve">large </w:t>
      </w:r>
      <w:r>
        <w:t xml:space="preserve">main effect of Group (Supplementary Figure S5B), where controls had a more positive PSS (stronger bias </w:t>
      </w:r>
      <w:r>
        <w:rPr>
          <w:i/>
          <w:iCs/>
        </w:rPr>
        <w:t>towards</w:t>
      </w:r>
      <w:r>
        <w:t xml:space="preserve"> the affected/non-dominant side) than LL-CRPS (</w:t>
      </w:r>
      <w:r w:rsidRPr="00241164">
        <w:rPr>
          <w:i/>
          <w:iCs/>
        </w:rPr>
        <w:t>t</w:t>
      </w:r>
      <w:r>
        <w:t>[</w:t>
      </w:r>
      <w:r w:rsidRPr="00996430">
        <w:t>58</w:t>
      </w:r>
      <w:r>
        <w:t xml:space="preserve">] = 2.53, </w:t>
      </w:r>
      <w:proofErr w:type="spellStart"/>
      <w:r w:rsidRPr="00241164">
        <w:rPr>
          <w:i/>
          <w:iCs/>
        </w:rPr>
        <w:t>p</w:t>
      </w:r>
      <w:r w:rsidRPr="00241164">
        <w:rPr>
          <w:i/>
          <w:iCs/>
          <w:vertAlign w:val="subscript"/>
        </w:rPr>
        <w:t>adj</w:t>
      </w:r>
      <w:proofErr w:type="spellEnd"/>
      <w:r>
        <w:t xml:space="preserve"> = 0.028, </w:t>
      </w:r>
      <w:r w:rsidRPr="00241164">
        <w:rPr>
          <w:i/>
          <w:iCs/>
        </w:rPr>
        <w:t>d</w:t>
      </w:r>
      <w:r>
        <w:t xml:space="preserve"> = </w:t>
      </w:r>
      <w:r w:rsidRPr="00172790">
        <w:t>0.63</w:t>
      </w:r>
      <w:r>
        <w:t>,</w:t>
      </w:r>
      <w:r w:rsidRPr="00172790">
        <w:t xml:space="preserve"> </w:t>
      </w:r>
      <w:r>
        <w:t xml:space="preserve">95% CI </w:t>
      </w:r>
      <w:r w:rsidRPr="00172790">
        <w:t>[0.13, 1.14]</w:t>
      </w:r>
      <w:r w:rsidR="008E1D77">
        <w:t>, moderate effect</w:t>
      </w:r>
      <w:r>
        <w:t>) and UL-CRPS (</w:t>
      </w:r>
      <w:r w:rsidRPr="00241164">
        <w:rPr>
          <w:i/>
          <w:iCs/>
        </w:rPr>
        <w:t>t</w:t>
      </w:r>
      <w:r>
        <w:t>[</w:t>
      </w:r>
      <w:r w:rsidRPr="00996430">
        <w:t>5</w:t>
      </w:r>
      <w:r>
        <w:t xml:space="preserve">1] = 3.67, </w:t>
      </w:r>
      <w:proofErr w:type="spellStart"/>
      <w:r w:rsidRPr="00241164">
        <w:rPr>
          <w:i/>
          <w:iCs/>
        </w:rPr>
        <w:t>p</w:t>
      </w:r>
      <w:r w:rsidRPr="00241164">
        <w:rPr>
          <w:i/>
          <w:iCs/>
          <w:vertAlign w:val="subscript"/>
        </w:rPr>
        <w:t>adj</w:t>
      </w:r>
      <w:proofErr w:type="spellEnd"/>
      <w:r>
        <w:t xml:space="preserve"> = 0.002, </w:t>
      </w:r>
      <w:r w:rsidRPr="00241164">
        <w:rPr>
          <w:i/>
          <w:iCs/>
        </w:rPr>
        <w:t>d</w:t>
      </w:r>
      <w:r>
        <w:t xml:space="preserve"> = </w:t>
      </w:r>
      <w:r w:rsidRPr="00172790">
        <w:t>0.</w:t>
      </w:r>
      <w:r>
        <w:t>91,</w:t>
      </w:r>
      <w:r w:rsidRPr="00172790">
        <w:t xml:space="preserve"> </w:t>
      </w:r>
      <w:r>
        <w:t xml:space="preserve">95% CI </w:t>
      </w:r>
      <w:r w:rsidRPr="00172790">
        <w:t>[0.</w:t>
      </w:r>
      <w:r>
        <w:t>39</w:t>
      </w:r>
      <w:r w:rsidRPr="00172790">
        <w:t>, 1.</w:t>
      </w:r>
      <w:r>
        <w:t>42</w:t>
      </w:r>
      <w:r w:rsidRPr="00172790">
        <w:t>]</w:t>
      </w:r>
      <w:r w:rsidR="008E1D77">
        <w:t>, large effect</w:t>
      </w:r>
      <w:r>
        <w:t>), but the two CRPS groups did not differ (</w:t>
      </w:r>
      <w:r w:rsidRPr="00241164">
        <w:rPr>
          <w:i/>
          <w:iCs/>
        </w:rPr>
        <w:t>t</w:t>
      </w:r>
      <w:r>
        <w:t>[</w:t>
      </w:r>
      <w:r w:rsidRPr="00996430">
        <w:t>5</w:t>
      </w:r>
      <w:r>
        <w:t xml:space="preserve">0] = 1.09, </w:t>
      </w:r>
      <w:proofErr w:type="spellStart"/>
      <w:r w:rsidRPr="00241164">
        <w:rPr>
          <w:i/>
          <w:iCs/>
        </w:rPr>
        <w:t>p</w:t>
      </w:r>
      <w:r w:rsidRPr="00241164">
        <w:rPr>
          <w:i/>
          <w:iCs/>
          <w:vertAlign w:val="subscript"/>
        </w:rPr>
        <w:t>adj</w:t>
      </w:r>
      <w:proofErr w:type="spellEnd"/>
      <w:r>
        <w:t xml:space="preserve"> = 0.280, </w:t>
      </w:r>
      <w:r w:rsidRPr="00241164">
        <w:rPr>
          <w:i/>
          <w:iCs/>
        </w:rPr>
        <w:t>d</w:t>
      </w:r>
      <w:r>
        <w:t xml:space="preserve"> = </w:t>
      </w:r>
      <w:r w:rsidRPr="00172790">
        <w:t>0.</w:t>
      </w:r>
      <w:r>
        <w:t>29,</w:t>
      </w:r>
      <w:r w:rsidRPr="00172790">
        <w:t xml:space="preserve"> </w:t>
      </w:r>
      <w:r>
        <w:t xml:space="preserve">95% CI </w:t>
      </w:r>
      <w:r w:rsidRPr="00172790">
        <w:t>[</w:t>
      </w:r>
      <w:r>
        <w:t>-</w:t>
      </w:r>
      <w:r w:rsidRPr="00172790">
        <w:t>0.</w:t>
      </w:r>
      <w:r>
        <w:t>24</w:t>
      </w:r>
      <w:r w:rsidRPr="00172790">
        <w:t xml:space="preserve">, </w:t>
      </w:r>
      <w:r>
        <w:t>0</w:t>
      </w:r>
      <w:r w:rsidRPr="00172790">
        <w:t>.</w:t>
      </w:r>
      <w:r>
        <w:t>82</w:t>
      </w:r>
      <w:r w:rsidRPr="00172790">
        <w:t>]</w:t>
      </w:r>
      <w:r>
        <w:t>).</w:t>
      </w:r>
    </w:p>
    <w:p w14:paraId="06DEC939" w14:textId="4FDA381A" w:rsidR="004065A0" w:rsidRDefault="004065A0" w:rsidP="004065A0"/>
    <w:p w14:paraId="0482A4DC" w14:textId="301A48F5" w:rsidR="006A6B94" w:rsidRDefault="002F3C04" w:rsidP="004065A0">
      <w:r w:rsidRPr="002F3C04">
        <w:rPr>
          <w:noProof/>
        </w:rPr>
        <w:lastRenderedPageBreak/>
        <w:drawing>
          <wp:anchor distT="0" distB="0" distL="114300" distR="114300" simplePos="0" relativeHeight="251665408" behindDoc="0" locked="0" layoutInCell="1" allowOverlap="1" wp14:anchorId="7B3C3D4B" wp14:editId="01142EFB">
            <wp:simplePos x="0" y="0"/>
            <wp:positionH relativeFrom="column">
              <wp:posOffset>0</wp:posOffset>
            </wp:positionH>
            <wp:positionV relativeFrom="paragraph">
              <wp:posOffset>0</wp:posOffset>
            </wp:positionV>
            <wp:extent cx="5486400" cy="6349365"/>
            <wp:effectExtent l="0" t="0" r="0" b="0"/>
            <wp:wrapTopAndBottom/>
            <wp:docPr id="607417185" name="Picture 1" descr="A screenshot of a graph&#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7417185" name="Picture 1" descr="A screenshot of a graph&#10;&#10;Description automatically generated"/>
                    <pic:cNvPicPr/>
                  </pic:nvPicPr>
                  <pic:blipFill>
                    <a:blip r:embed="rId11"/>
                    <a:stretch>
                      <a:fillRect/>
                    </a:stretch>
                  </pic:blipFill>
                  <pic:spPr>
                    <a:xfrm>
                      <a:off x="0" y="0"/>
                      <a:ext cx="5486400" cy="6349365"/>
                    </a:xfrm>
                    <a:prstGeom prst="rect">
                      <a:avLst/>
                    </a:prstGeom>
                  </pic:spPr>
                </pic:pic>
              </a:graphicData>
            </a:graphic>
          </wp:anchor>
        </w:drawing>
      </w:r>
      <w:r w:rsidR="00D6472F">
        <w:rPr>
          <w:b/>
          <w:bCs/>
        </w:rPr>
        <w:t xml:space="preserve">Supplementary </w:t>
      </w:r>
      <w:r w:rsidR="004065A0" w:rsidRPr="00D25EE1">
        <w:rPr>
          <w:b/>
          <w:bCs/>
        </w:rPr>
        <w:t xml:space="preserve">Figure </w:t>
      </w:r>
      <w:r w:rsidR="00213B90">
        <w:rPr>
          <w:b/>
          <w:bCs/>
        </w:rPr>
        <w:t>S</w:t>
      </w:r>
      <w:r w:rsidR="006765A3">
        <w:rPr>
          <w:b/>
          <w:bCs/>
        </w:rPr>
        <w:t>5</w:t>
      </w:r>
      <w:r w:rsidR="004065A0" w:rsidRPr="00D25EE1">
        <w:rPr>
          <w:b/>
          <w:bCs/>
        </w:rPr>
        <w:t>.</w:t>
      </w:r>
      <w:r w:rsidR="004065A0">
        <w:t xml:space="preserve"> Point of Subjective Simultaneity (PSS) expressed relative to the affected</w:t>
      </w:r>
      <w:r w:rsidR="00C810CC">
        <w:t>(</w:t>
      </w:r>
      <w:r w:rsidR="002C59B4">
        <w:t>/</w:t>
      </w:r>
      <w:r w:rsidR="004065A0">
        <w:t>non-dominant</w:t>
      </w:r>
      <w:r w:rsidR="00C810CC">
        <w:t>)</w:t>
      </w:r>
      <w:r w:rsidR="002C59B4">
        <w:t xml:space="preserve"> versus unaffected(/dominant)</w:t>
      </w:r>
      <w:r w:rsidR="004065A0">
        <w:t xml:space="preserve"> side (A, B) and relative to the left </w:t>
      </w:r>
      <w:r w:rsidR="00E438C3">
        <w:t>versus</w:t>
      </w:r>
      <w:r w:rsidR="004065A0">
        <w:t xml:space="preserve"> right side of the body (C, D). (A, C) Interactions between Group (CON, control; LL-CRPS, lower limb </w:t>
      </w:r>
      <w:r w:rsidR="008E1D77">
        <w:t>Complex Regional Pain Syndrome</w:t>
      </w:r>
      <w:r w:rsidR="004065A0">
        <w:t xml:space="preserve">; UL-CRPS, upper limb CRPS) and </w:t>
      </w:r>
      <w:r w:rsidR="00FF1EF4">
        <w:t>Body Region</w:t>
      </w:r>
      <w:r w:rsidR="004065A0">
        <w:t xml:space="preserve"> (not statistically significant). (B, D) Main effects of Group. Smaller </w:t>
      </w:r>
      <w:r w:rsidR="0087664F">
        <w:t xml:space="preserve">dots </w:t>
      </w:r>
      <w:r w:rsidR="004065A0">
        <w:t>indicate individual observations</w:t>
      </w:r>
      <w:r w:rsidR="00D815DD">
        <w:t xml:space="preserve"> </w:t>
      </w:r>
      <w:r w:rsidR="00D815DD">
        <w:lastRenderedPageBreak/>
        <w:t>(B, D)</w:t>
      </w:r>
      <w:r w:rsidR="004065A0">
        <w:t xml:space="preserve">. Larger </w:t>
      </w:r>
      <w:r w:rsidR="0087664F">
        <w:t xml:space="preserve">dots </w:t>
      </w:r>
      <w:r w:rsidR="004065A0">
        <w:t>with error bars represent means with bootstrap corrected and accelerated 95% confidence intervals.</w:t>
      </w:r>
      <w:r w:rsidR="009D054D">
        <w:t xml:space="preserve"> **</w:t>
      </w:r>
      <w:proofErr w:type="spellStart"/>
      <w:r w:rsidR="009D054D" w:rsidRPr="009D054D">
        <w:rPr>
          <w:i/>
          <w:iCs/>
        </w:rPr>
        <w:t>p</w:t>
      </w:r>
      <w:r w:rsidR="009D054D" w:rsidRPr="009D054D">
        <w:rPr>
          <w:i/>
          <w:iCs/>
          <w:vertAlign w:val="subscript"/>
        </w:rPr>
        <w:t>adj</w:t>
      </w:r>
      <w:proofErr w:type="spellEnd"/>
      <w:r w:rsidR="009D054D">
        <w:t xml:space="preserve"> &lt; 0.01, *</w:t>
      </w:r>
      <w:proofErr w:type="spellStart"/>
      <w:r w:rsidR="009D054D" w:rsidRPr="009D054D">
        <w:rPr>
          <w:i/>
          <w:iCs/>
        </w:rPr>
        <w:t>p</w:t>
      </w:r>
      <w:r w:rsidR="009D054D" w:rsidRPr="009D054D">
        <w:rPr>
          <w:i/>
          <w:iCs/>
          <w:vertAlign w:val="subscript"/>
        </w:rPr>
        <w:t>adj</w:t>
      </w:r>
      <w:proofErr w:type="spellEnd"/>
      <w:r w:rsidR="009D054D">
        <w:t xml:space="preserve"> &lt; 0.05.</w:t>
      </w:r>
    </w:p>
    <w:p w14:paraId="0A050F35" w14:textId="77777777" w:rsidR="007B69C1" w:rsidRDefault="007B69C1" w:rsidP="004065A0"/>
    <w:p w14:paraId="7ACC0F82" w14:textId="77777777" w:rsidR="007B69C1" w:rsidRDefault="007B69C1" w:rsidP="007B69C1">
      <w:r>
        <w:rPr>
          <w:b/>
          <w:bCs/>
        </w:rPr>
        <w:t xml:space="preserve">Supplementary </w:t>
      </w:r>
      <w:r w:rsidRPr="00362B4D">
        <w:rPr>
          <w:b/>
          <w:bCs/>
        </w:rPr>
        <w:t xml:space="preserve">Table </w:t>
      </w:r>
      <w:r>
        <w:rPr>
          <w:b/>
          <w:bCs/>
        </w:rPr>
        <w:t>S2</w:t>
      </w:r>
      <w:r>
        <w:t xml:space="preserve"> Results of the ANOVAs on the PSS outcomes, with the outliers retained in the </w:t>
      </w:r>
      <w:proofErr w:type="gramStart"/>
      <w:r>
        <w:t>data</w:t>
      </w:r>
      <w:proofErr w:type="gramEnd"/>
    </w:p>
    <w:tbl>
      <w:tblPr>
        <w:tblStyle w:val="TableGrid"/>
        <w:tblW w:w="0" w:type="auto"/>
        <w:tblLook w:val="04A0" w:firstRow="1" w:lastRow="0" w:firstColumn="1" w:lastColumn="0" w:noHBand="0" w:noVBand="1"/>
      </w:tblPr>
      <w:tblGrid>
        <w:gridCol w:w="2263"/>
        <w:gridCol w:w="1701"/>
        <w:gridCol w:w="1521"/>
        <w:gridCol w:w="1530"/>
        <w:gridCol w:w="1615"/>
      </w:tblGrid>
      <w:tr w:rsidR="007B69C1" w14:paraId="5C699FEC" w14:textId="77777777" w:rsidTr="00FF1EF4">
        <w:tc>
          <w:tcPr>
            <w:tcW w:w="2263" w:type="dxa"/>
          </w:tcPr>
          <w:p w14:paraId="017BED3C" w14:textId="77777777" w:rsidR="007B69C1" w:rsidRDefault="007B69C1" w:rsidP="007E2FAD">
            <w:r>
              <w:t>Effect</w:t>
            </w:r>
          </w:p>
        </w:tc>
        <w:tc>
          <w:tcPr>
            <w:tcW w:w="1701" w:type="dxa"/>
          </w:tcPr>
          <w:p w14:paraId="0A48C5C8" w14:textId="77777777" w:rsidR="007B69C1" w:rsidRPr="001F7C2C" w:rsidRDefault="007B69C1" w:rsidP="007E2FAD">
            <w:pPr>
              <w:rPr>
                <w:i/>
                <w:iCs/>
              </w:rPr>
            </w:pPr>
            <w:r w:rsidRPr="001F7C2C">
              <w:rPr>
                <w:i/>
                <w:iCs/>
              </w:rPr>
              <w:t>F</w:t>
            </w:r>
          </w:p>
        </w:tc>
        <w:tc>
          <w:tcPr>
            <w:tcW w:w="1521" w:type="dxa"/>
          </w:tcPr>
          <w:p w14:paraId="24D838DD" w14:textId="77777777" w:rsidR="007B69C1" w:rsidRDefault="007B69C1" w:rsidP="007E2FAD">
            <w:proofErr w:type="spellStart"/>
            <w:r>
              <w:t>df</w:t>
            </w:r>
            <w:proofErr w:type="spellEnd"/>
          </w:p>
        </w:tc>
        <w:tc>
          <w:tcPr>
            <w:tcW w:w="1530" w:type="dxa"/>
          </w:tcPr>
          <w:p w14:paraId="160A45E6" w14:textId="77777777" w:rsidR="007B69C1" w:rsidRPr="001F7C2C" w:rsidRDefault="007B69C1" w:rsidP="007E2FAD">
            <w:pPr>
              <w:rPr>
                <w:i/>
                <w:iCs/>
              </w:rPr>
            </w:pPr>
            <w:r w:rsidRPr="001F7C2C">
              <w:rPr>
                <w:i/>
                <w:iCs/>
              </w:rPr>
              <w:t>p</w:t>
            </w:r>
          </w:p>
        </w:tc>
        <w:tc>
          <w:tcPr>
            <w:tcW w:w="1615" w:type="dxa"/>
          </w:tcPr>
          <w:p w14:paraId="23284EF4" w14:textId="77777777" w:rsidR="007B69C1" w:rsidRPr="001F7C2C" w:rsidRDefault="007B69C1" w:rsidP="007E2FAD">
            <w:pPr>
              <w:rPr>
                <w:i/>
                <w:iCs/>
              </w:rPr>
            </w:pPr>
            <w:r w:rsidRPr="001F7C2C">
              <w:rPr>
                <w:i/>
                <w:iCs/>
              </w:rPr>
              <w:t>eta</w:t>
            </w:r>
            <w:r w:rsidRPr="001F7C2C">
              <w:rPr>
                <w:i/>
                <w:iCs/>
                <w:vertAlign w:val="superscript"/>
              </w:rPr>
              <w:t>2</w:t>
            </w:r>
          </w:p>
        </w:tc>
      </w:tr>
      <w:tr w:rsidR="007B69C1" w14:paraId="5039C2EB" w14:textId="77777777" w:rsidTr="007E2FAD">
        <w:tc>
          <w:tcPr>
            <w:tcW w:w="8630" w:type="dxa"/>
            <w:gridSpan w:val="5"/>
          </w:tcPr>
          <w:p w14:paraId="5B29088C" w14:textId="451EB7EE" w:rsidR="007B69C1" w:rsidRPr="0073476E" w:rsidRDefault="007B69C1" w:rsidP="007E2FAD">
            <w:pPr>
              <w:rPr>
                <w:b/>
                <w:bCs/>
              </w:rPr>
            </w:pPr>
            <w:r w:rsidRPr="0073476E">
              <w:rPr>
                <w:b/>
                <w:bCs/>
              </w:rPr>
              <w:t xml:space="preserve">PSS </w:t>
            </w:r>
            <w:r w:rsidR="00920E1F" w:rsidRPr="00ED2A3C">
              <w:rPr>
                <w:b/>
                <w:bCs/>
              </w:rPr>
              <w:t>affected</w:t>
            </w:r>
            <w:r w:rsidR="00920E1F">
              <w:rPr>
                <w:b/>
                <w:bCs/>
              </w:rPr>
              <w:t>(/non-dominant)</w:t>
            </w:r>
            <w:r w:rsidR="00920E1F" w:rsidRPr="00ED2A3C">
              <w:rPr>
                <w:b/>
                <w:bCs/>
              </w:rPr>
              <w:t xml:space="preserve"> </w:t>
            </w:r>
            <w:r w:rsidR="00920E1F">
              <w:rPr>
                <w:b/>
                <w:bCs/>
              </w:rPr>
              <w:t>versus</w:t>
            </w:r>
            <w:r w:rsidR="00920E1F" w:rsidRPr="00ED2A3C">
              <w:rPr>
                <w:b/>
                <w:bCs/>
              </w:rPr>
              <w:t xml:space="preserve"> unaffected</w:t>
            </w:r>
            <w:r w:rsidR="00920E1F">
              <w:rPr>
                <w:b/>
                <w:bCs/>
              </w:rPr>
              <w:t>(/dominant</w:t>
            </w:r>
            <w:r w:rsidR="00920E1F">
              <w:rPr>
                <w:b/>
                <w:bCs/>
              </w:rPr>
              <w:t>)</w:t>
            </w:r>
          </w:p>
        </w:tc>
      </w:tr>
      <w:tr w:rsidR="007B69C1" w14:paraId="1FDA2E1E" w14:textId="77777777" w:rsidTr="00FF1EF4">
        <w:tc>
          <w:tcPr>
            <w:tcW w:w="2263" w:type="dxa"/>
          </w:tcPr>
          <w:p w14:paraId="52F785F7" w14:textId="77777777" w:rsidR="007B69C1" w:rsidRDefault="007B69C1" w:rsidP="007E2FAD">
            <w:pPr>
              <w:ind w:left="720" w:hanging="720"/>
            </w:pPr>
            <w:r>
              <w:t>Group</w:t>
            </w:r>
          </w:p>
        </w:tc>
        <w:tc>
          <w:tcPr>
            <w:tcW w:w="1701" w:type="dxa"/>
          </w:tcPr>
          <w:p w14:paraId="7CDB3157" w14:textId="77777777" w:rsidR="007B69C1" w:rsidRDefault="007B69C1" w:rsidP="007E2FAD">
            <w:r>
              <w:t>6.65</w:t>
            </w:r>
          </w:p>
        </w:tc>
        <w:tc>
          <w:tcPr>
            <w:tcW w:w="1521" w:type="dxa"/>
          </w:tcPr>
          <w:p w14:paraId="0000C3EE" w14:textId="77777777" w:rsidR="007B69C1" w:rsidRDefault="007B69C1" w:rsidP="007E2FAD">
            <w:r>
              <w:t>2, 42</w:t>
            </w:r>
          </w:p>
        </w:tc>
        <w:tc>
          <w:tcPr>
            <w:tcW w:w="1530" w:type="dxa"/>
          </w:tcPr>
          <w:p w14:paraId="38693589" w14:textId="77777777" w:rsidR="007B69C1" w:rsidRPr="009A3D21" w:rsidRDefault="007B69C1" w:rsidP="007E2FAD">
            <w:pPr>
              <w:rPr>
                <w:b/>
                <w:bCs/>
              </w:rPr>
            </w:pPr>
            <w:r w:rsidRPr="009A3D21">
              <w:rPr>
                <w:b/>
                <w:bCs/>
              </w:rPr>
              <w:t>0.00</w:t>
            </w:r>
            <w:r>
              <w:rPr>
                <w:b/>
                <w:bCs/>
              </w:rPr>
              <w:t>3</w:t>
            </w:r>
          </w:p>
        </w:tc>
        <w:tc>
          <w:tcPr>
            <w:tcW w:w="1615" w:type="dxa"/>
          </w:tcPr>
          <w:p w14:paraId="3737ABD4" w14:textId="77777777" w:rsidR="007B69C1" w:rsidRDefault="007B69C1" w:rsidP="007E2FAD">
            <w:r>
              <w:t>0.15</w:t>
            </w:r>
          </w:p>
          <w:p w14:paraId="6DC7AA39" w14:textId="77777777" w:rsidR="007B69C1" w:rsidRDefault="007B69C1" w:rsidP="007E2FAD"/>
        </w:tc>
      </w:tr>
      <w:tr w:rsidR="007B69C1" w14:paraId="17E9C420" w14:textId="77777777" w:rsidTr="00FF1EF4">
        <w:tc>
          <w:tcPr>
            <w:tcW w:w="2263" w:type="dxa"/>
          </w:tcPr>
          <w:p w14:paraId="1027ED79" w14:textId="36CFBC64" w:rsidR="007B69C1" w:rsidRDefault="00FF1EF4" w:rsidP="007E2FAD">
            <w:pPr>
              <w:ind w:left="720" w:hanging="720"/>
            </w:pPr>
            <w:r>
              <w:t>Body Region</w:t>
            </w:r>
          </w:p>
        </w:tc>
        <w:tc>
          <w:tcPr>
            <w:tcW w:w="1701" w:type="dxa"/>
          </w:tcPr>
          <w:p w14:paraId="66CDF3C0" w14:textId="77777777" w:rsidR="007B69C1" w:rsidRDefault="007B69C1" w:rsidP="007E2FAD">
            <w:r>
              <w:t>0.02</w:t>
            </w:r>
          </w:p>
        </w:tc>
        <w:tc>
          <w:tcPr>
            <w:tcW w:w="1521" w:type="dxa"/>
          </w:tcPr>
          <w:p w14:paraId="060D00D1" w14:textId="77777777" w:rsidR="007B69C1" w:rsidRDefault="007B69C1" w:rsidP="007E2FAD">
            <w:r>
              <w:t>1, 42</w:t>
            </w:r>
          </w:p>
        </w:tc>
        <w:tc>
          <w:tcPr>
            <w:tcW w:w="1530" w:type="dxa"/>
          </w:tcPr>
          <w:p w14:paraId="3BE51344" w14:textId="77777777" w:rsidR="007B69C1" w:rsidRDefault="007B69C1" w:rsidP="007E2FAD">
            <w:r>
              <w:t>0.885</w:t>
            </w:r>
          </w:p>
        </w:tc>
        <w:tc>
          <w:tcPr>
            <w:tcW w:w="1615" w:type="dxa"/>
          </w:tcPr>
          <w:p w14:paraId="5E20DA2A" w14:textId="77777777" w:rsidR="007B69C1" w:rsidRDefault="007B69C1" w:rsidP="007E2FAD">
            <w:r>
              <w:t>&lt; 0.01</w:t>
            </w:r>
          </w:p>
          <w:p w14:paraId="2D5E5B85" w14:textId="77777777" w:rsidR="007B69C1" w:rsidRDefault="007B69C1" w:rsidP="007E2FAD"/>
        </w:tc>
      </w:tr>
      <w:tr w:rsidR="007B69C1" w14:paraId="0CFCF3DE" w14:textId="77777777" w:rsidTr="00FF1EF4">
        <w:tc>
          <w:tcPr>
            <w:tcW w:w="2263" w:type="dxa"/>
          </w:tcPr>
          <w:p w14:paraId="7E15CC0C" w14:textId="3D59C5A5" w:rsidR="007B69C1" w:rsidRDefault="007B69C1" w:rsidP="007E2FAD">
            <w:pPr>
              <w:ind w:left="720" w:hanging="720"/>
            </w:pPr>
            <w:r>
              <w:t xml:space="preserve">Group x </w:t>
            </w:r>
            <w:r w:rsidR="00FF1EF4">
              <w:t>Body Region</w:t>
            </w:r>
          </w:p>
        </w:tc>
        <w:tc>
          <w:tcPr>
            <w:tcW w:w="1701" w:type="dxa"/>
          </w:tcPr>
          <w:p w14:paraId="2541F30E" w14:textId="77777777" w:rsidR="007B69C1" w:rsidRDefault="007B69C1" w:rsidP="007E2FAD">
            <w:r>
              <w:t>0.65</w:t>
            </w:r>
          </w:p>
        </w:tc>
        <w:tc>
          <w:tcPr>
            <w:tcW w:w="1521" w:type="dxa"/>
          </w:tcPr>
          <w:p w14:paraId="6E161BF3" w14:textId="77777777" w:rsidR="007B69C1" w:rsidRDefault="007B69C1" w:rsidP="007E2FAD">
            <w:r>
              <w:t>2, 42</w:t>
            </w:r>
          </w:p>
        </w:tc>
        <w:tc>
          <w:tcPr>
            <w:tcW w:w="1530" w:type="dxa"/>
          </w:tcPr>
          <w:p w14:paraId="613B3E80" w14:textId="77777777" w:rsidR="007B69C1" w:rsidRDefault="007B69C1" w:rsidP="007E2FAD">
            <w:r>
              <w:t>0.528</w:t>
            </w:r>
          </w:p>
        </w:tc>
        <w:tc>
          <w:tcPr>
            <w:tcW w:w="1615" w:type="dxa"/>
          </w:tcPr>
          <w:p w14:paraId="38D98CD7" w14:textId="77777777" w:rsidR="007B69C1" w:rsidRDefault="007B69C1" w:rsidP="007E2FAD">
            <w:r>
              <w:t>0.01</w:t>
            </w:r>
          </w:p>
        </w:tc>
      </w:tr>
      <w:tr w:rsidR="007B69C1" w14:paraId="0D5FB73F" w14:textId="77777777" w:rsidTr="007E2FAD">
        <w:tc>
          <w:tcPr>
            <w:tcW w:w="8630" w:type="dxa"/>
            <w:gridSpan w:val="5"/>
          </w:tcPr>
          <w:p w14:paraId="5F24445E" w14:textId="018C8989" w:rsidR="007B69C1" w:rsidRPr="0012637F" w:rsidRDefault="007B69C1" w:rsidP="007E2FAD">
            <w:pPr>
              <w:rPr>
                <w:b/>
                <w:bCs/>
              </w:rPr>
            </w:pPr>
            <w:r w:rsidRPr="0012637F">
              <w:rPr>
                <w:b/>
                <w:bCs/>
              </w:rPr>
              <w:t xml:space="preserve">PSS left </w:t>
            </w:r>
            <w:r w:rsidR="009754D2">
              <w:rPr>
                <w:b/>
                <w:bCs/>
              </w:rPr>
              <w:t>versus</w:t>
            </w:r>
            <w:r w:rsidRPr="0012637F">
              <w:rPr>
                <w:b/>
                <w:bCs/>
              </w:rPr>
              <w:t xml:space="preserve"> right</w:t>
            </w:r>
          </w:p>
        </w:tc>
      </w:tr>
      <w:tr w:rsidR="007B69C1" w14:paraId="7BF3ED89" w14:textId="77777777" w:rsidTr="00FF1EF4">
        <w:tc>
          <w:tcPr>
            <w:tcW w:w="2263" w:type="dxa"/>
          </w:tcPr>
          <w:p w14:paraId="2C05B159" w14:textId="77777777" w:rsidR="007B69C1" w:rsidRDefault="007B69C1" w:rsidP="007E2FAD">
            <w:r>
              <w:t>Group</w:t>
            </w:r>
          </w:p>
        </w:tc>
        <w:tc>
          <w:tcPr>
            <w:tcW w:w="1701" w:type="dxa"/>
          </w:tcPr>
          <w:p w14:paraId="7171656B" w14:textId="77777777" w:rsidR="007B69C1" w:rsidRDefault="007B69C1" w:rsidP="007E2FAD">
            <w:r>
              <w:t>4.31</w:t>
            </w:r>
          </w:p>
        </w:tc>
        <w:tc>
          <w:tcPr>
            <w:tcW w:w="1521" w:type="dxa"/>
          </w:tcPr>
          <w:p w14:paraId="264C9BA8" w14:textId="77777777" w:rsidR="007B69C1" w:rsidRDefault="007B69C1" w:rsidP="007E2FAD">
            <w:r>
              <w:t>2, 42</w:t>
            </w:r>
          </w:p>
        </w:tc>
        <w:tc>
          <w:tcPr>
            <w:tcW w:w="1530" w:type="dxa"/>
          </w:tcPr>
          <w:p w14:paraId="63FC3127" w14:textId="77777777" w:rsidR="007B69C1" w:rsidRPr="009A3D21" w:rsidRDefault="007B69C1" w:rsidP="007E2FAD">
            <w:pPr>
              <w:rPr>
                <w:b/>
                <w:bCs/>
              </w:rPr>
            </w:pPr>
            <w:r w:rsidRPr="009A3D21">
              <w:rPr>
                <w:b/>
                <w:bCs/>
              </w:rPr>
              <w:t>0.0</w:t>
            </w:r>
            <w:r>
              <w:rPr>
                <w:b/>
                <w:bCs/>
              </w:rPr>
              <w:t>2</w:t>
            </w:r>
            <w:r w:rsidRPr="009A3D21">
              <w:rPr>
                <w:b/>
                <w:bCs/>
              </w:rPr>
              <w:t>0</w:t>
            </w:r>
          </w:p>
        </w:tc>
        <w:tc>
          <w:tcPr>
            <w:tcW w:w="1615" w:type="dxa"/>
          </w:tcPr>
          <w:p w14:paraId="5CF69D0D" w14:textId="77777777" w:rsidR="007B69C1" w:rsidRDefault="007B69C1" w:rsidP="007E2FAD">
            <w:r>
              <w:t>0.09</w:t>
            </w:r>
          </w:p>
        </w:tc>
      </w:tr>
      <w:tr w:rsidR="007B69C1" w14:paraId="7F29C378" w14:textId="77777777" w:rsidTr="00FF1EF4">
        <w:tc>
          <w:tcPr>
            <w:tcW w:w="2263" w:type="dxa"/>
          </w:tcPr>
          <w:p w14:paraId="57EC9D99" w14:textId="75B5BF2D" w:rsidR="007B69C1" w:rsidRDefault="00FF1EF4" w:rsidP="007E2FAD">
            <w:r>
              <w:t>Body Region</w:t>
            </w:r>
          </w:p>
        </w:tc>
        <w:tc>
          <w:tcPr>
            <w:tcW w:w="1701" w:type="dxa"/>
          </w:tcPr>
          <w:p w14:paraId="2B66E81A" w14:textId="77777777" w:rsidR="007B69C1" w:rsidRDefault="007B69C1" w:rsidP="007E2FAD">
            <w:r>
              <w:t>&lt; 0.01</w:t>
            </w:r>
          </w:p>
        </w:tc>
        <w:tc>
          <w:tcPr>
            <w:tcW w:w="1521" w:type="dxa"/>
          </w:tcPr>
          <w:p w14:paraId="25E2E80B" w14:textId="77777777" w:rsidR="007B69C1" w:rsidRDefault="007B69C1" w:rsidP="007E2FAD">
            <w:r>
              <w:t>1, 42</w:t>
            </w:r>
          </w:p>
        </w:tc>
        <w:tc>
          <w:tcPr>
            <w:tcW w:w="1530" w:type="dxa"/>
          </w:tcPr>
          <w:p w14:paraId="0CECA320" w14:textId="77777777" w:rsidR="007B69C1" w:rsidRDefault="007B69C1" w:rsidP="007E2FAD">
            <w:r>
              <w:t>0.956</w:t>
            </w:r>
          </w:p>
        </w:tc>
        <w:tc>
          <w:tcPr>
            <w:tcW w:w="1615" w:type="dxa"/>
          </w:tcPr>
          <w:p w14:paraId="6D3AADC8" w14:textId="77777777" w:rsidR="007B69C1" w:rsidRDefault="007B69C1" w:rsidP="007E2FAD">
            <w:r>
              <w:t>&lt; 0.01</w:t>
            </w:r>
          </w:p>
        </w:tc>
      </w:tr>
      <w:tr w:rsidR="007B69C1" w14:paraId="1CFDAE5C" w14:textId="77777777" w:rsidTr="00FF1EF4">
        <w:tc>
          <w:tcPr>
            <w:tcW w:w="2263" w:type="dxa"/>
          </w:tcPr>
          <w:p w14:paraId="003CCF81" w14:textId="760AA013" w:rsidR="007B69C1" w:rsidRDefault="007B69C1" w:rsidP="007E2FAD">
            <w:r>
              <w:t xml:space="preserve">Group x </w:t>
            </w:r>
            <w:r w:rsidR="00FF1EF4">
              <w:t>Body Region</w:t>
            </w:r>
          </w:p>
        </w:tc>
        <w:tc>
          <w:tcPr>
            <w:tcW w:w="1701" w:type="dxa"/>
          </w:tcPr>
          <w:p w14:paraId="37F1338C" w14:textId="77777777" w:rsidR="007B69C1" w:rsidRDefault="007B69C1" w:rsidP="007E2FAD">
            <w:r>
              <w:t>0.46</w:t>
            </w:r>
          </w:p>
        </w:tc>
        <w:tc>
          <w:tcPr>
            <w:tcW w:w="1521" w:type="dxa"/>
          </w:tcPr>
          <w:p w14:paraId="3B5357BB" w14:textId="77777777" w:rsidR="007B69C1" w:rsidRDefault="007B69C1" w:rsidP="007E2FAD">
            <w:r>
              <w:t>2, 42</w:t>
            </w:r>
          </w:p>
        </w:tc>
        <w:tc>
          <w:tcPr>
            <w:tcW w:w="1530" w:type="dxa"/>
          </w:tcPr>
          <w:p w14:paraId="075968F2" w14:textId="77777777" w:rsidR="007B69C1" w:rsidRDefault="007B69C1" w:rsidP="007E2FAD">
            <w:r>
              <w:t>0.633</w:t>
            </w:r>
          </w:p>
        </w:tc>
        <w:tc>
          <w:tcPr>
            <w:tcW w:w="1615" w:type="dxa"/>
          </w:tcPr>
          <w:p w14:paraId="0C1BAE62" w14:textId="77777777" w:rsidR="007B69C1" w:rsidRDefault="007B69C1" w:rsidP="007E2FAD">
            <w:r>
              <w:t>0.01</w:t>
            </w:r>
          </w:p>
        </w:tc>
      </w:tr>
    </w:tbl>
    <w:p w14:paraId="5DD102D8" w14:textId="77777777" w:rsidR="00713A89" w:rsidRPr="00713A89" w:rsidRDefault="00713A89" w:rsidP="00713A89">
      <w:r>
        <w:rPr>
          <w:b/>
          <w:bCs/>
        </w:rPr>
        <w:t xml:space="preserve">Notes: </w:t>
      </w:r>
      <w:r w:rsidRPr="00713A89">
        <w:rPr>
          <w:i/>
          <w:iCs/>
        </w:rPr>
        <w:t>P</w:t>
      </w:r>
      <w:r w:rsidRPr="00E06432">
        <w:t>-values depicted in bold indicate statistically significant</w:t>
      </w:r>
      <w:r w:rsidRPr="00E06432">
        <w:rPr>
          <w:b/>
          <w:bCs/>
        </w:rPr>
        <w:t xml:space="preserve"> </w:t>
      </w:r>
      <w:r>
        <w:t>effects. Row headings in bold indicate the type of analysis.</w:t>
      </w:r>
    </w:p>
    <w:p w14:paraId="3666FCCC" w14:textId="77777777" w:rsidR="00713A89" w:rsidRPr="00ED2A3C" w:rsidRDefault="00713A89" w:rsidP="00713A89">
      <w:pPr>
        <w:rPr>
          <w:i/>
          <w:iCs/>
        </w:rPr>
      </w:pPr>
      <w:r w:rsidRPr="00ED2A3C">
        <w:rPr>
          <w:b/>
          <w:bCs/>
        </w:rPr>
        <w:t>Abbreviations:</w:t>
      </w:r>
      <w:r w:rsidRPr="00ED2A3C">
        <w:rPr>
          <w:i/>
          <w:iCs/>
        </w:rPr>
        <w:t xml:space="preserve"> </w:t>
      </w:r>
      <w:r w:rsidRPr="009C2558">
        <w:rPr>
          <w:i/>
          <w:iCs/>
        </w:rPr>
        <w:t>eta</w:t>
      </w:r>
      <w:r w:rsidRPr="009C2558">
        <w:rPr>
          <w:i/>
          <w:iCs/>
          <w:vertAlign w:val="superscript"/>
        </w:rPr>
        <w:t>2</w:t>
      </w:r>
      <w:r>
        <w:rPr>
          <w:i/>
          <w:iCs/>
          <w:vertAlign w:val="superscript"/>
        </w:rPr>
        <w:t xml:space="preserve">, </w:t>
      </w:r>
      <w:r w:rsidRPr="00713A89">
        <w:t xml:space="preserve">effect size; </w:t>
      </w:r>
      <w:proofErr w:type="spellStart"/>
      <w:r>
        <w:t>df</w:t>
      </w:r>
      <w:proofErr w:type="spellEnd"/>
      <w:r>
        <w:t xml:space="preserve">, degrees of freedom; </w:t>
      </w:r>
      <w:r w:rsidRPr="00713A89">
        <w:rPr>
          <w:i/>
          <w:iCs/>
        </w:rPr>
        <w:t>F</w:t>
      </w:r>
      <w:r>
        <w:t xml:space="preserve">, F test statistic; </w:t>
      </w:r>
      <w:r w:rsidRPr="00713A89">
        <w:rPr>
          <w:i/>
          <w:iCs/>
        </w:rPr>
        <w:t>p</w:t>
      </w:r>
      <w:r>
        <w:t xml:space="preserve">. p value; </w:t>
      </w:r>
      <w:r w:rsidRPr="00ED2A3C">
        <w:t xml:space="preserve">PSS, Point of </w:t>
      </w:r>
      <w:r>
        <w:t>S</w:t>
      </w:r>
      <w:r w:rsidRPr="00ED2A3C">
        <w:t xml:space="preserve">ubjective </w:t>
      </w:r>
      <w:r>
        <w:t>S</w:t>
      </w:r>
      <w:r w:rsidRPr="00ED2A3C">
        <w:t>imultaneity</w:t>
      </w:r>
      <w:r>
        <w:t>.</w:t>
      </w:r>
    </w:p>
    <w:p w14:paraId="19FC0F32" w14:textId="77777777" w:rsidR="00E438C3" w:rsidRDefault="00E438C3" w:rsidP="004065A0"/>
    <w:p w14:paraId="5E9A042F" w14:textId="7CB47BA1" w:rsidR="00815FE6" w:rsidRDefault="00815FE6" w:rsidP="00D6472F">
      <w:pPr>
        <w:ind w:firstLine="720"/>
      </w:pPr>
      <w:r>
        <w:t xml:space="preserve">Exploratory correlation analysis </w:t>
      </w:r>
      <w:r w:rsidR="006C67D5">
        <w:t xml:space="preserve">between the PSS expressed relative to the affected </w:t>
      </w:r>
      <w:r w:rsidR="0015420A">
        <w:t>versus</w:t>
      </w:r>
      <w:r w:rsidR="006C67D5">
        <w:t xml:space="preserve"> unaffected side</w:t>
      </w:r>
      <w:r w:rsidR="00073F66">
        <w:t xml:space="preserve"> and the CRPS symptom severity score indicated a marginally significant </w:t>
      </w:r>
      <w:r w:rsidR="006066FF">
        <w:t xml:space="preserve">moderate </w:t>
      </w:r>
      <w:r w:rsidR="00073F66">
        <w:t xml:space="preserve">negative </w:t>
      </w:r>
      <w:r w:rsidR="00213B90">
        <w:t>association between these factors when two influential observations were retained in the data (Supplementary Figure S</w:t>
      </w:r>
      <w:r w:rsidR="00364B28">
        <w:t>6</w:t>
      </w:r>
      <w:r w:rsidR="00213B90">
        <w:t xml:space="preserve">). </w:t>
      </w:r>
    </w:p>
    <w:p w14:paraId="1A56061C" w14:textId="71F58B2F" w:rsidR="00815FE6" w:rsidRDefault="00815FE6" w:rsidP="00815FE6"/>
    <w:p w14:paraId="3C005BF6" w14:textId="2A15FC50" w:rsidR="00007CD5" w:rsidRDefault="00007CD5" w:rsidP="00815FE6">
      <w:r w:rsidRPr="00007CD5">
        <w:rPr>
          <w:noProof/>
        </w:rPr>
        <w:lastRenderedPageBreak/>
        <w:drawing>
          <wp:anchor distT="0" distB="0" distL="114300" distR="114300" simplePos="0" relativeHeight="251659264" behindDoc="0" locked="0" layoutInCell="1" allowOverlap="1" wp14:anchorId="287D4216" wp14:editId="685D023B">
            <wp:simplePos x="0" y="0"/>
            <wp:positionH relativeFrom="column">
              <wp:posOffset>0</wp:posOffset>
            </wp:positionH>
            <wp:positionV relativeFrom="paragraph">
              <wp:posOffset>294640</wp:posOffset>
            </wp:positionV>
            <wp:extent cx="3104762" cy="2895238"/>
            <wp:effectExtent l="0" t="0" r="635" b="635"/>
            <wp:wrapTopAndBottom/>
            <wp:docPr id="903249880" name="Picture 1" descr="A graph of a number of patients with a number of number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3249880" name="Picture 1" descr="A graph of a number of patients with a number of numbers&#10;&#10;Description automatically generated with medium confidence"/>
                    <pic:cNvPicPr/>
                  </pic:nvPicPr>
                  <pic:blipFill>
                    <a:blip r:embed="rId12"/>
                    <a:stretch>
                      <a:fillRect/>
                    </a:stretch>
                  </pic:blipFill>
                  <pic:spPr>
                    <a:xfrm>
                      <a:off x="0" y="0"/>
                      <a:ext cx="3104762" cy="2895238"/>
                    </a:xfrm>
                    <a:prstGeom prst="rect">
                      <a:avLst/>
                    </a:prstGeom>
                  </pic:spPr>
                </pic:pic>
              </a:graphicData>
            </a:graphic>
          </wp:anchor>
        </w:drawing>
      </w:r>
    </w:p>
    <w:p w14:paraId="7135216F" w14:textId="43BA5C1A" w:rsidR="00815FE6" w:rsidRDefault="00815FE6" w:rsidP="00815FE6">
      <w:pPr>
        <w:rPr>
          <w:szCs w:val="20"/>
        </w:rPr>
      </w:pPr>
      <w:r>
        <w:rPr>
          <w:b/>
          <w:bCs/>
        </w:rPr>
        <w:t xml:space="preserve">Supplementary </w:t>
      </w:r>
      <w:r w:rsidRPr="002136CE">
        <w:rPr>
          <w:b/>
          <w:bCs/>
        </w:rPr>
        <w:t xml:space="preserve">Figure </w:t>
      </w:r>
      <w:r w:rsidR="00213B90">
        <w:rPr>
          <w:b/>
          <w:bCs/>
        </w:rPr>
        <w:t>S</w:t>
      </w:r>
      <w:r w:rsidR="00364B28">
        <w:rPr>
          <w:b/>
          <w:bCs/>
        </w:rPr>
        <w:t>6</w:t>
      </w:r>
      <w:r>
        <w:rPr>
          <w:b/>
          <w:bCs/>
        </w:rPr>
        <w:t xml:space="preserve"> </w:t>
      </w:r>
      <w:r w:rsidRPr="00957C9F">
        <w:t xml:space="preserve">Scatterplot </w:t>
      </w:r>
      <w:r w:rsidR="000F5651">
        <w:t>of the</w:t>
      </w:r>
      <w:r w:rsidRPr="00957C9F">
        <w:t xml:space="preserve"> r</w:t>
      </w:r>
      <w:r w:rsidRPr="00AE5B1C">
        <w:t xml:space="preserve">elationship between the </w:t>
      </w:r>
      <w:r w:rsidR="00A21B54">
        <w:t>P</w:t>
      </w:r>
      <w:r w:rsidRPr="00AE5B1C">
        <w:t xml:space="preserve">oint of </w:t>
      </w:r>
      <w:r w:rsidR="00A21B54">
        <w:t>S</w:t>
      </w:r>
      <w:r w:rsidRPr="00AE5B1C">
        <w:t xml:space="preserve">ubjective </w:t>
      </w:r>
      <w:r w:rsidR="00A21B54">
        <w:t>S</w:t>
      </w:r>
      <w:r w:rsidRPr="00AE5B1C">
        <w:t>imultaneity (PSS)</w:t>
      </w:r>
      <w:r>
        <w:t xml:space="preserve"> and the </w:t>
      </w:r>
      <w:r w:rsidR="0069556D">
        <w:t>Complex Regional Pain Syndrome (</w:t>
      </w:r>
      <w:r>
        <w:t>CRPS</w:t>
      </w:r>
      <w:r w:rsidR="0069556D">
        <w:t>)</w:t>
      </w:r>
      <w:r>
        <w:t xml:space="preserve"> severity score </w:t>
      </w:r>
      <w:r w:rsidR="002D7367">
        <w:t>for</w:t>
      </w:r>
      <w:r>
        <w:t xml:space="preserve"> participants with </w:t>
      </w:r>
      <w:r w:rsidR="00D31C72">
        <w:t>lower</w:t>
      </w:r>
      <w:r w:rsidR="002D7367">
        <w:t xml:space="preserve"> </w:t>
      </w:r>
      <w:r w:rsidR="00C6386C">
        <w:t>(</w:t>
      </w:r>
      <w:r w:rsidR="00D31C72">
        <w:t>green</w:t>
      </w:r>
      <w:r w:rsidR="00C6386C">
        <w:t xml:space="preserve">) </w:t>
      </w:r>
      <w:r w:rsidR="002D7367">
        <w:t xml:space="preserve">and </w:t>
      </w:r>
      <w:r w:rsidR="00D31C72">
        <w:t>upper</w:t>
      </w:r>
      <w:r w:rsidR="002D7367">
        <w:t xml:space="preserve"> limb</w:t>
      </w:r>
      <w:r w:rsidR="00C6386C">
        <w:t xml:space="preserve"> (</w:t>
      </w:r>
      <w:r w:rsidR="00D31C72">
        <w:t>blue</w:t>
      </w:r>
      <w:r w:rsidR="00C6386C">
        <w:t>)</w:t>
      </w:r>
      <w:r w:rsidR="002D7367">
        <w:t xml:space="preserve"> </w:t>
      </w:r>
      <w:r>
        <w:t xml:space="preserve">CRPS. </w:t>
      </w:r>
      <w:r w:rsidR="002D7367">
        <w:t xml:space="preserve">PSS is </w:t>
      </w:r>
      <w:r w:rsidR="002D7367" w:rsidRPr="002D7367">
        <w:t>expressed relative to the affected side of the body</w:t>
      </w:r>
      <w:r w:rsidR="002D7367">
        <w:t>.</w:t>
      </w:r>
      <w:r w:rsidR="002D7367" w:rsidRPr="002D7367">
        <w:t xml:space="preserve"> </w:t>
      </w:r>
      <w:r w:rsidR="0087664F">
        <w:rPr>
          <w:szCs w:val="20"/>
        </w:rPr>
        <w:t xml:space="preserve">Dots </w:t>
      </w:r>
      <w:r>
        <w:rPr>
          <w:szCs w:val="20"/>
        </w:rPr>
        <w:t xml:space="preserve">correspond to individual observations (PSS averaged across Body </w:t>
      </w:r>
      <w:r w:rsidR="00C54AE2">
        <w:rPr>
          <w:szCs w:val="20"/>
        </w:rPr>
        <w:t>Region</w:t>
      </w:r>
      <w:r>
        <w:rPr>
          <w:szCs w:val="20"/>
        </w:rPr>
        <w:t xml:space="preserve"> conditions</w:t>
      </w:r>
      <w:r w:rsidR="0025344A">
        <w:rPr>
          <w:szCs w:val="20"/>
        </w:rPr>
        <w:t>; two influential observations were retained in this figure and analysis</w:t>
      </w:r>
      <w:r>
        <w:rPr>
          <w:szCs w:val="20"/>
        </w:rPr>
        <w:t xml:space="preserve">), with a fitted regression line </w:t>
      </w:r>
      <w:r w:rsidR="0069556D">
        <w:rPr>
          <w:szCs w:val="20"/>
        </w:rPr>
        <w:t>(</w:t>
      </w:r>
      <w:r>
        <w:rPr>
          <w:szCs w:val="20"/>
        </w:rPr>
        <w:t>black</w:t>
      </w:r>
      <w:r w:rsidR="0069556D">
        <w:rPr>
          <w:szCs w:val="20"/>
        </w:rPr>
        <w:t>)</w:t>
      </w:r>
      <w:r>
        <w:rPr>
          <w:szCs w:val="20"/>
        </w:rPr>
        <w:t xml:space="preserve"> and 95% confidence intervals (grey shaded area). </w:t>
      </w:r>
      <w:r w:rsidRPr="007C361A">
        <w:rPr>
          <w:i/>
          <w:iCs/>
          <w:szCs w:val="20"/>
        </w:rPr>
        <w:t>R</w:t>
      </w:r>
      <w:r>
        <w:rPr>
          <w:szCs w:val="20"/>
        </w:rPr>
        <w:t xml:space="preserve"> represents </w:t>
      </w:r>
      <w:r w:rsidR="0025344A">
        <w:rPr>
          <w:szCs w:val="20"/>
        </w:rPr>
        <w:t xml:space="preserve">the </w:t>
      </w:r>
      <w:r>
        <w:rPr>
          <w:szCs w:val="20"/>
        </w:rPr>
        <w:t xml:space="preserve">Pearson’s correlation coefficient with </w:t>
      </w:r>
      <w:r w:rsidR="0025344A">
        <w:rPr>
          <w:szCs w:val="20"/>
        </w:rPr>
        <w:t>the</w:t>
      </w:r>
      <w:r>
        <w:rPr>
          <w:szCs w:val="20"/>
        </w:rPr>
        <w:t xml:space="preserve"> corresponding </w:t>
      </w:r>
      <w:r w:rsidRPr="00975C18">
        <w:rPr>
          <w:i/>
          <w:iCs/>
          <w:szCs w:val="20"/>
        </w:rPr>
        <w:t>p</w:t>
      </w:r>
      <w:r>
        <w:rPr>
          <w:szCs w:val="20"/>
        </w:rPr>
        <w:t xml:space="preserve"> value.</w:t>
      </w:r>
    </w:p>
    <w:p w14:paraId="6F562D93" w14:textId="77777777" w:rsidR="002A526A" w:rsidRDefault="002A526A" w:rsidP="00815FE6">
      <w:pPr>
        <w:rPr>
          <w:szCs w:val="20"/>
        </w:rPr>
      </w:pPr>
    </w:p>
    <w:p w14:paraId="7153C55A" w14:textId="00E6A45C" w:rsidR="00815FE6" w:rsidRDefault="0087664F" w:rsidP="00B22DBE">
      <w:pPr>
        <w:ind w:firstLine="720"/>
      </w:pPr>
      <w:r>
        <w:t>An e</w:t>
      </w:r>
      <w:r w:rsidR="002A526A">
        <w:t>xploratory ANOVA on the PSS expressed relative to the left versus right side of the body revealed a significant</w:t>
      </w:r>
      <w:r w:rsidR="005A233B">
        <w:t xml:space="preserve"> moderate</w:t>
      </w:r>
      <w:r w:rsidR="002A526A">
        <w:t xml:space="preserve"> main effect of Group (Supplementary Figure S</w:t>
      </w:r>
      <w:r w:rsidR="00364B28">
        <w:t>6</w:t>
      </w:r>
      <w:r w:rsidR="002A526A">
        <w:t>C-D), driven by a more positive PSS (stronger leftward bias) in controls compared to LL-CRPS (</w:t>
      </w:r>
      <w:r w:rsidR="002A526A" w:rsidRPr="00241164">
        <w:rPr>
          <w:i/>
          <w:iCs/>
        </w:rPr>
        <w:t>t</w:t>
      </w:r>
      <w:r w:rsidR="002A526A">
        <w:t xml:space="preserve">[49] = 2.86, </w:t>
      </w:r>
      <w:proofErr w:type="spellStart"/>
      <w:r w:rsidR="002A526A" w:rsidRPr="00241164">
        <w:rPr>
          <w:i/>
          <w:iCs/>
        </w:rPr>
        <w:t>p</w:t>
      </w:r>
      <w:r w:rsidR="002A526A" w:rsidRPr="00241164">
        <w:rPr>
          <w:i/>
          <w:iCs/>
          <w:vertAlign w:val="subscript"/>
        </w:rPr>
        <w:t>adj</w:t>
      </w:r>
      <w:proofErr w:type="spellEnd"/>
      <w:r w:rsidR="002A526A">
        <w:t xml:space="preserve"> = 0.019, </w:t>
      </w:r>
      <w:r w:rsidR="002A526A" w:rsidRPr="00241164">
        <w:rPr>
          <w:i/>
          <w:iCs/>
        </w:rPr>
        <w:t>d</w:t>
      </w:r>
      <w:r w:rsidR="002A526A">
        <w:t xml:space="preserve"> = </w:t>
      </w:r>
      <w:r w:rsidR="002A526A" w:rsidRPr="00172790">
        <w:t>0.</w:t>
      </w:r>
      <w:r w:rsidR="002A526A">
        <w:t>71,</w:t>
      </w:r>
      <w:r w:rsidR="002A526A" w:rsidRPr="00172790">
        <w:t xml:space="preserve"> </w:t>
      </w:r>
      <w:r w:rsidR="002A526A">
        <w:t xml:space="preserve">95% CI </w:t>
      </w:r>
      <w:r w:rsidR="002A526A" w:rsidRPr="00172790">
        <w:t>[0.</w:t>
      </w:r>
      <w:r w:rsidR="002A526A">
        <w:t>20 to</w:t>
      </w:r>
      <w:r w:rsidR="002A526A" w:rsidRPr="00172790">
        <w:t xml:space="preserve"> 1.</w:t>
      </w:r>
      <w:r w:rsidR="002A526A">
        <w:t>21</w:t>
      </w:r>
      <w:r w:rsidR="002A526A" w:rsidRPr="00172790">
        <w:t>]</w:t>
      </w:r>
      <w:r w:rsidR="00852615">
        <w:t>, moderate effect</w:t>
      </w:r>
      <w:r w:rsidR="002A526A">
        <w:t>), whereas the difference between controls and UL-CRPS did not reach statistical significance (</w:t>
      </w:r>
      <w:r w:rsidR="002A526A" w:rsidRPr="00241164">
        <w:rPr>
          <w:i/>
          <w:iCs/>
        </w:rPr>
        <w:t>t</w:t>
      </w:r>
      <w:r w:rsidR="002A526A">
        <w:t>[</w:t>
      </w:r>
      <w:r w:rsidR="002A526A" w:rsidRPr="00996430">
        <w:t>5</w:t>
      </w:r>
      <w:r w:rsidR="002A526A">
        <w:t xml:space="preserve">5] = 1.75, </w:t>
      </w:r>
      <w:proofErr w:type="spellStart"/>
      <w:r w:rsidR="002A526A" w:rsidRPr="00241164">
        <w:rPr>
          <w:i/>
          <w:iCs/>
        </w:rPr>
        <w:t>p</w:t>
      </w:r>
      <w:r w:rsidR="002A526A" w:rsidRPr="00241164">
        <w:rPr>
          <w:i/>
          <w:iCs/>
          <w:vertAlign w:val="subscript"/>
        </w:rPr>
        <w:t>adj</w:t>
      </w:r>
      <w:proofErr w:type="spellEnd"/>
      <w:r w:rsidR="002A526A">
        <w:t xml:space="preserve"> = 0.170, </w:t>
      </w:r>
      <w:r w:rsidR="002A526A" w:rsidRPr="00241164">
        <w:rPr>
          <w:i/>
          <w:iCs/>
        </w:rPr>
        <w:t>d</w:t>
      </w:r>
      <w:r w:rsidR="002A526A">
        <w:t xml:space="preserve"> = </w:t>
      </w:r>
      <w:r w:rsidR="002A526A" w:rsidRPr="00172790">
        <w:t>0.</w:t>
      </w:r>
      <w:r w:rsidR="002A526A">
        <w:t>44,</w:t>
      </w:r>
      <w:r w:rsidR="002A526A" w:rsidRPr="00172790">
        <w:t xml:space="preserve"> </w:t>
      </w:r>
      <w:r w:rsidR="002A526A">
        <w:t xml:space="preserve">95% CI </w:t>
      </w:r>
      <w:r w:rsidR="002A526A" w:rsidRPr="00172790">
        <w:t>[</w:t>
      </w:r>
      <w:r w:rsidR="002A526A">
        <w:t>-0.06 to 0.93</w:t>
      </w:r>
      <w:r w:rsidR="002A526A" w:rsidRPr="00172790">
        <w:t>]</w:t>
      </w:r>
      <w:r w:rsidR="002A526A">
        <w:t>). There was no significant difference between the CRPS groups (</w:t>
      </w:r>
      <w:proofErr w:type="gramStart"/>
      <w:r w:rsidR="002A526A" w:rsidRPr="00241164">
        <w:rPr>
          <w:i/>
          <w:iCs/>
        </w:rPr>
        <w:t>t</w:t>
      </w:r>
      <w:r w:rsidR="002A526A">
        <w:t>[</w:t>
      </w:r>
      <w:proofErr w:type="gramEnd"/>
      <w:r w:rsidR="002A526A">
        <w:t xml:space="preserve">51] = -1.33, </w:t>
      </w:r>
      <w:proofErr w:type="spellStart"/>
      <w:r w:rsidR="002A526A" w:rsidRPr="00241164">
        <w:rPr>
          <w:i/>
          <w:iCs/>
        </w:rPr>
        <w:t>p</w:t>
      </w:r>
      <w:r w:rsidR="002A526A" w:rsidRPr="00241164">
        <w:rPr>
          <w:i/>
          <w:iCs/>
          <w:vertAlign w:val="subscript"/>
        </w:rPr>
        <w:t>adj</w:t>
      </w:r>
      <w:proofErr w:type="spellEnd"/>
      <w:r w:rsidR="002A526A">
        <w:t xml:space="preserve"> = 0.189, </w:t>
      </w:r>
      <w:r w:rsidR="002A526A" w:rsidRPr="00241164">
        <w:rPr>
          <w:i/>
          <w:iCs/>
        </w:rPr>
        <w:t>d</w:t>
      </w:r>
      <w:r w:rsidR="002A526A">
        <w:t xml:space="preserve"> = -0.36,</w:t>
      </w:r>
      <w:r w:rsidR="002A526A" w:rsidRPr="00172790">
        <w:t xml:space="preserve"> </w:t>
      </w:r>
      <w:r w:rsidR="002A526A">
        <w:t xml:space="preserve">95% CI </w:t>
      </w:r>
      <w:r w:rsidR="002A526A" w:rsidRPr="00172790">
        <w:t>[</w:t>
      </w:r>
      <w:r w:rsidR="002A526A">
        <w:t>-</w:t>
      </w:r>
      <w:r w:rsidR="002A526A" w:rsidRPr="00172790">
        <w:t>0.</w:t>
      </w:r>
      <w:r w:rsidR="002A526A">
        <w:t>88</w:t>
      </w:r>
      <w:r w:rsidR="002A526A" w:rsidRPr="00172790">
        <w:t xml:space="preserve">, </w:t>
      </w:r>
      <w:r w:rsidR="002A526A">
        <w:t>0</w:t>
      </w:r>
      <w:r w:rsidR="002A526A" w:rsidRPr="00172790">
        <w:t>.</w:t>
      </w:r>
      <w:r w:rsidR="002A526A">
        <w:t>17</w:t>
      </w:r>
      <w:r w:rsidR="002A526A" w:rsidRPr="00172790">
        <w:t>]</w:t>
      </w:r>
      <w:r w:rsidR="002A526A">
        <w:t>).</w:t>
      </w:r>
    </w:p>
    <w:p w14:paraId="7D10D763" w14:textId="77777777" w:rsidR="001C665E" w:rsidRPr="00B71072" w:rsidRDefault="001C665E" w:rsidP="00B25233"/>
    <w:p w14:paraId="20F9B149" w14:textId="77777777" w:rsidR="00EE0017" w:rsidRPr="007100B9" w:rsidRDefault="00EE0017" w:rsidP="008D1E96">
      <w:pPr>
        <w:pStyle w:val="Heading2"/>
      </w:pPr>
      <w:r w:rsidRPr="007100B9">
        <w:lastRenderedPageBreak/>
        <w:t xml:space="preserve">References </w:t>
      </w:r>
    </w:p>
    <w:p w14:paraId="25D00E82" w14:textId="77777777" w:rsidR="00DA29CB" w:rsidRPr="00DA29CB" w:rsidRDefault="00642BF9" w:rsidP="00A21B54">
      <w:pPr>
        <w:pStyle w:val="Bibliography"/>
        <w:spacing w:line="480" w:lineRule="auto"/>
        <w:rPr>
          <w:rFonts w:cs="Arial"/>
        </w:rPr>
      </w:pPr>
      <w:r w:rsidRPr="007100B9">
        <w:rPr>
          <w:rFonts w:cs="Arial"/>
          <w:color w:val="FF0000"/>
        </w:rPr>
        <w:fldChar w:fldCharType="begin"/>
      </w:r>
      <w:r w:rsidR="00DA29CB">
        <w:rPr>
          <w:rFonts w:cs="Arial"/>
          <w:color w:val="FF0000"/>
        </w:rPr>
        <w:instrText xml:space="preserve"> ADDIN ZOTERO_BIBL {"uncited":[],"omitted":[],"custom":[]} CSL_BIBLIOGRAPHY </w:instrText>
      </w:r>
      <w:r w:rsidRPr="007100B9">
        <w:rPr>
          <w:rFonts w:cs="Arial"/>
          <w:color w:val="FF0000"/>
        </w:rPr>
        <w:fldChar w:fldCharType="separate"/>
      </w:r>
      <w:r w:rsidR="00DA29CB" w:rsidRPr="00DA29CB">
        <w:rPr>
          <w:rFonts w:cs="Arial"/>
        </w:rPr>
        <w:t>1.</w:t>
      </w:r>
      <w:r w:rsidR="00DA29CB" w:rsidRPr="00DA29CB">
        <w:rPr>
          <w:rFonts w:cs="Arial"/>
        </w:rPr>
        <w:tab/>
        <w:t xml:space="preserve">Halicka M, Vittersø AD, Proulx MJ, Bultitude JH. Attention upturned: Bias toward and away from the affected side of the body and near space in a case of complex regional pain syndrome. </w:t>
      </w:r>
      <w:r w:rsidR="00DA29CB" w:rsidRPr="00DA29CB">
        <w:rPr>
          <w:rFonts w:cs="Arial"/>
          <w:i/>
          <w:iCs/>
        </w:rPr>
        <w:t>Neuropsychologia</w:t>
      </w:r>
      <w:r w:rsidR="00DA29CB" w:rsidRPr="00DA29CB">
        <w:rPr>
          <w:rFonts w:cs="Arial"/>
        </w:rPr>
        <w:t>. 2021;163:108079.</w:t>
      </w:r>
    </w:p>
    <w:p w14:paraId="39C94A79" w14:textId="77777777" w:rsidR="00DA29CB" w:rsidRPr="00DA29CB" w:rsidRDefault="00DA29CB" w:rsidP="00A21B54">
      <w:pPr>
        <w:pStyle w:val="Bibliography"/>
        <w:spacing w:line="480" w:lineRule="auto"/>
        <w:rPr>
          <w:rFonts w:cs="Arial"/>
        </w:rPr>
      </w:pPr>
      <w:r w:rsidRPr="00DA29CB">
        <w:rPr>
          <w:rFonts w:cs="Arial"/>
        </w:rPr>
        <w:t>2.</w:t>
      </w:r>
      <w:r w:rsidRPr="00DA29CB">
        <w:rPr>
          <w:rFonts w:cs="Arial"/>
        </w:rPr>
        <w:tab/>
        <w:t xml:space="preserve">Rolke R, Magerl W, Campbell KA, et al. Quantitative sensory testing: a comprehensive protocol for clinical trials. </w:t>
      </w:r>
      <w:r w:rsidRPr="00DA29CB">
        <w:rPr>
          <w:rFonts w:cs="Arial"/>
          <w:i/>
          <w:iCs/>
        </w:rPr>
        <w:t>Eur J Pain</w:t>
      </w:r>
      <w:r w:rsidRPr="00DA29CB">
        <w:rPr>
          <w:rFonts w:cs="Arial"/>
        </w:rPr>
        <w:t>. 2006;10(1):77-77. doi:10.1016/j.ejpain.2005.02.003</w:t>
      </w:r>
    </w:p>
    <w:p w14:paraId="7A3AD51A" w14:textId="77777777" w:rsidR="00DA29CB" w:rsidRPr="00DA29CB" w:rsidRDefault="00DA29CB" w:rsidP="00A21B54">
      <w:pPr>
        <w:pStyle w:val="Bibliography"/>
        <w:spacing w:line="480" w:lineRule="auto"/>
        <w:rPr>
          <w:rFonts w:cs="Arial"/>
        </w:rPr>
      </w:pPr>
      <w:r w:rsidRPr="00DA29CB">
        <w:rPr>
          <w:rFonts w:cs="Arial"/>
        </w:rPr>
        <w:t>3.</w:t>
      </w:r>
      <w:r w:rsidRPr="00DA29CB">
        <w:rPr>
          <w:rFonts w:cs="Arial"/>
        </w:rPr>
        <w:tab/>
        <w:t xml:space="preserve">Bultitude JH, Walker I, Spence C. Space-based bias of covert visual attention in complex regional pain syndrome. </w:t>
      </w:r>
      <w:r w:rsidRPr="00DA29CB">
        <w:rPr>
          <w:rFonts w:cs="Arial"/>
          <w:i/>
          <w:iCs/>
        </w:rPr>
        <w:t>Brain</w:t>
      </w:r>
      <w:r w:rsidRPr="00DA29CB">
        <w:rPr>
          <w:rFonts w:cs="Arial"/>
        </w:rPr>
        <w:t>. 2017;140(9):2306-2321. doi:10.1093/brain/awx152</w:t>
      </w:r>
    </w:p>
    <w:p w14:paraId="3E0E3BC9" w14:textId="77777777" w:rsidR="00DA29CB" w:rsidRPr="00DA29CB" w:rsidRDefault="00DA29CB" w:rsidP="00A21B54">
      <w:pPr>
        <w:pStyle w:val="Bibliography"/>
        <w:spacing w:line="480" w:lineRule="auto"/>
        <w:rPr>
          <w:rFonts w:cs="Arial"/>
        </w:rPr>
      </w:pPr>
      <w:r w:rsidRPr="00DA29CB">
        <w:rPr>
          <w:rFonts w:cs="Arial"/>
        </w:rPr>
        <w:t>4.</w:t>
      </w:r>
      <w:r w:rsidRPr="00DA29CB">
        <w:rPr>
          <w:rFonts w:cs="Arial"/>
        </w:rPr>
        <w:tab/>
        <w:t xml:space="preserve">Filbrich L, Kuzminova A, Molitor V, et al. Characterizing biased visuospatial perception in complex regional pain syndrome. </w:t>
      </w:r>
      <w:r w:rsidRPr="00DA29CB">
        <w:rPr>
          <w:rFonts w:cs="Arial"/>
          <w:i/>
          <w:iCs/>
        </w:rPr>
        <w:t>Eur J Pain</w:t>
      </w:r>
      <w:r w:rsidRPr="00DA29CB">
        <w:rPr>
          <w:rFonts w:cs="Arial"/>
        </w:rPr>
        <w:t>. Published online 2023.</w:t>
      </w:r>
    </w:p>
    <w:p w14:paraId="431852E1" w14:textId="77777777" w:rsidR="00DA29CB" w:rsidRPr="00DA29CB" w:rsidRDefault="00DA29CB" w:rsidP="00A21B54">
      <w:pPr>
        <w:pStyle w:val="Bibliography"/>
        <w:spacing w:line="480" w:lineRule="auto"/>
        <w:rPr>
          <w:rFonts w:cs="Arial"/>
        </w:rPr>
      </w:pPr>
      <w:r w:rsidRPr="00DA29CB">
        <w:rPr>
          <w:rFonts w:cs="Arial"/>
        </w:rPr>
        <w:t>5.</w:t>
      </w:r>
      <w:r w:rsidRPr="00DA29CB">
        <w:rPr>
          <w:rFonts w:cs="Arial"/>
        </w:rPr>
        <w:tab/>
        <w:t xml:space="preserve">Allik J, Kreegipuu K. Multiple Visual Latency. </w:t>
      </w:r>
      <w:r w:rsidRPr="00DA29CB">
        <w:rPr>
          <w:rFonts w:cs="Arial"/>
          <w:i/>
          <w:iCs/>
        </w:rPr>
        <w:t>Psychol Sci</w:t>
      </w:r>
      <w:r w:rsidRPr="00DA29CB">
        <w:rPr>
          <w:rFonts w:cs="Arial"/>
        </w:rPr>
        <w:t>. 1998;9(2):135-138. doi:10.1111/1467-9280.00025</w:t>
      </w:r>
    </w:p>
    <w:p w14:paraId="173058CF" w14:textId="77777777" w:rsidR="00DA29CB" w:rsidRPr="00DA29CB" w:rsidRDefault="00DA29CB" w:rsidP="00A21B54">
      <w:pPr>
        <w:pStyle w:val="Bibliography"/>
        <w:spacing w:line="480" w:lineRule="auto"/>
        <w:rPr>
          <w:rFonts w:cs="Arial"/>
        </w:rPr>
      </w:pPr>
      <w:r w:rsidRPr="00DA29CB">
        <w:rPr>
          <w:rFonts w:cs="Arial"/>
        </w:rPr>
        <w:t>6.</w:t>
      </w:r>
      <w:r w:rsidRPr="00DA29CB">
        <w:rPr>
          <w:rFonts w:cs="Arial"/>
        </w:rPr>
        <w:tab/>
        <w:t xml:space="preserve">Westheimer G, McKee SP. Perception of temporal order in adjacent visual stimuli. </w:t>
      </w:r>
      <w:r w:rsidRPr="00DA29CB">
        <w:rPr>
          <w:rFonts w:cs="Arial"/>
          <w:i/>
          <w:iCs/>
        </w:rPr>
        <w:t>Vision Res</w:t>
      </w:r>
      <w:r w:rsidRPr="00DA29CB">
        <w:rPr>
          <w:rFonts w:cs="Arial"/>
        </w:rPr>
        <w:t>. 1977;17(8):887-892. doi:10.1016/0042-6989(77)90062-1</w:t>
      </w:r>
    </w:p>
    <w:p w14:paraId="34CBB339" w14:textId="77777777" w:rsidR="00DA29CB" w:rsidRPr="00DA29CB" w:rsidRDefault="00DA29CB" w:rsidP="00A21B54">
      <w:pPr>
        <w:pStyle w:val="Bibliography"/>
        <w:spacing w:line="480" w:lineRule="auto"/>
        <w:rPr>
          <w:rFonts w:cs="Arial"/>
        </w:rPr>
      </w:pPr>
      <w:r w:rsidRPr="00DA29CB">
        <w:rPr>
          <w:rFonts w:cs="Arial"/>
        </w:rPr>
        <w:t>7.</w:t>
      </w:r>
      <w:r w:rsidRPr="00DA29CB">
        <w:rPr>
          <w:rFonts w:cs="Arial"/>
        </w:rPr>
        <w:tab/>
        <w:t xml:space="preserve">Strybel TZ, Manligas CL, Chan O, Perrott DR. A comparison of the effects of spatial separation on apparent motion in the auditory and visual modalities. </w:t>
      </w:r>
      <w:r w:rsidRPr="00DA29CB">
        <w:rPr>
          <w:rFonts w:cs="Arial"/>
          <w:i/>
          <w:iCs/>
        </w:rPr>
        <w:t>Percept Psychophys</w:t>
      </w:r>
      <w:r w:rsidRPr="00DA29CB">
        <w:rPr>
          <w:rFonts w:cs="Arial"/>
        </w:rPr>
        <w:t>. 1990;47(5):439-448. doi:10.3758/BF03208177</w:t>
      </w:r>
    </w:p>
    <w:p w14:paraId="2D19A1A3" w14:textId="029F0DFE" w:rsidR="00642BF9" w:rsidRPr="007100B9" w:rsidRDefault="00642BF9" w:rsidP="00284F01">
      <w:pPr>
        <w:widowControl w:val="0"/>
        <w:ind w:right="4"/>
        <w:rPr>
          <w:rFonts w:cs="Arial"/>
          <w:color w:val="FF0000"/>
        </w:rPr>
      </w:pPr>
      <w:r w:rsidRPr="007100B9">
        <w:rPr>
          <w:rFonts w:cs="Arial"/>
          <w:color w:val="FF0000"/>
        </w:rPr>
        <w:fldChar w:fldCharType="end"/>
      </w:r>
    </w:p>
    <w:p w14:paraId="6034BD98" w14:textId="3B120FD7" w:rsidR="00EE0017" w:rsidRPr="007100B9" w:rsidRDefault="00EE0017" w:rsidP="00594028">
      <w:pPr>
        <w:widowControl w:val="0"/>
        <w:rPr>
          <w:rFonts w:cs="Arial"/>
          <w:szCs w:val="20"/>
        </w:rPr>
      </w:pPr>
    </w:p>
    <w:p w14:paraId="625A4E8D" w14:textId="77777777" w:rsidR="000B2BC9" w:rsidRPr="007100B9" w:rsidRDefault="000B2BC9" w:rsidP="00EE0017">
      <w:pPr>
        <w:widowControl w:val="0"/>
        <w:rPr>
          <w:rFonts w:cs="Arial"/>
          <w:b/>
          <w:bCs/>
        </w:rPr>
      </w:pPr>
    </w:p>
    <w:p w14:paraId="500C320F" w14:textId="745BFEB0" w:rsidR="00EE0017" w:rsidRPr="007100B9" w:rsidRDefault="00EE0017" w:rsidP="00EE0017">
      <w:pPr>
        <w:widowControl w:val="0"/>
      </w:pPr>
    </w:p>
    <w:p w14:paraId="7EE94815" w14:textId="39F1FE5C" w:rsidR="00FF6EA8" w:rsidRPr="007100B9" w:rsidRDefault="00FF6EA8" w:rsidP="00EE0017"/>
    <w:sectPr w:rsidR="00FF6EA8" w:rsidRPr="007100B9" w:rsidSect="00171519">
      <w:footerReference w:type="even" r:id="rId13"/>
      <w:footerReference w:type="default" r:id="rId14"/>
      <w:footerReference w:type="first" r:id="rId15"/>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F14C2B" w14:textId="77777777" w:rsidR="00BA012A" w:rsidRDefault="00BA012A">
      <w:r>
        <w:separator/>
      </w:r>
    </w:p>
  </w:endnote>
  <w:endnote w:type="continuationSeparator" w:id="0">
    <w:p w14:paraId="220C91EF" w14:textId="77777777" w:rsidR="00BA012A" w:rsidRDefault="00BA0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Rockwell">
    <w:panose1 w:val="02060603020205020403"/>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89816" w14:textId="77777777" w:rsidR="006C5368" w:rsidRDefault="006C5368" w:rsidP="00FF26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CAF2E2E" w14:textId="77777777" w:rsidR="006C5368" w:rsidRDefault="006C53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767A7" w14:textId="1B9C80DB" w:rsidR="006C5368" w:rsidRDefault="00340737" w:rsidP="00FF2660">
    <w:pPr>
      <w:pStyle w:val="Footer"/>
      <w:framePr w:wrap="around" w:vAnchor="text" w:hAnchor="margin" w:xAlign="center" w:y="1"/>
      <w:rPr>
        <w:rStyle w:val="PageNumber"/>
      </w:rPr>
    </w:pPr>
    <w:r>
      <w:rPr>
        <w:noProof/>
      </w:rPr>
      <mc:AlternateContent>
        <mc:Choice Requires="wps">
          <w:drawing>
            <wp:anchor distT="0" distB="0" distL="114300" distR="114300" simplePos="0" relativeHeight="251657216" behindDoc="0" locked="0" layoutInCell="0" allowOverlap="1" wp14:anchorId="7AB8E50F" wp14:editId="3FBEF3D1">
              <wp:simplePos x="0" y="0"/>
              <wp:positionH relativeFrom="page">
                <wp:posOffset>0</wp:posOffset>
              </wp:positionH>
              <wp:positionV relativeFrom="page">
                <wp:posOffset>9603740</wp:posOffset>
              </wp:positionV>
              <wp:extent cx="7772400" cy="264160"/>
              <wp:effectExtent l="0" t="2540" r="0" b="0"/>
              <wp:wrapNone/>
              <wp:docPr id="2" name="MSIPCM8ef54de2a7a4d03c423a990a" descr="{&quot;HashCode&quot;:-1348403003,&quot;Height&quot;:792.0,&quot;Width&quot;:612.0,&quot;Placement&quot;:&quot;Foot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BE7705" w14:textId="11E8F27B"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7AB8E50F" id="_x0000_t202" coordsize="21600,21600" o:spt="202" path="m,l,21600r21600,l21600,xe">
              <v:stroke joinstyle="miter"/>
              <v:path gradientshapeok="t" o:connecttype="rect"/>
            </v:shapetype>
            <v:shape id="MSIPCM8ef54de2a7a4d03c423a990a" o:spid="_x0000_s1026" type="#_x0000_t202" alt="{&quot;HashCode&quot;:-1348403003,&quot;Height&quot;:792.0,&quot;Width&quot;:612.0,&quot;Placement&quot;:&quot;Footer&quot;,&quot;Index&quot;:&quot;Primary&quot;,&quot;Section&quot;:1,&quot;Top&quot;:0.0,&quot;Left&quot;:0.0}" style="position:absolute;margin-left:0;margin-top:756.2pt;width:612pt;height:20.8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" o:allowincell="f" filled="f" stroked="f">
              <v:textbox inset="20pt,0,,0">
                <w:txbxContent>
                  <w:p w14:paraId="5CBE7705" w14:textId="11E8F27B"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v:textbox>
              <w10:wrap anchorx="page" anchory="page"/>
            </v:shape>
          </w:pict>
        </mc:Fallback>
      </mc:AlternateContent>
    </w:r>
    <w:r w:rsidR="006C5368">
      <w:rPr>
        <w:rStyle w:val="PageNumber"/>
      </w:rPr>
      <w:fldChar w:fldCharType="begin"/>
    </w:r>
    <w:r w:rsidR="006C5368">
      <w:rPr>
        <w:rStyle w:val="PageNumber"/>
      </w:rPr>
      <w:instrText xml:space="preserve">PAGE  </w:instrText>
    </w:r>
    <w:r w:rsidR="006C5368">
      <w:rPr>
        <w:rStyle w:val="PageNumber"/>
      </w:rPr>
      <w:fldChar w:fldCharType="separate"/>
    </w:r>
    <w:r w:rsidR="00C94612">
      <w:rPr>
        <w:rStyle w:val="PageNumber"/>
        <w:noProof/>
      </w:rPr>
      <w:t>5</w:t>
    </w:r>
    <w:r w:rsidR="006C5368">
      <w:rPr>
        <w:rStyle w:val="PageNumber"/>
      </w:rPr>
      <w:fldChar w:fldCharType="end"/>
    </w:r>
  </w:p>
  <w:p w14:paraId="57E037CD" w14:textId="77777777" w:rsidR="006C5368" w:rsidRDefault="006C53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9367" w14:textId="4DDB75EE" w:rsidR="00740F67" w:rsidRDefault="00340737">
    <w:pPr>
      <w:pStyle w:val="Footer"/>
    </w:pPr>
    <w:r>
      <w:rPr>
        <w:noProof/>
      </w:rPr>
      <mc:AlternateContent>
        <mc:Choice Requires="wps">
          <w:drawing>
            <wp:anchor distT="0" distB="0" distL="114300" distR="114300" simplePos="0" relativeHeight="251658240" behindDoc="0" locked="0" layoutInCell="0" allowOverlap="1" wp14:anchorId="2D742D44" wp14:editId="626B6A57">
              <wp:simplePos x="0" y="0"/>
              <wp:positionH relativeFrom="page">
                <wp:posOffset>0</wp:posOffset>
              </wp:positionH>
              <wp:positionV relativeFrom="page">
                <wp:posOffset>9603740</wp:posOffset>
              </wp:positionV>
              <wp:extent cx="7772400" cy="264160"/>
              <wp:effectExtent l="0" t="2540" r="0" b="0"/>
              <wp:wrapNone/>
              <wp:docPr id="1" name="MSIPCM71df4afb82ef22201046dfa6" descr="{&quot;HashCode&quot;:-1348403003,&quot;Height&quot;:792.0,&quot;Width&quot;:612.0,&quot;Placement&quot;:&quot;Foot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64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858B6" w14:textId="2F40394D"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wps:txbx>
                    <wps:bodyPr rot="0" vert="horz" wrap="square" lIns="254000" tIns="0" rIns="91440" bIns="0" anchor="b" anchorCtr="0" upright="1">
                      <a:noAutofit/>
                    </wps:bodyPr>
                  </wps:wsp>
                </a:graphicData>
              </a:graphic>
              <wp14:sizeRelH relativeFrom="page">
                <wp14:pctWidth>0</wp14:pctWidth>
              </wp14:sizeRelH>
              <wp14:sizeRelV relativeFrom="page">
                <wp14:pctHeight>0</wp14:pctHeight>
              </wp14:sizeRelV>
            </wp:anchor>
          </w:drawing>
        </mc:Choice>
        <mc:Fallback>
          <w:pict>
            <v:shapetype w14:anchorId="2D742D44" id="_x0000_t202" coordsize="21600,21600" o:spt="202" path="m,l,21600r21600,l21600,xe">
              <v:stroke joinstyle="miter"/>
              <v:path gradientshapeok="t" o:connecttype="rect"/>
            </v:shapetype>
            <v:shape id="MSIPCM71df4afb82ef22201046dfa6" o:spid="_x0000_s1027" type="#_x0000_t202" alt="{&quot;HashCode&quot;:-1348403003,&quot;Height&quot;:792.0,&quot;Width&quot;:612.0,&quot;Placement&quot;:&quot;Footer&quot;,&quot;Index&quot;:&quot;FirstPage&quot;,&quot;Section&quot;:1,&quot;Top&quot;:0.0,&quot;Left&quot;:0.0}" style="position:absolute;margin-left:0;margin-top:756.2pt;width:612pt;height:20.8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" o:allowincell="f" filled="f" stroked="f">
              <v:textbox inset="20pt,0,,0">
                <w:txbxContent>
                  <w:p w14:paraId="640858B6" w14:textId="2F40394D" w:rsidR="00740F67" w:rsidRPr="00740F67" w:rsidRDefault="00740F67" w:rsidP="00740F67">
                    <w:pPr>
                      <w:rPr>
                        <w:rFonts w:ascii="Rockwell" w:hAnsi="Rockwell"/>
                        <w:color w:val="0078D7"/>
                        <w:sz w:val="18"/>
                      </w:rPr>
                    </w:pPr>
                    <w:r w:rsidRPr="00740F67">
                      <w:rPr>
                        <w:rFonts w:ascii="Rockwell" w:hAnsi="Rockwell"/>
                        <w:color w:val="0078D7"/>
                        <w:sz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D87860" w14:textId="77777777" w:rsidR="00BA012A" w:rsidRDefault="00BA012A">
      <w:r>
        <w:separator/>
      </w:r>
    </w:p>
  </w:footnote>
  <w:footnote w:type="continuationSeparator" w:id="0">
    <w:p w14:paraId="07D39E7D" w14:textId="77777777" w:rsidR="00BA012A" w:rsidRDefault="00BA012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86DC8"/>
    <w:multiLevelType w:val="hybridMultilevel"/>
    <w:tmpl w:val="A3EC0ED2"/>
    <w:lvl w:ilvl="0" w:tplc="D620375E">
      <w:numFmt w:val="bullet"/>
      <w:lvlText w:val="-"/>
      <w:lvlJc w:val="left"/>
      <w:pPr>
        <w:ind w:left="460" w:hanging="360"/>
      </w:pPr>
      <w:rPr>
        <w:rFonts w:ascii="Calibri" w:eastAsiaTheme="minorHAnsi" w:hAnsi="Calibri" w:cstheme="minorBid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 w15:restartNumberingAfterBreak="0">
    <w:nsid w:val="25364F44"/>
    <w:multiLevelType w:val="hybridMultilevel"/>
    <w:tmpl w:val="4BBE4F7C"/>
    <w:lvl w:ilvl="0" w:tplc="D620375E">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7AE03DA"/>
    <w:multiLevelType w:val="hybridMultilevel"/>
    <w:tmpl w:val="6DC0C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C6603A"/>
    <w:multiLevelType w:val="hybridMultilevel"/>
    <w:tmpl w:val="A1A4AB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41D96842"/>
    <w:multiLevelType w:val="hybridMultilevel"/>
    <w:tmpl w:val="37B8F894"/>
    <w:lvl w:ilvl="0" w:tplc="DEAC301E">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2440B8E"/>
    <w:multiLevelType w:val="multilevel"/>
    <w:tmpl w:val="5F303E74"/>
    <w:lvl w:ilvl="0">
      <w:start w:val="1"/>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69617AF9"/>
    <w:multiLevelType w:val="hybridMultilevel"/>
    <w:tmpl w:val="DF0C7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5521476"/>
    <w:multiLevelType w:val="hybridMultilevel"/>
    <w:tmpl w:val="3F6C727A"/>
    <w:lvl w:ilvl="0" w:tplc="2F30AAA6">
      <w:start w:val="1"/>
      <w:numFmt w:val="decimal"/>
      <w:lvlText w:val="%1."/>
      <w:lvlJc w:val="left"/>
      <w:pPr>
        <w:tabs>
          <w:tab w:val="num" w:pos="720"/>
        </w:tabs>
        <w:ind w:left="720" w:hanging="360"/>
      </w:pPr>
      <w:rPr>
        <w:rFonts w:hint="default"/>
        <w:b w:val="0"/>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27196610">
    <w:abstractNumId w:val="3"/>
  </w:num>
  <w:num w:numId="2" w16cid:durableId="1783375489">
    <w:abstractNumId w:val="4"/>
  </w:num>
  <w:num w:numId="3" w16cid:durableId="1715083458">
    <w:abstractNumId w:val="7"/>
  </w:num>
  <w:num w:numId="4" w16cid:durableId="1269772247">
    <w:abstractNumId w:val="5"/>
  </w:num>
  <w:num w:numId="5" w16cid:durableId="1357924662">
    <w:abstractNumId w:val="2"/>
  </w:num>
  <w:num w:numId="6" w16cid:durableId="115369988">
    <w:abstractNumId w:val="6"/>
  </w:num>
  <w:num w:numId="7" w16cid:durableId="1593122475">
    <w:abstractNumId w:val="0"/>
  </w:num>
  <w:num w:numId="8" w16cid:durableId="190980245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EN.InstantFormat" w:val="&lt;ENInstantFormat&gt;&lt;Enabled&gt;1&lt;/Enabled&gt;&lt;ScanUnformatted&gt;1&lt;/ScanUnformatted&gt;&lt;ScanChanges&gt;1&lt;/ScanChanges&gt;&lt;Suspended&gt;1&lt;/Suspended&gt;&lt;/ENInstantFormat&gt;"/>
    <w:docVar w:name="EN.Libraries" w:val="&lt;ENLibraries&gt;&lt;Libraries&gt;&lt;item&gt;Contraceptives Implantable-Converted.enl&lt;/item&gt;&lt;/Libraries&gt;&lt;/ENLibraries&gt;"/>
  </w:docVars>
  <w:rsids>
    <w:rsidRoot w:val="00B30BC3"/>
    <w:rsid w:val="00006E2A"/>
    <w:rsid w:val="0000717F"/>
    <w:rsid w:val="00007CD5"/>
    <w:rsid w:val="00007EA2"/>
    <w:rsid w:val="000160BE"/>
    <w:rsid w:val="00020ADD"/>
    <w:rsid w:val="00030A88"/>
    <w:rsid w:val="00031014"/>
    <w:rsid w:val="000333EF"/>
    <w:rsid w:val="00033695"/>
    <w:rsid w:val="000342A0"/>
    <w:rsid w:val="00035CCC"/>
    <w:rsid w:val="00043C1E"/>
    <w:rsid w:val="00045385"/>
    <w:rsid w:val="0005191F"/>
    <w:rsid w:val="0005257A"/>
    <w:rsid w:val="00053046"/>
    <w:rsid w:val="00054361"/>
    <w:rsid w:val="00056F2E"/>
    <w:rsid w:val="00062025"/>
    <w:rsid w:val="00062713"/>
    <w:rsid w:val="00064E9C"/>
    <w:rsid w:val="00065B78"/>
    <w:rsid w:val="00065DD8"/>
    <w:rsid w:val="000666AF"/>
    <w:rsid w:val="0007252D"/>
    <w:rsid w:val="00073F66"/>
    <w:rsid w:val="00081EE1"/>
    <w:rsid w:val="0008401B"/>
    <w:rsid w:val="00087F9B"/>
    <w:rsid w:val="00090288"/>
    <w:rsid w:val="000A241F"/>
    <w:rsid w:val="000A4388"/>
    <w:rsid w:val="000A4B58"/>
    <w:rsid w:val="000A6C49"/>
    <w:rsid w:val="000A7D92"/>
    <w:rsid w:val="000B2BC9"/>
    <w:rsid w:val="000B32A5"/>
    <w:rsid w:val="000B4C55"/>
    <w:rsid w:val="000C16C9"/>
    <w:rsid w:val="000C2111"/>
    <w:rsid w:val="000C2A1E"/>
    <w:rsid w:val="000C44DE"/>
    <w:rsid w:val="000C59ED"/>
    <w:rsid w:val="000C7C69"/>
    <w:rsid w:val="000D033A"/>
    <w:rsid w:val="000D1FB1"/>
    <w:rsid w:val="000D3B64"/>
    <w:rsid w:val="000D3E37"/>
    <w:rsid w:val="000D6F9B"/>
    <w:rsid w:val="000E6B48"/>
    <w:rsid w:val="000E7758"/>
    <w:rsid w:val="000F292C"/>
    <w:rsid w:val="000F3427"/>
    <w:rsid w:val="000F5651"/>
    <w:rsid w:val="000F61C1"/>
    <w:rsid w:val="00100927"/>
    <w:rsid w:val="00107048"/>
    <w:rsid w:val="00107A2C"/>
    <w:rsid w:val="0011039E"/>
    <w:rsid w:val="00115570"/>
    <w:rsid w:val="00117777"/>
    <w:rsid w:val="00117D43"/>
    <w:rsid w:val="00123FCF"/>
    <w:rsid w:val="00127CD5"/>
    <w:rsid w:val="001300C6"/>
    <w:rsid w:val="00131EB0"/>
    <w:rsid w:val="001342EB"/>
    <w:rsid w:val="00134DDE"/>
    <w:rsid w:val="00135280"/>
    <w:rsid w:val="00136AA7"/>
    <w:rsid w:val="00140BE7"/>
    <w:rsid w:val="00146BCB"/>
    <w:rsid w:val="0015420A"/>
    <w:rsid w:val="00162C14"/>
    <w:rsid w:val="00163E3B"/>
    <w:rsid w:val="00164D31"/>
    <w:rsid w:val="0017004E"/>
    <w:rsid w:val="00170098"/>
    <w:rsid w:val="00170F20"/>
    <w:rsid w:val="00171519"/>
    <w:rsid w:val="00173279"/>
    <w:rsid w:val="001808E1"/>
    <w:rsid w:val="00183824"/>
    <w:rsid w:val="00185790"/>
    <w:rsid w:val="00185C52"/>
    <w:rsid w:val="00191F49"/>
    <w:rsid w:val="00192B1E"/>
    <w:rsid w:val="001960C5"/>
    <w:rsid w:val="00196532"/>
    <w:rsid w:val="00197521"/>
    <w:rsid w:val="001A073E"/>
    <w:rsid w:val="001A2E95"/>
    <w:rsid w:val="001B157F"/>
    <w:rsid w:val="001B4888"/>
    <w:rsid w:val="001C33F1"/>
    <w:rsid w:val="001C665E"/>
    <w:rsid w:val="001D3B80"/>
    <w:rsid w:val="001E0A7F"/>
    <w:rsid w:val="001E7479"/>
    <w:rsid w:val="001F2D51"/>
    <w:rsid w:val="001F7C2C"/>
    <w:rsid w:val="00203209"/>
    <w:rsid w:val="00204079"/>
    <w:rsid w:val="00213B90"/>
    <w:rsid w:val="00217D65"/>
    <w:rsid w:val="002238C1"/>
    <w:rsid w:val="002252FE"/>
    <w:rsid w:val="0022632E"/>
    <w:rsid w:val="00226D5E"/>
    <w:rsid w:val="00231D84"/>
    <w:rsid w:val="00234AB4"/>
    <w:rsid w:val="00234C32"/>
    <w:rsid w:val="00237001"/>
    <w:rsid w:val="00240E76"/>
    <w:rsid w:val="00246A32"/>
    <w:rsid w:val="00251FF6"/>
    <w:rsid w:val="0025344A"/>
    <w:rsid w:val="0026410B"/>
    <w:rsid w:val="0026771F"/>
    <w:rsid w:val="00267C46"/>
    <w:rsid w:val="00270A96"/>
    <w:rsid w:val="0027239C"/>
    <w:rsid w:val="00272487"/>
    <w:rsid w:val="00276CA2"/>
    <w:rsid w:val="0028115F"/>
    <w:rsid w:val="00284F01"/>
    <w:rsid w:val="00285503"/>
    <w:rsid w:val="00286E82"/>
    <w:rsid w:val="002870E8"/>
    <w:rsid w:val="00292465"/>
    <w:rsid w:val="00294CB0"/>
    <w:rsid w:val="0029509B"/>
    <w:rsid w:val="002A21FA"/>
    <w:rsid w:val="002A2D9E"/>
    <w:rsid w:val="002A526A"/>
    <w:rsid w:val="002C00EA"/>
    <w:rsid w:val="002C59B4"/>
    <w:rsid w:val="002D1363"/>
    <w:rsid w:val="002D1A3E"/>
    <w:rsid w:val="002D1B0D"/>
    <w:rsid w:val="002D52F9"/>
    <w:rsid w:val="002D7367"/>
    <w:rsid w:val="002E1361"/>
    <w:rsid w:val="002E1965"/>
    <w:rsid w:val="002E5195"/>
    <w:rsid w:val="002F3C04"/>
    <w:rsid w:val="002F4012"/>
    <w:rsid w:val="003002D7"/>
    <w:rsid w:val="00300D81"/>
    <w:rsid w:val="00301882"/>
    <w:rsid w:val="0030533B"/>
    <w:rsid w:val="00306680"/>
    <w:rsid w:val="003151EB"/>
    <w:rsid w:val="003155A1"/>
    <w:rsid w:val="00317C2A"/>
    <w:rsid w:val="00320521"/>
    <w:rsid w:val="00320F44"/>
    <w:rsid w:val="00324666"/>
    <w:rsid w:val="003266D2"/>
    <w:rsid w:val="00327143"/>
    <w:rsid w:val="00330507"/>
    <w:rsid w:val="00336A98"/>
    <w:rsid w:val="00340737"/>
    <w:rsid w:val="00340D8E"/>
    <w:rsid w:val="00341D9B"/>
    <w:rsid w:val="003462BC"/>
    <w:rsid w:val="00351D2B"/>
    <w:rsid w:val="00352DD0"/>
    <w:rsid w:val="003563B5"/>
    <w:rsid w:val="00364B28"/>
    <w:rsid w:val="0037212B"/>
    <w:rsid w:val="00377E52"/>
    <w:rsid w:val="0038118C"/>
    <w:rsid w:val="00384A12"/>
    <w:rsid w:val="00384B33"/>
    <w:rsid w:val="0038573C"/>
    <w:rsid w:val="0038598C"/>
    <w:rsid w:val="00387A99"/>
    <w:rsid w:val="0039041E"/>
    <w:rsid w:val="003917BF"/>
    <w:rsid w:val="00391A20"/>
    <w:rsid w:val="00391E9D"/>
    <w:rsid w:val="003948EC"/>
    <w:rsid w:val="003A23D7"/>
    <w:rsid w:val="003A6F39"/>
    <w:rsid w:val="003B2E1A"/>
    <w:rsid w:val="003B3F68"/>
    <w:rsid w:val="003B4083"/>
    <w:rsid w:val="003C0DD3"/>
    <w:rsid w:val="003C1744"/>
    <w:rsid w:val="003C3A93"/>
    <w:rsid w:val="003D69BD"/>
    <w:rsid w:val="0040408D"/>
    <w:rsid w:val="00405E37"/>
    <w:rsid w:val="004065A0"/>
    <w:rsid w:val="00410570"/>
    <w:rsid w:val="00411796"/>
    <w:rsid w:val="004137DA"/>
    <w:rsid w:val="0041565B"/>
    <w:rsid w:val="0042146E"/>
    <w:rsid w:val="00427C3B"/>
    <w:rsid w:val="0043025D"/>
    <w:rsid w:val="00430FA1"/>
    <w:rsid w:val="004311BF"/>
    <w:rsid w:val="00431388"/>
    <w:rsid w:val="00431A22"/>
    <w:rsid w:val="00431D86"/>
    <w:rsid w:val="00442DFA"/>
    <w:rsid w:val="00447734"/>
    <w:rsid w:val="004501A3"/>
    <w:rsid w:val="00460E61"/>
    <w:rsid w:val="0047187C"/>
    <w:rsid w:val="004728BE"/>
    <w:rsid w:val="00473BF1"/>
    <w:rsid w:val="004754C9"/>
    <w:rsid w:val="00481F24"/>
    <w:rsid w:val="00492D38"/>
    <w:rsid w:val="004946AE"/>
    <w:rsid w:val="004A069E"/>
    <w:rsid w:val="004A6ABD"/>
    <w:rsid w:val="004A75CA"/>
    <w:rsid w:val="004A78E0"/>
    <w:rsid w:val="004B0123"/>
    <w:rsid w:val="004B52C5"/>
    <w:rsid w:val="004B69E1"/>
    <w:rsid w:val="004C08C1"/>
    <w:rsid w:val="004C5089"/>
    <w:rsid w:val="004C5313"/>
    <w:rsid w:val="004C5DB2"/>
    <w:rsid w:val="004D7865"/>
    <w:rsid w:val="004E0368"/>
    <w:rsid w:val="004E1ACD"/>
    <w:rsid w:val="004E2F6D"/>
    <w:rsid w:val="004E782D"/>
    <w:rsid w:val="004F0DDF"/>
    <w:rsid w:val="00500C43"/>
    <w:rsid w:val="005040B0"/>
    <w:rsid w:val="005055A0"/>
    <w:rsid w:val="0050753F"/>
    <w:rsid w:val="00511DB2"/>
    <w:rsid w:val="00516359"/>
    <w:rsid w:val="00530B70"/>
    <w:rsid w:val="00533661"/>
    <w:rsid w:val="00544DA8"/>
    <w:rsid w:val="00544F38"/>
    <w:rsid w:val="00553800"/>
    <w:rsid w:val="00555742"/>
    <w:rsid w:val="00556F09"/>
    <w:rsid w:val="00565970"/>
    <w:rsid w:val="005670F1"/>
    <w:rsid w:val="00571E90"/>
    <w:rsid w:val="0057203F"/>
    <w:rsid w:val="00594028"/>
    <w:rsid w:val="00595AF1"/>
    <w:rsid w:val="005A233B"/>
    <w:rsid w:val="005A3A4D"/>
    <w:rsid w:val="005A6431"/>
    <w:rsid w:val="005B0BCD"/>
    <w:rsid w:val="005B2F5A"/>
    <w:rsid w:val="005C4931"/>
    <w:rsid w:val="005E1ECB"/>
    <w:rsid w:val="005E2A53"/>
    <w:rsid w:val="005E2D8C"/>
    <w:rsid w:val="005E4BD8"/>
    <w:rsid w:val="005E5038"/>
    <w:rsid w:val="005E511B"/>
    <w:rsid w:val="0060046C"/>
    <w:rsid w:val="00600B5C"/>
    <w:rsid w:val="006020DC"/>
    <w:rsid w:val="0060400B"/>
    <w:rsid w:val="006066FF"/>
    <w:rsid w:val="00611C5F"/>
    <w:rsid w:val="006128D8"/>
    <w:rsid w:val="00616A5D"/>
    <w:rsid w:val="00617201"/>
    <w:rsid w:val="0062140C"/>
    <w:rsid w:val="00631222"/>
    <w:rsid w:val="00631E46"/>
    <w:rsid w:val="00637269"/>
    <w:rsid w:val="00637408"/>
    <w:rsid w:val="00642BF9"/>
    <w:rsid w:val="00646B35"/>
    <w:rsid w:val="00646CF0"/>
    <w:rsid w:val="0064717C"/>
    <w:rsid w:val="00647709"/>
    <w:rsid w:val="006558B2"/>
    <w:rsid w:val="00661C2D"/>
    <w:rsid w:val="00662E52"/>
    <w:rsid w:val="00664525"/>
    <w:rsid w:val="006647A9"/>
    <w:rsid w:val="00664B69"/>
    <w:rsid w:val="00667BDF"/>
    <w:rsid w:val="006765A3"/>
    <w:rsid w:val="00676D69"/>
    <w:rsid w:val="00680193"/>
    <w:rsid w:val="00685DE4"/>
    <w:rsid w:val="00690470"/>
    <w:rsid w:val="006930B5"/>
    <w:rsid w:val="0069556D"/>
    <w:rsid w:val="006972BB"/>
    <w:rsid w:val="006A6B94"/>
    <w:rsid w:val="006B609C"/>
    <w:rsid w:val="006B6B75"/>
    <w:rsid w:val="006C31D3"/>
    <w:rsid w:val="006C5368"/>
    <w:rsid w:val="006C58F2"/>
    <w:rsid w:val="006C6284"/>
    <w:rsid w:val="006C67D5"/>
    <w:rsid w:val="006C6E88"/>
    <w:rsid w:val="006C7BD5"/>
    <w:rsid w:val="006D0474"/>
    <w:rsid w:val="006D142F"/>
    <w:rsid w:val="006D2635"/>
    <w:rsid w:val="006D4AC5"/>
    <w:rsid w:val="006D64F6"/>
    <w:rsid w:val="006E30F3"/>
    <w:rsid w:val="006E63C1"/>
    <w:rsid w:val="006E7713"/>
    <w:rsid w:val="00700BA4"/>
    <w:rsid w:val="007100B9"/>
    <w:rsid w:val="00711171"/>
    <w:rsid w:val="00712D24"/>
    <w:rsid w:val="00713A89"/>
    <w:rsid w:val="00723455"/>
    <w:rsid w:val="007265D3"/>
    <w:rsid w:val="0073006B"/>
    <w:rsid w:val="00731E45"/>
    <w:rsid w:val="00736B3C"/>
    <w:rsid w:val="00740F67"/>
    <w:rsid w:val="007452B6"/>
    <w:rsid w:val="00745C2A"/>
    <w:rsid w:val="00750164"/>
    <w:rsid w:val="00753E6B"/>
    <w:rsid w:val="0076174F"/>
    <w:rsid w:val="00763DBE"/>
    <w:rsid w:val="00764C23"/>
    <w:rsid w:val="007748CB"/>
    <w:rsid w:val="00776A7C"/>
    <w:rsid w:val="00780A29"/>
    <w:rsid w:val="007900DA"/>
    <w:rsid w:val="007A1BDB"/>
    <w:rsid w:val="007A2AB8"/>
    <w:rsid w:val="007A3BEE"/>
    <w:rsid w:val="007A52F5"/>
    <w:rsid w:val="007B3E0E"/>
    <w:rsid w:val="007B3E12"/>
    <w:rsid w:val="007B69C1"/>
    <w:rsid w:val="007C110A"/>
    <w:rsid w:val="007C30BC"/>
    <w:rsid w:val="007C361A"/>
    <w:rsid w:val="007D56D6"/>
    <w:rsid w:val="007E2A1D"/>
    <w:rsid w:val="007E39E1"/>
    <w:rsid w:val="007E4A2E"/>
    <w:rsid w:val="007E5119"/>
    <w:rsid w:val="007E5D6F"/>
    <w:rsid w:val="007F0B64"/>
    <w:rsid w:val="007F32DA"/>
    <w:rsid w:val="007F3E8B"/>
    <w:rsid w:val="00807291"/>
    <w:rsid w:val="00807357"/>
    <w:rsid w:val="00810706"/>
    <w:rsid w:val="00811702"/>
    <w:rsid w:val="00813999"/>
    <w:rsid w:val="00814D3E"/>
    <w:rsid w:val="00815FE6"/>
    <w:rsid w:val="00817422"/>
    <w:rsid w:val="00827FC5"/>
    <w:rsid w:val="00830824"/>
    <w:rsid w:val="00837FEB"/>
    <w:rsid w:val="00840C14"/>
    <w:rsid w:val="00845151"/>
    <w:rsid w:val="00850178"/>
    <w:rsid w:val="00852615"/>
    <w:rsid w:val="00852799"/>
    <w:rsid w:val="008668EE"/>
    <w:rsid w:val="00870300"/>
    <w:rsid w:val="008752A8"/>
    <w:rsid w:val="0087664F"/>
    <w:rsid w:val="00876E56"/>
    <w:rsid w:val="00883E83"/>
    <w:rsid w:val="0088598F"/>
    <w:rsid w:val="00887016"/>
    <w:rsid w:val="00890129"/>
    <w:rsid w:val="0089148B"/>
    <w:rsid w:val="00891D0A"/>
    <w:rsid w:val="008A037A"/>
    <w:rsid w:val="008A03D1"/>
    <w:rsid w:val="008A08C0"/>
    <w:rsid w:val="008A4036"/>
    <w:rsid w:val="008A52A5"/>
    <w:rsid w:val="008B4199"/>
    <w:rsid w:val="008B697C"/>
    <w:rsid w:val="008B72DB"/>
    <w:rsid w:val="008B7AD5"/>
    <w:rsid w:val="008C102F"/>
    <w:rsid w:val="008C1DBD"/>
    <w:rsid w:val="008C361E"/>
    <w:rsid w:val="008D10E6"/>
    <w:rsid w:val="008D1E96"/>
    <w:rsid w:val="008D5350"/>
    <w:rsid w:val="008E1D77"/>
    <w:rsid w:val="008E2BD1"/>
    <w:rsid w:val="008E3EA8"/>
    <w:rsid w:val="008E56C8"/>
    <w:rsid w:val="008F15F6"/>
    <w:rsid w:val="00900663"/>
    <w:rsid w:val="00901244"/>
    <w:rsid w:val="00911C10"/>
    <w:rsid w:val="0091401F"/>
    <w:rsid w:val="009147B3"/>
    <w:rsid w:val="00920E1F"/>
    <w:rsid w:val="009211C1"/>
    <w:rsid w:val="00924173"/>
    <w:rsid w:val="009265DA"/>
    <w:rsid w:val="00927DE6"/>
    <w:rsid w:val="009345FC"/>
    <w:rsid w:val="009365BD"/>
    <w:rsid w:val="00937F3D"/>
    <w:rsid w:val="00940AB8"/>
    <w:rsid w:val="00943625"/>
    <w:rsid w:val="00945B66"/>
    <w:rsid w:val="00946800"/>
    <w:rsid w:val="0095409E"/>
    <w:rsid w:val="009563F4"/>
    <w:rsid w:val="00956C4D"/>
    <w:rsid w:val="0097427B"/>
    <w:rsid w:val="009754D2"/>
    <w:rsid w:val="00975C18"/>
    <w:rsid w:val="00980C98"/>
    <w:rsid w:val="009828D3"/>
    <w:rsid w:val="00983867"/>
    <w:rsid w:val="00987723"/>
    <w:rsid w:val="00990C78"/>
    <w:rsid w:val="00991166"/>
    <w:rsid w:val="00992CB9"/>
    <w:rsid w:val="009947FF"/>
    <w:rsid w:val="009A0719"/>
    <w:rsid w:val="009A0FC6"/>
    <w:rsid w:val="009A1F5A"/>
    <w:rsid w:val="009A5B2F"/>
    <w:rsid w:val="009B183E"/>
    <w:rsid w:val="009B1D49"/>
    <w:rsid w:val="009B63AA"/>
    <w:rsid w:val="009D054D"/>
    <w:rsid w:val="009D0AE1"/>
    <w:rsid w:val="009D18DD"/>
    <w:rsid w:val="009D1C7E"/>
    <w:rsid w:val="009D2142"/>
    <w:rsid w:val="009D3AD0"/>
    <w:rsid w:val="009D5190"/>
    <w:rsid w:val="009D56C6"/>
    <w:rsid w:val="009D5C81"/>
    <w:rsid w:val="00A002BF"/>
    <w:rsid w:val="00A030A4"/>
    <w:rsid w:val="00A05BB1"/>
    <w:rsid w:val="00A07EBD"/>
    <w:rsid w:val="00A10913"/>
    <w:rsid w:val="00A1122F"/>
    <w:rsid w:val="00A20FFB"/>
    <w:rsid w:val="00A21B54"/>
    <w:rsid w:val="00A324A6"/>
    <w:rsid w:val="00A3756A"/>
    <w:rsid w:val="00A445D7"/>
    <w:rsid w:val="00A54CC8"/>
    <w:rsid w:val="00A6170F"/>
    <w:rsid w:val="00A6375E"/>
    <w:rsid w:val="00A63CD7"/>
    <w:rsid w:val="00A677B6"/>
    <w:rsid w:val="00A70251"/>
    <w:rsid w:val="00A707FC"/>
    <w:rsid w:val="00A719E7"/>
    <w:rsid w:val="00A72CE0"/>
    <w:rsid w:val="00A765BF"/>
    <w:rsid w:val="00A80D87"/>
    <w:rsid w:val="00A82BC5"/>
    <w:rsid w:val="00A90722"/>
    <w:rsid w:val="00AA5C04"/>
    <w:rsid w:val="00AA6181"/>
    <w:rsid w:val="00AB389E"/>
    <w:rsid w:val="00AB47E4"/>
    <w:rsid w:val="00AC1F93"/>
    <w:rsid w:val="00AC5480"/>
    <w:rsid w:val="00AD76B0"/>
    <w:rsid w:val="00AE06A1"/>
    <w:rsid w:val="00AE15AE"/>
    <w:rsid w:val="00AE4228"/>
    <w:rsid w:val="00AE5062"/>
    <w:rsid w:val="00AE52E1"/>
    <w:rsid w:val="00AF108B"/>
    <w:rsid w:val="00AF41CD"/>
    <w:rsid w:val="00B03A6A"/>
    <w:rsid w:val="00B103B0"/>
    <w:rsid w:val="00B15307"/>
    <w:rsid w:val="00B1595D"/>
    <w:rsid w:val="00B17EEE"/>
    <w:rsid w:val="00B22DBE"/>
    <w:rsid w:val="00B25233"/>
    <w:rsid w:val="00B26A6E"/>
    <w:rsid w:val="00B30BC3"/>
    <w:rsid w:val="00B31FF3"/>
    <w:rsid w:val="00B413CA"/>
    <w:rsid w:val="00B42FF6"/>
    <w:rsid w:val="00B47F50"/>
    <w:rsid w:val="00B659EE"/>
    <w:rsid w:val="00B71072"/>
    <w:rsid w:val="00B7570E"/>
    <w:rsid w:val="00B8076C"/>
    <w:rsid w:val="00B82724"/>
    <w:rsid w:val="00B86FEB"/>
    <w:rsid w:val="00B876BF"/>
    <w:rsid w:val="00B95A60"/>
    <w:rsid w:val="00B96017"/>
    <w:rsid w:val="00BA012A"/>
    <w:rsid w:val="00BB027B"/>
    <w:rsid w:val="00BD0CB4"/>
    <w:rsid w:val="00BE7F97"/>
    <w:rsid w:val="00BF49AF"/>
    <w:rsid w:val="00C02A44"/>
    <w:rsid w:val="00C06A20"/>
    <w:rsid w:val="00C3500C"/>
    <w:rsid w:val="00C43B3D"/>
    <w:rsid w:val="00C537FD"/>
    <w:rsid w:val="00C548FC"/>
    <w:rsid w:val="00C54AE2"/>
    <w:rsid w:val="00C61DD4"/>
    <w:rsid w:val="00C63675"/>
    <w:rsid w:val="00C6386C"/>
    <w:rsid w:val="00C701F9"/>
    <w:rsid w:val="00C71F86"/>
    <w:rsid w:val="00C72EAC"/>
    <w:rsid w:val="00C810CC"/>
    <w:rsid w:val="00C82CE6"/>
    <w:rsid w:val="00C83C4C"/>
    <w:rsid w:val="00C85DD2"/>
    <w:rsid w:val="00C90C0B"/>
    <w:rsid w:val="00C9269E"/>
    <w:rsid w:val="00C94612"/>
    <w:rsid w:val="00C95E58"/>
    <w:rsid w:val="00CA16D2"/>
    <w:rsid w:val="00CA4EEE"/>
    <w:rsid w:val="00CB0023"/>
    <w:rsid w:val="00CB04A5"/>
    <w:rsid w:val="00CB13CC"/>
    <w:rsid w:val="00CB3EE8"/>
    <w:rsid w:val="00CB41D7"/>
    <w:rsid w:val="00CC1ADF"/>
    <w:rsid w:val="00CC5D0B"/>
    <w:rsid w:val="00CC6A3D"/>
    <w:rsid w:val="00CD1DA8"/>
    <w:rsid w:val="00CD4902"/>
    <w:rsid w:val="00CD6101"/>
    <w:rsid w:val="00CD6E2C"/>
    <w:rsid w:val="00CD758F"/>
    <w:rsid w:val="00CD7BB2"/>
    <w:rsid w:val="00CE2EEF"/>
    <w:rsid w:val="00CE79D7"/>
    <w:rsid w:val="00CE7DDC"/>
    <w:rsid w:val="00CF64C8"/>
    <w:rsid w:val="00CF66FC"/>
    <w:rsid w:val="00D00B4B"/>
    <w:rsid w:val="00D02FE6"/>
    <w:rsid w:val="00D06916"/>
    <w:rsid w:val="00D10823"/>
    <w:rsid w:val="00D17836"/>
    <w:rsid w:val="00D20BA7"/>
    <w:rsid w:val="00D20E13"/>
    <w:rsid w:val="00D20F53"/>
    <w:rsid w:val="00D23424"/>
    <w:rsid w:val="00D23624"/>
    <w:rsid w:val="00D3129B"/>
    <w:rsid w:val="00D31C72"/>
    <w:rsid w:val="00D36106"/>
    <w:rsid w:val="00D36B89"/>
    <w:rsid w:val="00D50641"/>
    <w:rsid w:val="00D51863"/>
    <w:rsid w:val="00D578A6"/>
    <w:rsid w:val="00D6472F"/>
    <w:rsid w:val="00D700C3"/>
    <w:rsid w:val="00D7204D"/>
    <w:rsid w:val="00D729A7"/>
    <w:rsid w:val="00D7401F"/>
    <w:rsid w:val="00D766A7"/>
    <w:rsid w:val="00D815DD"/>
    <w:rsid w:val="00D81B3E"/>
    <w:rsid w:val="00D918E8"/>
    <w:rsid w:val="00D94D41"/>
    <w:rsid w:val="00D94F22"/>
    <w:rsid w:val="00DA05EB"/>
    <w:rsid w:val="00DA29CB"/>
    <w:rsid w:val="00DA4F70"/>
    <w:rsid w:val="00DA7884"/>
    <w:rsid w:val="00DB0A0D"/>
    <w:rsid w:val="00DC5634"/>
    <w:rsid w:val="00DC78C5"/>
    <w:rsid w:val="00DD41BB"/>
    <w:rsid w:val="00DD4701"/>
    <w:rsid w:val="00DE0E4C"/>
    <w:rsid w:val="00DE0F72"/>
    <w:rsid w:val="00DE1D8E"/>
    <w:rsid w:val="00DE5F42"/>
    <w:rsid w:val="00DE7F8E"/>
    <w:rsid w:val="00DF4C7F"/>
    <w:rsid w:val="00DF6A1F"/>
    <w:rsid w:val="00E02F75"/>
    <w:rsid w:val="00E031E1"/>
    <w:rsid w:val="00E1216B"/>
    <w:rsid w:val="00E15FF7"/>
    <w:rsid w:val="00E204EF"/>
    <w:rsid w:val="00E25063"/>
    <w:rsid w:val="00E26858"/>
    <w:rsid w:val="00E4257F"/>
    <w:rsid w:val="00E438C3"/>
    <w:rsid w:val="00E45ED2"/>
    <w:rsid w:val="00E46564"/>
    <w:rsid w:val="00E50C3A"/>
    <w:rsid w:val="00E655FB"/>
    <w:rsid w:val="00E8611A"/>
    <w:rsid w:val="00E862EC"/>
    <w:rsid w:val="00E87EC7"/>
    <w:rsid w:val="00E92969"/>
    <w:rsid w:val="00E935A8"/>
    <w:rsid w:val="00E96D45"/>
    <w:rsid w:val="00EA0686"/>
    <w:rsid w:val="00EA78BC"/>
    <w:rsid w:val="00EB59AA"/>
    <w:rsid w:val="00EB5DAF"/>
    <w:rsid w:val="00EB6A1E"/>
    <w:rsid w:val="00EC0D75"/>
    <w:rsid w:val="00EC1A2C"/>
    <w:rsid w:val="00EC74A2"/>
    <w:rsid w:val="00EC7C5B"/>
    <w:rsid w:val="00ED4677"/>
    <w:rsid w:val="00ED49CD"/>
    <w:rsid w:val="00ED4BBF"/>
    <w:rsid w:val="00ED4D96"/>
    <w:rsid w:val="00EE0017"/>
    <w:rsid w:val="00EE0BD3"/>
    <w:rsid w:val="00EE2C03"/>
    <w:rsid w:val="00EE2FBA"/>
    <w:rsid w:val="00EE3DF0"/>
    <w:rsid w:val="00EE6ABD"/>
    <w:rsid w:val="00EF02BF"/>
    <w:rsid w:val="00EF46E3"/>
    <w:rsid w:val="00F01001"/>
    <w:rsid w:val="00F03012"/>
    <w:rsid w:val="00F05A9C"/>
    <w:rsid w:val="00F05E46"/>
    <w:rsid w:val="00F148C5"/>
    <w:rsid w:val="00F16121"/>
    <w:rsid w:val="00F210A1"/>
    <w:rsid w:val="00F24210"/>
    <w:rsid w:val="00F24A0B"/>
    <w:rsid w:val="00F275EA"/>
    <w:rsid w:val="00F27EC9"/>
    <w:rsid w:val="00F41860"/>
    <w:rsid w:val="00F41DAF"/>
    <w:rsid w:val="00F424C5"/>
    <w:rsid w:val="00F43F87"/>
    <w:rsid w:val="00F56A5E"/>
    <w:rsid w:val="00F63D3B"/>
    <w:rsid w:val="00F67733"/>
    <w:rsid w:val="00F72E8A"/>
    <w:rsid w:val="00F75122"/>
    <w:rsid w:val="00F81353"/>
    <w:rsid w:val="00F82795"/>
    <w:rsid w:val="00F869B0"/>
    <w:rsid w:val="00F86FFD"/>
    <w:rsid w:val="00F91124"/>
    <w:rsid w:val="00F9503E"/>
    <w:rsid w:val="00F95846"/>
    <w:rsid w:val="00FA1BC9"/>
    <w:rsid w:val="00FA2EA1"/>
    <w:rsid w:val="00FB014E"/>
    <w:rsid w:val="00FB34E3"/>
    <w:rsid w:val="00FB5A7F"/>
    <w:rsid w:val="00FB5A89"/>
    <w:rsid w:val="00FB6A34"/>
    <w:rsid w:val="00FC05F2"/>
    <w:rsid w:val="00FC4D61"/>
    <w:rsid w:val="00FC5BA7"/>
    <w:rsid w:val="00FD0BFB"/>
    <w:rsid w:val="00FD1338"/>
    <w:rsid w:val="00FD4807"/>
    <w:rsid w:val="00FE1DED"/>
    <w:rsid w:val="00FF1EF4"/>
    <w:rsid w:val="00FF2660"/>
    <w:rsid w:val="00FF6EA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D5FFCA"/>
  <w15:chartTrackingRefBased/>
  <w15:docId w15:val="{9CEDA437-AE40-4573-B884-AF953DA648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0400B"/>
    <w:pPr>
      <w:spacing w:line="480" w:lineRule="auto"/>
    </w:pPr>
    <w:rPr>
      <w:rFonts w:ascii="Arial" w:hAnsi="Arial"/>
      <w:szCs w:val="24"/>
    </w:rPr>
  </w:style>
  <w:style w:type="paragraph" w:styleId="Heading1">
    <w:name w:val="heading 1"/>
    <w:basedOn w:val="Normal"/>
    <w:next w:val="Normal"/>
    <w:qFormat/>
    <w:rsid w:val="0060400B"/>
    <w:pPr>
      <w:keepNext/>
      <w:spacing w:before="240" w:after="60"/>
      <w:outlineLvl w:val="0"/>
    </w:pPr>
    <w:rPr>
      <w:rFonts w:cs="Arial"/>
      <w:b/>
      <w:bCs/>
      <w:kern w:val="32"/>
      <w:sz w:val="32"/>
      <w:szCs w:val="32"/>
    </w:rPr>
  </w:style>
  <w:style w:type="paragraph" w:styleId="Heading2">
    <w:name w:val="heading 2"/>
    <w:basedOn w:val="Normal"/>
    <w:next w:val="Normal"/>
    <w:qFormat/>
    <w:rsid w:val="0060400B"/>
    <w:pPr>
      <w:keepNext/>
      <w:spacing w:before="240" w:after="60"/>
      <w:outlineLvl w:val="1"/>
    </w:pPr>
    <w:rPr>
      <w:rFonts w:cs="Arial"/>
      <w:b/>
      <w:bCs/>
      <w:i/>
      <w:iCs/>
      <w:sz w:val="28"/>
      <w:szCs w:val="28"/>
    </w:rPr>
  </w:style>
  <w:style w:type="paragraph" w:styleId="Heading3">
    <w:name w:val="heading 3"/>
    <w:basedOn w:val="Normal"/>
    <w:next w:val="Normal"/>
    <w:qFormat/>
    <w:rsid w:val="0060400B"/>
    <w:pPr>
      <w:keepNext/>
      <w:spacing w:before="240" w:after="6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F82795"/>
    <w:pPr>
      <w:tabs>
        <w:tab w:val="center" w:pos="4320"/>
        <w:tab w:val="right" w:pos="8640"/>
      </w:tabs>
    </w:pPr>
  </w:style>
  <w:style w:type="character" w:styleId="PageNumber">
    <w:name w:val="page number"/>
    <w:basedOn w:val="DefaultParagraphFont"/>
    <w:rsid w:val="00F82795"/>
  </w:style>
  <w:style w:type="character" w:styleId="Emphasis">
    <w:name w:val="Emphasis"/>
    <w:qFormat/>
    <w:rsid w:val="00FF6EA8"/>
    <w:rPr>
      <w:b/>
      <w:bCs/>
      <w:i w:val="0"/>
      <w:iCs w:val="0"/>
    </w:rPr>
  </w:style>
  <w:style w:type="character" w:styleId="Hyperlink">
    <w:name w:val="Hyperlink"/>
    <w:rsid w:val="00887016"/>
    <w:rPr>
      <w:color w:val="0000FF"/>
      <w:u w:val="single"/>
    </w:rPr>
  </w:style>
  <w:style w:type="character" w:styleId="CommentReference">
    <w:name w:val="annotation reference"/>
    <w:uiPriority w:val="99"/>
    <w:semiHidden/>
    <w:rsid w:val="00D00B4B"/>
    <w:rPr>
      <w:sz w:val="16"/>
      <w:szCs w:val="16"/>
    </w:rPr>
  </w:style>
  <w:style w:type="paragraph" w:styleId="CommentText">
    <w:name w:val="annotation text"/>
    <w:basedOn w:val="Normal"/>
    <w:semiHidden/>
    <w:rsid w:val="00D00B4B"/>
    <w:rPr>
      <w:szCs w:val="20"/>
    </w:rPr>
  </w:style>
  <w:style w:type="paragraph" w:styleId="CommentSubject">
    <w:name w:val="annotation subject"/>
    <w:basedOn w:val="CommentText"/>
    <w:next w:val="CommentText"/>
    <w:semiHidden/>
    <w:rsid w:val="00D00B4B"/>
    <w:rPr>
      <w:b/>
      <w:bCs/>
    </w:rPr>
  </w:style>
  <w:style w:type="paragraph" w:styleId="BalloonText">
    <w:name w:val="Balloon Text"/>
    <w:basedOn w:val="Normal"/>
    <w:semiHidden/>
    <w:rsid w:val="00D00B4B"/>
    <w:rPr>
      <w:rFonts w:ascii="Tahoma" w:hAnsi="Tahoma" w:cs="Tahoma"/>
      <w:sz w:val="16"/>
      <w:szCs w:val="16"/>
    </w:rPr>
  </w:style>
  <w:style w:type="character" w:styleId="LineNumber">
    <w:name w:val="line number"/>
    <w:rsid w:val="00C94612"/>
  </w:style>
  <w:style w:type="paragraph" w:styleId="Header">
    <w:name w:val="header"/>
    <w:basedOn w:val="Normal"/>
    <w:link w:val="HeaderChar"/>
    <w:rsid w:val="00740F67"/>
    <w:pPr>
      <w:tabs>
        <w:tab w:val="center" w:pos="4680"/>
        <w:tab w:val="right" w:pos="9360"/>
      </w:tabs>
    </w:pPr>
  </w:style>
  <w:style w:type="character" w:customStyle="1" w:styleId="HeaderChar">
    <w:name w:val="Header Char"/>
    <w:link w:val="Header"/>
    <w:rsid w:val="00740F67"/>
    <w:rPr>
      <w:rFonts w:ascii="Arial" w:hAnsi="Arial"/>
      <w:szCs w:val="24"/>
      <w:lang w:val="en-US" w:eastAsia="en-US"/>
    </w:rPr>
  </w:style>
  <w:style w:type="character" w:styleId="UnresolvedMention">
    <w:name w:val="Unresolved Mention"/>
    <w:basedOn w:val="DefaultParagraphFont"/>
    <w:uiPriority w:val="99"/>
    <w:semiHidden/>
    <w:unhideWhenUsed/>
    <w:rsid w:val="00DE1D8E"/>
    <w:rPr>
      <w:color w:val="605E5C"/>
      <w:shd w:val="clear" w:color="auto" w:fill="E1DFDD"/>
    </w:rPr>
  </w:style>
  <w:style w:type="paragraph" w:styleId="Bibliography">
    <w:name w:val="Bibliography"/>
    <w:basedOn w:val="Normal"/>
    <w:next w:val="Normal"/>
    <w:uiPriority w:val="37"/>
    <w:unhideWhenUsed/>
    <w:rsid w:val="00642BF9"/>
    <w:pPr>
      <w:tabs>
        <w:tab w:val="left" w:pos="264"/>
      </w:tabs>
      <w:spacing w:after="240" w:line="240" w:lineRule="auto"/>
      <w:ind w:left="264" w:hanging="264"/>
    </w:pPr>
  </w:style>
  <w:style w:type="table" w:styleId="TableGrid">
    <w:name w:val="Table Grid"/>
    <w:basedOn w:val="TableNormal"/>
    <w:rsid w:val="0006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7664F"/>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633695">
      <w:bodyDiv w:val="1"/>
      <w:marLeft w:val="0"/>
      <w:marRight w:val="0"/>
      <w:marTop w:val="0"/>
      <w:marBottom w:val="0"/>
      <w:divBdr>
        <w:top w:val="none" w:sz="0" w:space="0" w:color="auto"/>
        <w:left w:val="none" w:sz="0" w:space="0" w:color="auto"/>
        <w:bottom w:val="none" w:sz="0" w:space="0" w:color="auto"/>
        <w:right w:val="none" w:sz="0" w:space="0" w:color="auto"/>
      </w:divBdr>
      <w:divsChild>
        <w:div w:id="1730226498">
          <w:marLeft w:val="0"/>
          <w:marRight w:val="0"/>
          <w:marTop w:val="0"/>
          <w:marBottom w:val="0"/>
          <w:divBdr>
            <w:top w:val="none" w:sz="0" w:space="0" w:color="auto"/>
            <w:left w:val="none" w:sz="0" w:space="0" w:color="auto"/>
            <w:bottom w:val="none" w:sz="0" w:space="0" w:color="auto"/>
            <w:right w:val="none" w:sz="0" w:space="0" w:color="auto"/>
          </w:divBdr>
        </w:div>
        <w:div w:id="1694185600">
          <w:marLeft w:val="0"/>
          <w:marRight w:val="0"/>
          <w:marTop w:val="0"/>
          <w:marBottom w:val="0"/>
          <w:divBdr>
            <w:top w:val="none" w:sz="0" w:space="0" w:color="auto"/>
            <w:left w:val="none" w:sz="0" w:space="0" w:color="auto"/>
            <w:bottom w:val="none" w:sz="0" w:space="0" w:color="auto"/>
            <w:right w:val="none" w:sz="0" w:space="0" w:color="auto"/>
          </w:divBdr>
        </w:div>
        <w:div w:id="388117479">
          <w:marLeft w:val="0"/>
          <w:marRight w:val="0"/>
          <w:marTop w:val="0"/>
          <w:marBottom w:val="0"/>
          <w:divBdr>
            <w:top w:val="none" w:sz="0" w:space="0" w:color="auto"/>
            <w:left w:val="none" w:sz="0" w:space="0" w:color="auto"/>
            <w:bottom w:val="none" w:sz="0" w:space="0" w:color="auto"/>
            <w:right w:val="none" w:sz="0" w:space="0" w:color="auto"/>
          </w:divBdr>
        </w:div>
        <w:div w:id="1173035445">
          <w:marLeft w:val="0"/>
          <w:marRight w:val="0"/>
          <w:marTop w:val="0"/>
          <w:marBottom w:val="0"/>
          <w:divBdr>
            <w:top w:val="none" w:sz="0" w:space="0" w:color="auto"/>
            <w:left w:val="none" w:sz="0" w:space="0" w:color="auto"/>
            <w:bottom w:val="none" w:sz="0" w:space="0" w:color="auto"/>
            <w:right w:val="none" w:sz="0" w:space="0" w:color="auto"/>
          </w:divBdr>
        </w:div>
        <w:div w:id="843132717">
          <w:marLeft w:val="0"/>
          <w:marRight w:val="0"/>
          <w:marTop w:val="0"/>
          <w:marBottom w:val="0"/>
          <w:divBdr>
            <w:top w:val="none" w:sz="0" w:space="0" w:color="auto"/>
            <w:left w:val="none" w:sz="0" w:space="0" w:color="auto"/>
            <w:bottom w:val="none" w:sz="0" w:space="0" w:color="auto"/>
            <w:right w:val="none" w:sz="0" w:space="0" w:color="auto"/>
          </w:divBdr>
        </w:div>
        <w:div w:id="1988974152">
          <w:marLeft w:val="0"/>
          <w:marRight w:val="0"/>
          <w:marTop w:val="0"/>
          <w:marBottom w:val="0"/>
          <w:divBdr>
            <w:top w:val="none" w:sz="0" w:space="0" w:color="auto"/>
            <w:left w:val="none" w:sz="0" w:space="0" w:color="auto"/>
            <w:bottom w:val="none" w:sz="0" w:space="0" w:color="auto"/>
            <w:right w:val="none" w:sz="0" w:space="0" w:color="auto"/>
          </w:divBdr>
        </w:div>
        <w:div w:id="784470691">
          <w:marLeft w:val="0"/>
          <w:marRight w:val="0"/>
          <w:marTop w:val="0"/>
          <w:marBottom w:val="0"/>
          <w:divBdr>
            <w:top w:val="none" w:sz="0" w:space="0" w:color="auto"/>
            <w:left w:val="none" w:sz="0" w:space="0" w:color="auto"/>
            <w:bottom w:val="none" w:sz="0" w:space="0" w:color="auto"/>
            <w:right w:val="none" w:sz="0" w:space="0" w:color="auto"/>
          </w:divBdr>
        </w:div>
      </w:divsChild>
    </w:div>
    <w:div w:id="162596026">
      <w:bodyDiv w:val="1"/>
      <w:marLeft w:val="0"/>
      <w:marRight w:val="0"/>
      <w:marTop w:val="0"/>
      <w:marBottom w:val="0"/>
      <w:divBdr>
        <w:top w:val="none" w:sz="0" w:space="0" w:color="auto"/>
        <w:left w:val="none" w:sz="0" w:space="0" w:color="auto"/>
        <w:bottom w:val="none" w:sz="0" w:space="0" w:color="auto"/>
        <w:right w:val="none" w:sz="0" w:space="0" w:color="auto"/>
      </w:divBdr>
      <w:divsChild>
        <w:div w:id="1697316912">
          <w:marLeft w:val="0"/>
          <w:marRight w:val="0"/>
          <w:marTop w:val="0"/>
          <w:marBottom w:val="0"/>
          <w:divBdr>
            <w:top w:val="none" w:sz="0" w:space="0" w:color="auto"/>
            <w:left w:val="none" w:sz="0" w:space="0" w:color="auto"/>
            <w:bottom w:val="none" w:sz="0" w:space="0" w:color="auto"/>
            <w:right w:val="none" w:sz="0" w:space="0" w:color="auto"/>
          </w:divBdr>
        </w:div>
        <w:div w:id="1267351082">
          <w:marLeft w:val="0"/>
          <w:marRight w:val="0"/>
          <w:marTop w:val="0"/>
          <w:marBottom w:val="0"/>
          <w:divBdr>
            <w:top w:val="none" w:sz="0" w:space="0" w:color="auto"/>
            <w:left w:val="none" w:sz="0" w:space="0" w:color="auto"/>
            <w:bottom w:val="none" w:sz="0" w:space="0" w:color="auto"/>
            <w:right w:val="none" w:sz="0" w:space="0" w:color="auto"/>
          </w:divBdr>
        </w:div>
        <w:div w:id="1962569574">
          <w:marLeft w:val="0"/>
          <w:marRight w:val="0"/>
          <w:marTop w:val="0"/>
          <w:marBottom w:val="0"/>
          <w:divBdr>
            <w:top w:val="none" w:sz="0" w:space="0" w:color="auto"/>
            <w:left w:val="none" w:sz="0" w:space="0" w:color="auto"/>
            <w:bottom w:val="none" w:sz="0" w:space="0" w:color="auto"/>
            <w:right w:val="none" w:sz="0" w:space="0" w:color="auto"/>
          </w:divBdr>
        </w:div>
        <w:div w:id="1192256835">
          <w:marLeft w:val="0"/>
          <w:marRight w:val="0"/>
          <w:marTop w:val="0"/>
          <w:marBottom w:val="0"/>
          <w:divBdr>
            <w:top w:val="none" w:sz="0" w:space="0" w:color="auto"/>
            <w:left w:val="none" w:sz="0" w:space="0" w:color="auto"/>
            <w:bottom w:val="none" w:sz="0" w:space="0" w:color="auto"/>
            <w:right w:val="none" w:sz="0" w:space="0" w:color="auto"/>
          </w:divBdr>
        </w:div>
        <w:div w:id="1951009170">
          <w:marLeft w:val="0"/>
          <w:marRight w:val="0"/>
          <w:marTop w:val="0"/>
          <w:marBottom w:val="0"/>
          <w:divBdr>
            <w:top w:val="none" w:sz="0" w:space="0" w:color="auto"/>
            <w:left w:val="none" w:sz="0" w:space="0" w:color="auto"/>
            <w:bottom w:val="none" w:sz="0" w:space="0" w:color="auto"/>
            <w:right w:val="none" w:sz="0" w:space="0" w:color="auto"/>
          </w:divBdr>
        </w:div>
        <w:div w:id="864557111">
          <w:marLeft w:val="0"/>
          <w:marRight w:val="0"/>
          <w:marTop w:val="0"/>
          <w:marBottom w:val="0"/>
          <w:divBdr>
            <w:top w:val="none" w:sz="0" w:space="0" w:color="auto"/>
            <w:left w:val="none" w:sz="0" w:space="0" w:color="auto"/>
            <w:bottom w:val="none" w:sz="0" w:space="0" w:color="auto"/>
            <w:right w:val="none" w:sz="0" w:space="0" w:color="auto"/>
          </w:divBdr>
        </w:div>
        <w:div w:id="2020498262">
          <w:marLeft w:val="0"/>
          <w:marRight w:val="0"/>
          <w:marTop w:val="0"/>
          <w:marBottom w:val="0"/>
          <w:divBdr>
            <w:top w:val="none" w:sz="0" w:space="0" w:color="auto"/>
            <w:left w:val="none" w:sz="0" w:space="0" w:color="auto"/>
            <w:bottom w:val="none" w:sz="0" w:space="0" w:color="auto"/>
            <w:right w:val="none" w:sz="0" w:space="0" w:color="auto"/>
          </w:divBdr>
        </w:div>
        <w:div w:id="504326983">
          <w:marLeft w:val="0"/>
          <w:marRight w:val="0"/>
          <w:marTop w:val="0"/>
          <w:marBottom w:val="0"/>
          <w:divBdr>
            <w:top w:val="none" w:sz="0" w:space="0" w:color="auto"/>
            <w:left w:val="none" w:sz="0" w:space="0" w:color="auto"/>
            <w:bottom w:val="none" w:sz="0" w:space="0" w:color="auto"/>
            <w:right w:val="none" w:sz="0" w:space="0" w:color="auto"/>
          </w:divBdr>
        </w:div>
        <w:div w:id="961688036">
          <w:marLeft w:val="0"/>
          <w:marRight w:val="0"/>
          <w:marTop w:val="0"/>
          <w:marBottom w:val="0"/>
          <w:divBdr>
            <w:top w:val="none" w:sz="0" w:space="0" w:color="auto"/>
            <w:left w:val="none" w:sz="0" w:space="0" w:color="auto"/>
            <w:bottom w:val="none" w:sz="0" w:space="0" w:color="auto"/>
            <w:right w:val="none" w:sz="0" w:space="0" w:color="auto"/>
          </w:divBdr>
        </w:div>
        <w:div w:id="78644229">
          <w:marLeft w:val="0"/>
          <w:marRight w:val="0"/>
          <w:marTop w:val="0"/>
          <w:marBottom w:val="0"/>
          <w:divBdr>
            <w:top w:val="none" w:sz="0" w:space="0" w:color="auto"/>
            <w:left w:val="none" w:sz="0" w:space="0" w:color="auto"/>
            <w:bottom w:val="none" w:sz="0" w:space="0" w:color="auto"/>
            <w:right w:val="none" w:sz="0" w:space="0" w:color="auto"/>
          </w:divBdr>
        </w:div>
        <w:div w:id="732847624">
          <w:marLeft w:val="0"/>
          <w:marRight w:val="0"/>
          <w:marTop w:val="0"/>
          <w:marBottom w:val="0"/>
          <w:divBdr>
            <w:top w:val="none" w:sz="0" w:space="0" w:color="auto"/>
            <w:left w:val="none" w:sz="0" w:space="0" w:color="auto"/>
            <w:bottom w:val="none" w:sz="0" w:space="0" w:color="auto"/>
            <w:right w:val="none" w:sz="0" w:space="0" w:color="auto"/>
          </w:divBdr>
        </w:div>
        <w:div w:id="2105758980">
          <w:marLeft w:val="0"/>
          <w:marRight w:val="0"/>
          <w:marTop w:val="0"/>
          <w:marBottom w:val="0"/>
          <w:divBdr>
            <w:top w:val="none" w:sz="0" w:space="0" w:color="auto"/>
            <w:left w:val="none" w:sz="0" w:space="0" w:color="auto"/>
            <w:bottom w:val="none" w:sz="0" w:space="0" w:color="auto"/>
            <w:right w:val="none" w:sz="0" w:space="0" w:color="auto"/>
          </w:divBdr>
        </w:div>
        <w:div w:id="407003626">
          <w:marLeft w:val="0"/>
          <w:marRight w:val="0"/>
          <w:marTop w:val="0"/>
          <w:marBottom w:val="0"/>
          <w:divBdr>
            <w:top w:val="none" w:sz="0" w:space="0" w:color="auto"/>
            <w:left w:val="none" w:sz="0" w:space="0" w:color="auto"/>
            <w:bottom w:val="none" w:sz="0" w:space="0" w:color="auto"/>
            <w:right w:val="none" w:sz="0" w:space="0" w:color="auto"/>
          </w:divBdr>
        </w:div>
        <w:div w:id="1670323718">
          <w:marLeft w:val="0"/>
          <w:marRight w:val="0"/>
          <w:marTop w:val="0"/>
          <w:marBottom w:val="0"/>
          <w:divBdr>
            <w:top w:val="none" w:sz="0" w:space="0" w:color="auto"/>
            <w:left w:val="none" w:sz="0" w:space="0" w:color="auto"/>
            <w:bottom w:val="none" w:sz="0" w:space="0" w:color="auto"/>
            <w:right w:val="none" w:sz="0" w:space="0" w:color="auto"/>
          </w:divBdr>
        </w:div>
        <w:div w:id="1869221552">
          <w:marLeft w:val="0"/>
          <w:marRight w:val="0"/>
          <w:marTop w:val="0"/>
          <w:marBottom w:val="0"/>
          <w:divBdr>
            <w:top w:val="none" w:sz="0" w:space="0" w:color="auto"/>
            <w:left w:val="none" w:sz="0" w:space="0" w:color="auto"/>
            <w:bottom w:val="none" w:sz="0" w:space="0" w:color="auto"/>
            <w:right w:val="none" w:sz="0" w:space="0" w:color="auto"/>
          </w:divBdr>
        </w:div>
        <w:div w:id="2018926302">
          <w:marLeft w:val="0"/>
          <w:marRight w:val="0"/>
          <w:marTop w:val="0"/>
          <w:marBottom w:val="0"/>
          <w:divBdr>
            <w:top w:val="none" w:sz="0" w:space="0" w:color="auto"/>
            <w:left w:val="none" w:sz="0" w:space="0" w:color="auto"/>
            <w:bottom w:val="none" w:sz="0" w:space="0" w:color="auto"/>
            <w:right w:val="none" w:sz="0" w:space="0" w:color="auto"/>
          </w:divBdr>
        </w:div>
      </w:divsChild>
    </w:div>
    <w:div w:id="852761600">
      <w:bodyDiv w:val="1"/>
      <w:marLeft w:val="0"/>
      <w:marRight w:val="0"/>
      <w:marTop w:val="0"/>
      <w:marBottom w:val="0"/>
      <w:divBdr>
        <w:top w:val="none" w:sz="0" w:space="0" w:color="auto"/>
        <w:left w:val="none" w:sz="0" w:space="0" w:color="auto"/>
        <w:bottom w:val="none" w:sz="0" w:space="0" w:color="auto"/>
        <w:right w:val="none" w:sz="0" w:space="0" w:color="auto"/>
      </w:divBdr>
    </w:div>
    <w:div w:id="876047641">
      <w:bodyDiv w:val="1"/>
      <w:marLeft w:val="0"/>
      <w:marRight w:val="0"/>
      <w:marTop w:val="0"/>
      <w:marBottom w:val="0"/>
      <w:divBdr>
        <w:top w:val="none" w:sz="0" w:space="0" w:color="auto"/>
        <w:left w:val="none" w:sz="0" w:space="0" w:color="auto"/>
        <w:bottom w:val="none" w:sz="0" w:space="0" w:color="auto"/>
        <w:right w:val="none" w:sz="0" w:space="0" w:color="auto"/>
      </w:divBdr>
      <w:divsChild>
        <w:div w:id="1548491478">
          <w:marLeft w:val="0"/>
          <w:marRight w:val="0"/>
          <w:marTop w:val="0"/>
          <w:marBottom w:val="0"/>
          <w:divBdr>
            <w:top w:val="none" w:sz="0" w:space="0" w:color="auto"/>
            <w:left w:val="none" w:sz="0" w:space="0" w:color="auto"/>
            <w:bottom w:val="none" w:sz="0" w:space="0" w:color="auto"/>
            <w:right w:val="none" w:sz="0" w:space="0" w:color="auto"/>
          </w:divBdr>
        </w:div>
        <w:div w:id="454493646">
          <w:marLeft w:val="0"/>
          <w:marRight w:val="0"/>
          <w:marTop w:val="0"/>
          <w:marBottom w:val="0"/>
          <w:divBdr>
            <w:top w:val="none" w:sz="0" w:space="0" w:color="auto"/>
            <w:left w:val="none" w:sz="0" w:space="0" w:color="auto"/>
            <w:bottom w:val="none" w:sz="0" w:space="0" w:color="auto"/>
            <w:right w:val="none" w:sz="0" w:space="0" w:color="auto"/>
          </w:divBdr>
        </w:div>
        <w:div w:id="1011104546">
          <w:marLeft w:val="0"/>
          <w:marRight w:val="0"/>
          <w:marTop w:val="0"/>
          <w:marBottom w:val="0"/>
          <w:divBdr>
            <w:top w:val="none" w:sz="0" w:space="0" w:color="auto"/>
            <w:left w:val="none" w:sz="0" w:space="0" w:color="auto"/>
            <w:bottom w:val="none" w:sz="0" w:space="0" w:color="auto"/>
            <w:right w:val="none" w:sz="0" w:space="0" w:color="auto"/>
          </w:divBdr>
        </w:div>
        <w:div w:id="446244292">
          <w:marLeft w:val="0"/>
          <w:marRight w:val="0"/>
          <w:marTop w:val="0"/>
          <w:marBottom w:val="0"/>
          <w:divBdr>
            <w:top w:val="none" w:sz="0" w:space="0" w:color="auto"/>
            <w:left w:val="none" w:sz="0" w:space="0" w:color="auto"/>
            <w:bottom w:val="none" w:sz="0" w:space="0" w:color="auto"/>
            <w:right w:val="none" w:sz="0" w:space="0" w:color="auto"/>
          </w:divBdr>
        </w:div>
        <w:div w:id="1372001925">
          <w:marLeft w:val="0"/>
          <w:marRight w:val="0"/>
          <w:marTop w:val="0"/>
          <w:marBottom w:val="0"/>
          <w:divBdr>
            <w:top w:val="none" w:sz="0" w:space="0" w:color="auto"/>
            <w:left w:val="none" w:sz="0" w:space="0" w:color="auto"/>
            <w:bottom w:val="none" w:sz="0" w:space="0" w:color="auto"/>
            <w:right w:val="none" w:sz="0" w:space="0" w:color="auto"/>
          </w:divBdr>
        </w:div>
        <w:div w:id="2092115357">
          <w:marLeft w:val="0"/>
          <w:marRight w:val="0"/>
          <w:marTop w:val="0"/>
          <w:marBottom w:val="0"/>
          <w:divBdr>
            <w:top w:val="none" w:sz="0" w:space="0" w:color="auto"/>
            <w:left w:val="none" w:sz="0" w:space="0" w:color="auto"/>
            <w:bottom w:val="none" w:sz="0" w:space="0" w:color="auto"/>
            <w:right w:val="none" w:sz="0" w:space="0" w:color="auto"/>
          </w:divBdr>
        </w:div>
        <w:div w:id="302463231">
          <w:marLeft w:val="0"/>
          <w:marRight w:val="0"/>
          <w:marTop w:val="0"/>
          <w:marBottom w:val="0"/>
          <w:divBdr>
            <w:top w:val="none" w:sz="0" w:space="0" w:color="auto"/>
            <w:left w:val="none" w:sz="0" w:space="0" w:color="auto"/>
            <w:bottom w:val="none" w:sz="0" w:space="0" w:color="auto"/>
            <w:right w:val="none" w:sz="0" w:space="0" w:color="auto"/>
          </w:divBdr>
        </w:div>
      </w:divsChild>
    </w:div>
    <w:div w:id="1228959245">
      <w:bodyDiv w:val="1"/>
      <w:marLeft w:val="0"/>
      <w:marRight w:val="0"/>
      <w:marTop w:val="0"/>
      <w:marBottom w:val="0"/>
      <w:divBdr>
        <w:top w:val="none" w:sz="0" w:space="0" w:color="auto"/>
        <w:left w:val="none" w:sz="0" w:space="0" w:color="auto"/>
        <w:bottom w:val="none" w:sz="0" w:space="0" w:color="auto"/>
        <w:right w:val="none" w:sz="0" w:space="0" w:color="auto"/>
      </w:divBdr>
    </w:div>
    <w:div w:id="1306202504">
      <w:bodyDiv w:val="1"/>
      <w:marLeft w:val="0"/>
      <w:marRight w:val="0"/>
      <w:marTop w:val="0"/>
      <w:marBottom w:val="0"/>
      <w:divBdr>
        <w:top w:val="none" w:sz="0" w:space="0" w:color="auto"/>
        <w:left w:val="none" w:sz="0" w:space="0" w:color="auto"/>
        <w:bottom w:val="none" w:sz="0" w:space="0" w:color="auto"/>
        <w:right w:val="none" w:sz="0" w:space="0" w:color="auto"/>
      </w:divBdr>
    </w:div>
    <w:div w:id="1321731800">
      <w:bodyDiv w:val="1"/>
      <w:marLeft w:val="0"/>
      <w:marRight w:val="0"/>
      <w:marTop w:val="0"/>
      <w:marBottom w:val="0"/>
      <w:divBdr>
        <w:top w:val="none" w:sz="0" w:space="0" w:color="auto"/>
        <w:left w:val="none" w:sz="0" w:space="0" w:color="auto"/>
        <w:bottom w:val="none" w:sz="0" w:space="0" w:color="auto"/>
        <w:right w:val="none" w:sz="0" w:space="0" w:color="auto"/>
      </w:divBdr>
    </w:div>
    <w:div w:id="1795905650">
      <w:bodyDiv w:val="1"/>
      <w:marLeft w:val="0"/>
      <w:marRight w:val="0"/>
      <w:marTop w:val="0"/>
      <w:marBottom w:val="0"/>
      <w:divBdr>
        <w:top w:val="none" w:sz="0" w:space="0" w:color="auto"/>
        <w:left w:val="none" w:sz="0" w:space="0" w:color="auto"/>
        <w:bottom w:val="none" w:sz="0" w:space="0" w:color="auto"/>
        <w:right w:val="none" w:sz="0" w:space="0" w:color="auto"/>
      </w:divBdr>
    </w:div>
    <w:div w:id="1803839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11</Pages>
  <Words>2071</Words>
  <Characters>21566</Characters>
  <Application>Microsoft Office Word</Application>
  <DocSecurity>0</DocSecurity>
  <Lines>179</Lines>
  <Paragraphs>47</Paragraphs>
  <ScaleCrop>false</ScaleCrop>
  <HeadingPairs>
    <vt:vector size="2" baseType="variant">
      <vt:variant>
        <vt:lpstr>Title</vt:lpstr>
      </vt:variant>
      <vt:variant>
        <vt:i4>1</vt:i4>
      </vt:variant>
    </vt:vector>
  </HeadingPairs>
  <TitlesOfParts>
    <vt:vector size="1" baseType="lpstr">
      <vt:lpstr>Manuscript template</vt:lpstr>
    </vt:vector>
  </TitlesOfParts>
  <Company>Dove Medical Press</Company>
  <LinksUpToDate>false</LinksUpToDate>
  <CharactersWithSpaces>23590</CharactersWithSpaces>
  <SharedDoc>false</SharedDoc>
  <HLinks>
    <vt:vector size="36" baseType="variant">
      <vt:variant>
        <vt:i4>1048578</vt:i4>
      </vt:variant>
      <vt:variant>
        <vt:i4>15</vt:i4>
      </vt:variant>
      <vt:variant>
        <vt:i4>0</vt:i4>
      </vt:variant>
      <vt:variant>
        <vt:i4>5</vt:i4>
      </vt:variant>
      <vt:variant>
        <vt:lpwstr>https://www.dovepress.com/author_guidelines.php?content_id=3511</vt:lpwstr>
      </vt:variant>
      <vt:variant>
        <vt:lpwstr/>
      </vt:variant>
      <vt:variant>
        <vt:i4>6881324</vt:i4>
      </vt:variant>
      <vt:variant>
        <vt:i4>12</vt:i4>
      </vt:variant>
      <vt:variant>
        <vt:i4>0</vt:i4>
      </vt:variant>
      <vt:variant>
        <vt:i4>5</vt:i4>
      </vt:variant>
      <vt:variant>
        <vt:lpwstr>http://www.ncbi.nlm.nih.gov/sites/entrez?Db=pubmed&amp;Cmd=Search&amp;Term=%22Efficacy%20of%20Vasopressin%20Antagonism%20in%20Heart%20Failure%20Outcome%20Study%20With%20Tolvaptan%20(EVEREST)%20Investigators%22%5BCorporate%20Author%5D&amp;itool=EntrezSystem2.PEntrez.Pubmed.Pubmed_ResultsPanel.Pubmed_DiscoveryPanel.Pubmed_RVAbstractPlus</vt:lpwstr>
      </vt:variant>
      <vt:variant>
        <vt:lpwstr/>
      </vt:variant>
      <vt:variant>
        <vt:i4>5177376</vt:i4>
      </vt:variant>
      <vt:variant>
        <vt:i4>9</vt:i4>
      </vt:variant>
      <vt:variant>
        <vt:i4>0</vt:i4>
      </vt:variant>
      <vt:variant>
        <vt:i4>5</vt:i4>
      </vt:variant>
      <vt:variant>
        <vt:lpwstr>http://www.ncbi.nlm.nih.gov/sites/entrez?Db=pubmed&amp;Cmd=Search&amp;Term=%22Burnett%20JC%20Jr%22%5BAuthor%5D&amp;itool=EntrezSystem2.PEntrez.Pubmed.Pubmed_ResultsPanel.Pubmed_DiscoveryPanel.Pubmed_RVAbstractPlus</vt:lpwstr>
      </vt:variant>
      <vt:variant>
        <vt:lpwstr/>
      </vt:variant>
      <vt:variant>
        <vt:i4>6488138</vt:i4>
      </vt:variant>
      <vt:variant>
        <vt:i4>6</vt:i4>
      </vt:variant>
      <vt:variant>
        <vt:i4>0</vt:i4>
      </vt:variant>
      <vt:variant>
        <vt:i4>5</vt:i4>
      </vt:variant>
      <vt:variant>
        <vt:lpwstr>http://www.ncbi.nlm.nih.gov/sites/entrez?Db=pubmed&amp;Cmd=Search&amp;Term=%22Konstam%20MA%22%5BAuthor%5D&amp;itool=EntrezSystem2.PEntrez.Pubmed.Pubmed_ResultsPanel.Pubmed_DiscoveryPanel.Pubmed_RVAbstractPlus</vt:lpwstr>
      </vt:variant>
      <vt:variant>
        <vt:lpwstr/>
      </vt:variant>
      <vt:variant>
        <vt:i4>7733341</vt:i4>
      </vt:variant>
      <vt:variant>
        <vt:i4>3</vt:i4>
      </vt:variant>
      <vt:variant>
        <vt:i4>0</vt:i4>
      </vt:variant>
      <vt:variant>
        <vt:i4>5</vt:i4>
      </vt:variant>
      <vt:variant>
        <vt:lpwstr>http://www.ncbi.nlm.nih.gov/sites/entrez?Db=pubmed&amp;Cmd=Search&amp;Term=%22Gheorghiade%20M%22%5BAuthor%5D&amp;itool=EntrezSystem2.PEntrez.Pubmed.Pubmed_ResultsPanel.Pubmed_DiscoveryPanel.Pubmed_RVAbstractPlus</vt:lpwstr>
      </vt:variant>
      <vt:variant>
        <vt:lpwstr/>
      </vt:variant>
      <vt:variant>
        <vt:i4>4849753</vt:i4>
      </vt:variant>
      <vt:variant>
        <vt:i4>0</vt:i4>
      </vt:variant>
      <vt:variant>
        <vt:i4>0</vt:i4>
      </vt:variant>
      <vt:variant>
        <vt:i4>5</vt:i4>
      </vt:variant>
      <vt:variant>
        <vt:lpwstr>http://www.dovepress.com/author_guidelines.php?folder_id=208</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Manuscript template</dc:title>
  <dc:subject/>
  <dc:creator>Angela Jones</dc:creator>
  <cp:keywords/>
  <cp:lastModifiedBy>MH</cp:lastModifiedBy>
  <cp:revision>23</cp:revision>
  <cp:lastPrinted>2009-01-07T21:57:00Z</cp:lastPrinted>
  <dcterms:created xsi:type="dcterms:W3CDTF">2023-08-26T15:09:00Z</dcterms:created>
  <dcterms:modified xsi:type="dcterms:W3CDTF">2023-11-11T22:12:00Z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bbab825-a111-45e4-86a1-18cee0005896_Enabled">
    <vt:lpwstr>true</vt:lpwstr>
  </property>
  <property fmtid="{D5CDD505-2E9C-101B-9397-08002B2CF9AE}" pid="3" name="MSIP_Label_2bbab825-a111-45e4-86a1-18cee0005896_SetDate">
    <vt:lpwstr>2022-06-22T01:38:32Z</vt:lpwstr>
  </property>
  <property fmtid="{D5CDD505-2E9C-101B-9397-08002B2CF9AE}" pid="4" name="MSIP_Label_2bbab825-a111-45e4-86a1-18cee0005896_Method">
    <vt:lpwstr>Standard</vt:lpwstr>
  </property>
  <property fmtid="{D5CDD505-2E9C-101B-9397-08002B2CF9AE}" pid="5" name="MSIP_Label_2bbab825-a111-45e4-86a1-18cee0005896_Name">
    <vt:lpwstr>2bbab825-a111-45e4-86a1-18cee0005896</vt:lpwstr>
  </property>
  <property fmtid="{D5CDD505-2E9C-101B-9397-08002B2CF9AE}" pid="6" name="MSIP_Label_2bbab825-a111-45e4-86a1-18cee0005896_SiteId">
    <vt:lpwstr>2567d566-604c-408a-8a60-55d0dc9d9d6b</vt:lpwstr>
  </property>
  <property fmtid="{D5CDD505-2E9C-101B-9397-08002B2CF9AE}" pid="7" name="MSIP_Label_2bbab825-a111-45e4-86a1-18cee0005896_ActionId">
    <vt:lpwstr>0936c748-9820-4e4e-a7fa-9383c967e889</vt:lpwstr>
  </property>
  <property fmtid="{D5CDD505-2E9C-101B-9397-08002B2CF9AE}" pid="8" name="MSIP_Label_2bbab825-a111-45e4-86a1-18cee0005896_ContentBits">
    <vt:lpwstr>2</vt:lpwstr>
  </property>
  <property fmtid="{D5CDD505-2E9C-101B-9397-08002B2CF9AE}" pid="9" name="ZOTERO_PREF_1">
    <vt:lpwstr>&lt;data data-version="3" zotero-version="6.0.20"&gt;&lt;session id="fi5K2OB9"/&gt;&lt;style id="http://www.zotero.org/styles/american-medical-association" hasBibliography="1" bibliographyStyleHasBeenSet="1"/&gt;&lt;prefs&gt;&lt;pref name="fieldType" value="Field"/&gt;&lt;pref name="auto</vt:lpwstr>
  </property>
  <property fmtid="{D5CDD505-2E9C-101B-9397-08002B2CF9AE}" pid="10" name="ZOTERO_PREF_2">
    <vt:lpwstr>maticJournalAbbreviations" value="true"/&gt;&lt;/prefs&gt;&lt;/data&gt;</vt:lpwstr>
  </property>
</Properties>
</file>