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iCs/>
          <w:sz w:val="48"/>
          <w:szCs w:val="48"/>
        </w:rPr>
      </w:pPr>
      <w:bookmarkStart w:id="0" w:name="OLE_LINK5"/>
      <w:r>
        <w:rPr>
          <w:rFonts w:ascii="Times New Roman" w:hAnsi="Times New Roman" w:cs="Times New Roman"/>
          <w:b/>
          <w:iCs/>
          <w:sz w:val="48"/>
          <w:szCs w:val="48"/>
        </w:rPr>
        <w:t>Supplementary File</w:t>
      </w:r>
      <w:r>
        <w:rPr>
          <w:rFonts w:hint="eastAsia" w:ascii="Times New Roman" w:hAnsi="Times New Roman" w:cs="Times New Roman"/>
          <w:b/>
          <w:iCs/>
          <w:sz w:val="48"/>
          <w:szCs w:val="48"/>
        </w:rPr>
        <w:t xml:space="preserve"> </w:t>
      </w:r>
      <w:r>
        <w:rPr>
          <w:rFonts w:ascii="Times New Roman" w:hAnsi="Times New Roman" w:cs="Times New Roman"/>
          <w:b/>
          <w:iCs/>
          <w:sz w:val="48"/>
          <w:szCs w:val="48"/>
        </w:rPr>
        <w:t>1</w:t>
      </w:r>
    </w:p>
    <w:p>
      <w:pPr>
        <w:spacing w:line="360" w:lineRule="auto"/>
        <w:jc w:val="center"/>
        <w:rPr>
          <w:rFonts w:ascii="Times New Roman" w:hAnsi="Times New Roman" w:cs="Times New Roman"/>
          <w:b/>
          <w:iCs/>
          <w:sz w:val="48"/>
          <w:szCs w:val="48"/>
        </w:rPr>
      </w:pPr>
    </w:p>
    <w:p>
      <w:pPr>
        <w:spacing w:line="360" w:lineRule="auto"/>
        <w:rPr>
          <w:rFonts w:ascii="Times New Roman" w:hAnsi="Times New Roman" w:eastAsia="仿宋" w:cs="Times New Roman"/>
          <w:b/>
          <w:bCs/>
          <w:i/>
          <w:iCs/>
          <w:sz w:val="24"/>
          <w:szCs w:val="24"/>
        </w:rPr>
      </w:pPr>
      <w:r>
        <w:rPr>
          <w:rFonts w:ascii="Times New Roman" w:hAnsi="Times New Roman" w:cs="Times New Roman"/>
          <w:b/>
          <w:i/>
          <w:sz w:val="24"/>
        </w:rPr>
        <w:t>Relative risk reduction</w:t>
      </w:r>
      <w:bookmarkEnd w:id="0"/>
      <w:r>
        <w:rPr>
          <w:rFonts w:ascii="Times New Roman" w:hAnsi="Times New Roman" w:cs="Times New Roman"/>
          <w:b/>
          <w:i/>
          <w:sz w:val="24"/>
        </w:rPr>
        <w:t xml:space="preserve"> (RRR)</w:t>
      </w:r>
      <w:bookmarkStart w:id="8" w:name="_GoBack"/>
      <w:bookmarkEnd w:id="8"/>
    </w:p>
    <w:p>
      <w:pPr>
        <w:spacing w:line="360"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 w:cs="Times New Roman"/>
          <w:sz w:val="24"/>
          <w:szCs w:val="24"/>
        </w:rPr>
        <w:t>RRR</w:t>
      </w:r>
      <w:r>
        <w:rPr>
          <w:rFonts w:ascii="Times New Roman" w:hAnsi="Times New Roman" w:cs="Times New Roman"/>
          <w:sz w:val="24"/>
        </w:rPr>
        <w:t xml:space="preserve"> is the absolute risk reduction rate as a proportion of the event rate in the control group. </w:t>
      </w:r>
      <w:r>
        <w:rPr>
          <w:rFonts w:ascii="Times New Roman" w:hAnsi="Times New Roman" w:eastAsia="仿宋" w:cs="Times New Roman"/>
          <w:sz w:val="24"/>
          <w:szCs w:val="24"/>
        </w:rPr>
        <w:t>It was calculated with the following equation: RRR = |</w:t>
      </w:r>
      <w:r>
        <w:rPr>
          <w:rFonts w:ascii="Times New Roman" w:hAnsi="Times New Roman" w:cs="Times New Roman"/>
          <w:sz w:val="24"/>
        </w:rPr>
        <w:t>CER</w:t>
      </w:r>
      <w:r>
        <w:rPr>
          <w:rFonts w:ascii="Times New Roman" w:hAnsi="Times New Roman" w:eastAsia="仿宋" w:cs="Times New Roman"/>
          <w:sz w:val="24"/>
          <w:szCs w:val="24"/>
        </w:rPr>
        <w:t>−</w:t>
      </w:r>
      <w:r>
        <w:rPr>
          <w:rFonts w:ascii="Times New Roman" w:hAnsi="Times New Roman" w:cs="Times New Roman"/>
          <w:sz w:val="24"/>
        </w:rPr>
        <w:t>EER</w:t>
      </w:r>
      <w:r>
        <w:rPr>
          <w:rFonts w:ascii="Times New Roman" w:hAnsi="Times New Roman" w:eastAsia="仿宋" w:cs="Times New Roman"/>
          <w:sz w:val="24"/>
          <w:szCs w:val="24"/>
        </w:rPr>
        <w:t>|/</w:t>
      </w:r>
      <w:r>
        <w:rPr>
          <w:rFonts w:ascii="Times New Roman" w:hAnsi="Times New Roman" w:cs="Times New Roman"/>
          <w:sz w:val="24"/>
        </w:rPr>
        <w:t>CER</w:t>
      </w:r>
      <w:r>
        <w:rPr>
          <w:rFonts w:ascii="Times New Roman" w:hAnsi="Times New Roman" w:eastAsia="仿宋" w:cs="Times New Roman"/>
          <w:sz w:val="24"/>
          <w:szCs w:val="24"/>
        </w:rPr>
        <w:t xml:space="preserve"> = </w:t>
      </w:r>
      <w:r>
        <w:rPr>
          <w:rFonts w:ascii="Times New Roman" w:hAnsi="Times New Roman" w:cs="Times New Roman"/>
          <w:sz w:val="24"/>
        </w:rPr>
        <w:t>ARR</w:t>
      </w:r>
      <w:r>
        <w:rPr>
          <w:rFonts w:ascii="Times New Roman" w:hAnsi="Times New Roman" w:eastAsia="仿宋" w:cs="Times New Roman"/>
          <w:sz w:val="24"/>
          <w:szCs w:val="24"/>
        </w:rPr>
        <w:t>/</w:t>
      </w:r>
      <w:r>
        <w:rPr>
          <w:rFonts w:ascii="Times New Roman" w:hAnsi="Times New Roman" w:cs="Times New Roman"/>
          <w:sz w:val="24"/>
        </w:rPr>
        <w:t>CER</w:t>
      </w:r>
      <w:r>
        <w:rPr>
          <w:rFonts w:ascii="Times New Roman" w:hAnsi="Times New Roman" w:eastAsia="仿宋" w:cs="Times New Roman"/>
          <w:sz w:val="24"/>
          <w:szCs w:val="24"/>
        </w:rPr>
        <w:t>,</w:t>
      </w:r>
      <w:r>
        <w:rPr>
          <w:rFonts w:ascii="Times New Roman" w:hAnsi="Times New Roman" w:cs="Times New Roman"/>
          <w:sz w:val="24"/>
        </w:rPr>
        <w:t xml:space="preserve"> where CER is the event rate in the control group</w:t>
      </w:r>
      <w:r>
        <w:rPr>
          <w:rFonts w:ascii="Times New Roman" w:hAnsi="Times New Roman" w:eastAsia="仿宋" w:cs="Times New Roman"/>
          <w:sz w:val="24"/>
          <w:szCs w:val="24"/>
        </w:rPr>
        <w:t>;</w:t>
      </w:r>
      <w:r>
        <w:rPr>
          <w:rFonts w:ascii="Times New Roman" w:hAnsi="Times New Roman" w:cs="Times New Roman"/>
          <w:sz w:val="24"/>
        </w:rPr>
        <w:t xml:space="preserve"> EER is the event rate in the trial group</w:t>
      </w:r>
      <w:r>
        <w:rPr>
          <w:rFonts w:ascii="Times New Roman" w:hAnsi="Times New Roman" w:eastAsia="仿宋" w:cs="Times New Roman"/>
          <w:sz w:val="24"/>
          <w:szCs w:val="24"/>
        </w:rPr>
        <w:t>; and ARR is absolute risk reduction</w:t>
      </w:r>
      <w:r>
        <w:rPr>
          <w:rFonts w:ascii="Times New Roman" w:hAnsi="Times New Roman" w:cs="Times New Roman"/>
          <w:sz w:val="24"/>
        </w:rPr>
        <w:t>.</w:t>
      </w:r>
    </w:p>
    <w:p>
      <w:pPr>
        <w:spacing w:line="360" w:lineRule="auto"/>
        <w:rPr>
          <w:rFonts w:ascii="Times New Roman" w:hAnsi="Times New Roman" w:cs="Times New Roman"/>
          <w:b/>
          <w:i/>
          <w:sz w:val="24"/>
        </w:rPr>
      </w:pPr>
      <w:r>
        <w:rPr>
          <w:rFonts w:ascii="Times New Roman" w:hAnsi="Times New Roman" w:cs="Times New Roman"/>
          <w:b/>
          <w:i/>
          <w:sz w:val="24"/>
        </w:rPr>
        <w:t>Surgery method</w:t>
      </w:r>
      <w:r>
        <w:rPr>
          <w:rFonts w:hint="eastAsia" w:ascii="Times New Roman" w:hAnsi="Times New Roman" w:cs="Times New Roman"/>
          <w:b/>
          <w:i/>
          <w:sz w:val="24"/>
        </w:rPr>
        <w:t>s</w:t>
      </w:r>
      <w:r>
        <w:rPr>
          <w:rFonts w:ascii="Times New Roman" w:hAnsi="Times New Roman" w:cs="Times New Roman"/>
          <w:b/>
          <w:i/>
          <w:sz w:val="24"/>
        </w:rPr>
        <w:t xml:space="preserve"> and </w:t>
      </w:r>
      <w:r>
        <w:rPr>
          <w:rFonts w:hint="eastAsia" w:ascii="Times New Roman" w:hAnsi="Times New Roman" w:cs="Times New Roman"/>
          <w:b/>
          <w:i/>
          <w:sz w:val="24"/>
        </w:rPr>
        <w:t>risk models</w:t>
      </w:r>
    </w:p>
    <w:p>
      <w:pPr>
        <w:numPr>
          <w:ilvl w:val="0"/>
          <w:numId w:val="1"/>
        </w:numPr>
        <w:spacing w:line="360" w:lineRule="auto"/>
        <w:rPr>
          <w:rFonts w:ascii="Times New Roman" w:hAnsi="Times New Roman" w:cs="Times New Roman"/>
          <w:bCs/>
          <w:iCs/>
          <w:sz w:val="24"/>
        </w:rPr>
      </w:pPr>
      <w:r>
        <w:rPr>
          <w:rFonts w:ascii="Times New Roman" w:hAnsi="Times New Roman" w:cs="Times New Roman"/>
          <w:bCs/>
          <w:iCs/>
          <w:sz w:val="24"/>
        </w:rPr>
        <w:t>LSG: Three surgeons performed all LSG procedures on the enrolled patients using a standardized approach. Patients were first placed in a supine position with their legs spread in an "A" shape, then a pneumoperitoneum was established and a complete separation with a large curve was performed from approximately 3 cm above the pyloric ring to the angle of His. A 36 Fr. Bougie tube is then advanced through the patient's mouth and into their stomach. After the tip of the tube is passed through the pylorus, the gastric tissue is gradually separated with a linear cutting anastomosis from approximately 3 cm above the pylorus to the angle of His and the entire fundus is removed.</w:t>
      </w:r>
      <w:r>
        <w:rPr>
          <w:rFonts w:ascii="Times New Roman" w:hAnsi="Times New Roman" w:cs="Times New Roman"/>
          <w:bCs/>
          <w:iCs/>
          <w:sz w:val="24"/>
        </w:rPr>
        <w:fldChar w:fldCharType="begin"/>
      </w:r>
      <w:r>
        <w:rPr>
          <w:rFonts w:ascii="Times New Roman" w:hAnsi="Times New Roman" w:cs="Times New Roman"/>
          <w:bCs/>
          <w:iCs/>
          <w:sz w:val="24"/>
        </w:rPr>
        <w:instrText xml:space="preserve"> ADDIN NE.Ref.{F9E8F3CC-DFFB-462C-AE7C-7B5D61C8225B}</w:instrText>
      </w:r>
      <w:r>
        <w:rPr>
          <w:rFonts w:ascii="Times New Roman" w:hAnsi="Times New Roman" w:cs="Times New Roman"/>
          <w:bCs/>
          <w:iCs/>
          <w:sz w:val="24"/>
        </w:rPr>
        <w:fldChar w:fldCharType="separate"/>
      </w:r>
      <w:r>
        <w:rPr>
          <w:rFonts w:ascii="Times New Roman" w:hAnsi="Times New Roman" w:cs="Times New Roman"/>
          <w:color w:val="080000"/>
          <w:szCs w:val="24"/>
          <w:vertAlign w:val="superscript"/>
        </w:rPr>
        <w:t>[1]</w:t>
      </w:r>
      <w:r>
        <w:rPr>
          <w:rFonts w:ascii="Times New Roman" w:hAnsi="Times New Roman" w:cs="Times New Roman"/>
          <w:bCs/>
          <w:iCs/>
          <w:sz w:val="24"/>
        </w:rPr>
        <w:fldChar w:fldCharType="end"/>
      </w:r>
    </w:p>
    <w:p>
      <w:pPr>
        <w:spacing w:line="360" w:lineRule="auto"/>
        <w:rPr>
          <w:rFonts w:ascii="Times New Roman" w:hAnsi="Times New Roman" w:cs="Times New Roman"/>
          <w:bCs/>
          <w:iCs/>
          <w:sz w:val="24"/>
        </w:rPr>
      </w:pPr>
    </w:p>
    <w:p>
      <w:pPr>
        <w:numPr>
          <w:ilvl w:val="0"/>
          <w:numId w:val="1"/>
        </w:numPr>
        <w:spacing w:line="360" w:lineRule="auto"/>
        <w:rPr>
          <w:rFonts w:ascii="Times New Roman" w:hAnsi="Times New Roman" w:cs="Times New Roman"/>
          <w:bCs/>
          <w:iCs/>
          <w:sz w:val="24"/>
        </w:rPr>
      </w:pPr>
      <w:r>
        <w:rPr>
          <w:rFonts w:ascii="Times New Roman" w:hAnsi="Times New Roman" w:cs="Times New Roman"/>
          <w:bCs/>
          <w:iCs/>
          <w:sz w:val="24"/>
        </w:rPr>
        <w:t>RYGB：Before the approval for surgical treatment, patients were evaluated via a multidisciplinary team (MDT), including a physician, psychologist, metabolic dietician, and surgeon. RYGB was carried out according to the previously reported method, using 30 cm biliopancreatic limb, 100 cm retrocolic Roux limb, and gastric pouch based on a 30 ml vertical lesser-curve. The hand-sewn method was used to fashion the GJ (gastrojejunostomy) and mesenteric defects were closed via non-absorbable sutures.</w:t>
      </w:r>
      <w:r>
        <w:rPr>
          <w:rFonts w:ascii="Times New Roman" w:hAnsi="Times New Roman" w:cs="Times New Roman"/>
          <w:bCs/>
          <w:iCs/>
          <w:sz w:val="24"/>
        </w:rPr>
        <w:fldChar w:fldCharType="begin"/>
      </w:r>
      <w:r>
        <w:rPr>
          <w:rFonts w:ascii="Times New Roman" w:hAnsi="Times New Roman" w:cs="Times New Roman"/>
          <w:bCs/>
          <w:iCs/>
          <w:sz w:val="24"/>
        </w:rPr>
        <w:instrText xml:space="preserve"> ADDIN NE.Ref.{2A5404A5-4CC2-4E47-AE07-C8904738D1DB}</w:instrText>
      </w:r>
      <w:r>
        <w:rPr>
          <w:rFonts w:ascii="Times New Roman" w:hAnsi="Times New Roman" w:cs="Times New Roman"/>
          <w:bCs/>
          <w:iCs/>
          <w:sz w:val="24"/>
        </w:rPr>
        <w:fldChar w:fldCharType="separate"/>
      </w:r>
      <w:r>
        <w:rPr>
          <w:rFonts w:ascii="Times New Roman" w:hAnsi="Times New Roman" w:cs="Times New Roman"/>
          <w:color w:val="080000"/>
          <w:szCs w:val="24"/>
          <w:vertAlign w:val="superscript"/>
        </w:rPr>
        <w:t>[2, 3]</w:t>
      </w:r>
      <w:r>
        <w:rPr>
          <w:rFonts w:ascii="Times New Roman" w:hAnsi="Times New Roman" w:cs="Times New Roman"/>
          <w:bCs/>
          <w:iCs/>
          <w:sz w:val="24"/>
        </w:rPr>
        <w:fldChar w:fldCharType="end"/>
      </w:r>
    </w:p>
    <w:p>
      <w:pPr>
        <w:spacing w:line="360" w:lineRule="auto"/>
        <w:rPr>
          <w:rFonts w:ascii="Times New Roman" w:hAnsi="Times New Roman" w:cs="Times New Roman"/>
          <w:sz w:val="24"/>
        </w:rPr>
      </w:pPr>
    </w:p>
    <w:p>
      <w:pPr>
        <w:numPr>
          <w:ilvl w:val="0"/>
          <w:numId w:val="1"/>
        </w:numPr>
        <w:spacing w:line="360" w:lineRule="auto"/>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sz w:val="24"/>
        </w:rPr>
        <w:t xml:space="preserve">FRS is a statistical algorithm that uses many risk factors such as age, gender, blood pressure, cholesterol level, smoking history, and diabetes status to evaluate the 10- and 30-year risks of developing CVD events including stroke, coronary heart disease, peripheral arterial disease, or heart failure. </w:t>
      </w:r>
      <w:r>
        <w:rPr>
          <w:rFonts w:ascii="Times New Roman" w:hAnsi="Times New Roman" w:eastAsia="仿宋" w:cs="Times New Roman"/>
          <w:sz w:val="24"/>
          <w:szCs w:val="24"/>
        </w:rPr>
        <w:t>[</w:t>
      </w:r>
      <w:r>
        <w:fldChar w:fldCharType="begin"/>
      </w:r>
      <w:r>
        <w:instrText xml:space="preserve"> HYPERLINK "https://framinghamheartstudy.org/fhs-risk-functions/cardiovascular-disease-10-year-risk/" </w:instrText>
      </w:r>
      <w:r>
        <w:fldChar w:fldCharType="separate"/>
      </w:r>
      <w:r>
        <w:rPr>
          <w:rStyle w:val="12"/>
          <w:rFonts w:ascii="Times New Roman" w:hAnsi="Times New Roman" w:eastAsia="仿宋" w:cs="Times New Roman"/>
          <w:sz w:val="24"/>
          <w:szCs w:val="24"/>
        </w:rPr>
        <w:t>framinghamheartstudy.org</w:t>
      </w:r>
      <w:r>
        <w:rPr>
          <w:rStyle w:val="12"/>
          <w:rFonts w:ascii="Times New Roman" w:hAnsi="Times New Roman" w:eastAsia="仿宋" w:cs="Times New Roman"/>
          <w:sz w:val="24"/>
          <w:szCs w:val="24"/>
        </w:rPr>
        <w:fldChar w:fldCharType="end"/>
      </w:r>
      <w:r>
        <w:rPr>
          <w:rFonts w:ascii="Times New Roman" w:hAnsi="Times New Roman" w:eastAsia="仿宋" w:cs="Times New Roman"/>
          <w:sz w:val="24"/>
          <w:szCs w:val="24"/>
        </w:rPr>
        <w:t>].</w:t>
      </w:r>
      <w:r>
        <w:rPr>
          <w:rFonts w:ascii="Times New Roman" w:hAnsi="Times New Roman" w:cs="Times New Roman"/>
          <w:color w:val="000000" w:themeColor="text1"/>
          <w:kern w:val="0"/>
          <w:sz w:val="24"/>
          <w14:textFill>
            <w14:solidFill>
              <w14:schemeClr w14:val="tx1"/>
            </w14:solidFill>
          </w14:textFill>
        </w:rPr>
        <w:fldChar w:fldCharType="begin"/>
      </w:r>
      <w:r>
        <w:rPr>
          <w:rFonts w:ascii="Times New Roman" w:hAnsi="Times New Roman" w:cs="Times New Roman"/>
          <w:color w:val="000000" w:themeColor="text1"/>
          <w:kern w:val="0"/>
          <w:sz w:val="24"/>
          <w14:textFill>
            <w14:solidFill>
              <w14:schemeClr w14:val="tx1"/>
            </w14:solidFill>
          </w14:textFill>
        </w:rPr>
        <w:instrText xml:space="preserve"> ADDIN NE.Ref.{8282546B-E534-4597-8488-9F0D43B280E9}</w:instrText>
      </w:r>
      <w:r>
        <w:rPr>
          <w:rFonts w:ascii="Times New Roman" w:hAnsi="Times New Roman" w:cs="Times New Roman"/>
          <w:color w:val="000000" w:themeColor="text1"/>
          <w:kern w:val="0"/>
          <w:sz w:val="24"/>
          <w14:textFill>
            <w14:solidFill>
              <w14:schemeClr w14:val="tx1"/>
            </w14:solidFill>
          </w14:textFill>
        </w:rPr>
        <w:fldChar w:fldCharType="separate"/>
      </w:r>
      <w:r>
        <w:rPr>
          <w:rFonts w:ascii="Times New Roman" w:hAnsi="Times New Roman" w:cs="Times New Roman"/>
          <w:color w:val="080000"/>
          <w:szCs w:val="24"/>
          <w:vertAlign w:val="superscript"/>
        </w:rPr>
        <w:t>[4]</w:t>
      </w:r>
      <w:r>
        <w:rPr>
          <w:rFonts w:ascii="Times New Roman" w:hAnsi="Times New Roman" w:cs="Times New Roman"/>
          <w:color w:val="000000" w:themeColor="text1"/>
          <w:kern w:val="0"/>
          <w:sz w:val="24"/>
          <w14:textFill>
            <w14:solidFill>
              <w14:schemeClr w14:val="tx1"/>
            </w14:solidFill>
          </w14:textFill>
        </w:rPr>
        <w:fldChar w:fldCharType="end"/>
      </w:r>
    </w:p>
    <w:p>
      <w:pPr>
        <w:spacing w:line="360" w:lineRule="auto"/>
        <w:rPr>
          <w:rFonts w:ascii="Times New Roman" w:hAnsi="Times New Roman" w:cs="Times New Roman"/>
          <w:color w:val="000000" w:themeColor="text1"/>
          <w:kern w:val="0"/>
          <w:sz w:val="24"/>
          <w14:textFill>
            <w14:solidFill>
              <w14:schemeClr w14:val="tx1"/>
            </w14:solidFill>
          </w14:textFill>
        </w:rPr>
      </w:pPr>
    </w:p>
    <w:p>
      <w:pPr>
        <w:numPr>
          <w:ilvl w:val="0"/>
          <w:numId w:val="1"/>
        </w:numPr>
        <w:spacing w:line="360" w:lineRule="auto"/>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 xml:space="preserve">The China-PAR project is a specific equation constructed </w:t>
      </w:r>
      <w:r>
        <w:rPr>
          <w:rFonts w:ascii="Times New Roman" w:hAnsi="Times New Roman" w:eastAsia="宋体" w:cs="Times New Roman"/>
          <w:color w:val="000000" w:themeColor="text1"/>
          <w:kern w:val="0"/>
          <w:sz w:val="24"/>
          <w:szCs w:val="24"/>
          <w:lang w:bidi="ar"/>
          <w14:textFill>
            <w14:solidFill>
              <w14:schemeClr w14:val="tx1"/>
            </w14:solidFill>
          </w14:textFill>
        </w:rPr>
        <w:t xml:space="preserve">based </w:t>
      </w:r>
      <w:r>
        <w:rPr>
          <w:rFonts w:ascii="Times New Roman" w:hAnsi="Times New Roman" w:cs="Times New Roman"/>
          <w:color w:val="000000" w:themeColor="text1"/>
          <w:kern w:val="0"/>
          <w:sz w:val="24"/>
          <w14:textFill>
            <w14:solidFill>
              <w14:schemeClr w14:val="tx1"/>
            </w14:solidFill>
          </w14:textFill>
        </w:rPr>
        <w:t>on a representative sample cohort of Chinese people. Variables include sex, age, residence, HDL</w:t>
      </w:r>
      <w:r>
        <w:rPr>
          <w:rFonts w:ascii="Times New Roman" w:hAnsi="Times New Roman" w:eastAsia="宋体" w:cs="Times New Roman"/>
          <w:color w:val="000000" w:themeColor="text1"/>
          <w:kern w:val="0"/>
          <w:sz w:val="24"/>
          <w:szCs w:val="24"/>
          <w:lang w:bidi="ar"/>
          <w14:textFill>
            <w14:solidFill>
              <w14:schemeClr w14:val="tx1"/>
            </w14:solidFill>
          </w14:textFill>
        </w:rPr>
        <w:t xml:space="preserve"> cholesterol levels</w:t>
      </w:r>
      <w:r>
        <w:rPr>
          <w:rFonts w:ascii="Times New Roman" w:hAnsi="Times New Roman" w:cs="Times New Roman"/>
          <w:color w:val="000000" w:themeColor="text1"/>
          <w:kern w:val="0"/>
          <w:sz w:val="24"/>
          <w14:textFill>
            <w14:solidFill>
              <w14:schemeClr w14:val="tx1"/>
            </w14:solidFill>
          </w14:textFill>
        </w:rPr>
        <w:t xml:space="preserve">, blood pressure, and </w:t>
      </w:r>
      <w:r>
        <w:rPr>
          <w:rFonts w:ascii="Times New Roman" w:hAnsi="Times New Roman" w:eastAsia="宋体" w:cs="Times New Roman"/>
          <w:color w:val="000000" w:themeColor="text1"/>
          <w:kern w:val="0"/>
          <w:sz w:val="24"/>
          <w:szCs w:val="24"/>
          <w:lang w:bidi="ar"/>
          <w14:textFill>
            <w14:solidFill>
              <w14:schemeClr w14:val="tx1"/>
            </w14:solidFill>
          </w14:textFill>
        </w:rPr>
        <w:t xml:space="preserve">use of </w:t>
      </w:r>
      <w:r>
        <w:rPr>
          <w:rFonts w:ascii="Times New Roman" w:hAnsi="Times New Roman" w:cs="Times New Roman"/>
          <w:color w:val="000000" w:themeColor="text1"/>
          <w:kern w:val="0"/>
          <w:sz w:val="24"/>
          <w14:textFill>
            <w14:solidFill>
              <w14:schemeClr w14:val="tx1"/>
            </w14:solidFill>
          </w14:textFill>
        </w:rPr>
        <w:t>antihypertensive medication</w:t>
      </w:r>
      <w:r>
        <w:rPr>
          <w:rFonts w:ascii="Times New Roman" w:hAnsi="Times New Roman" w:eastAsia="宋体" w:cs="Times New Roman"/>
          <w:color w:val="000000" w:themeColor="text1"/>
          <w:kern w:val="0"/>
          <w:sz w:val="24"/>
          <w:szCs w:val="24"/>
          <w:lang w:bidi="ar"/>
          <w14:textFill>
            <w14:solidFill>
              <w14:schemeClr w14:val="tx1"/>
            </w14:solidFill>
          </w14:textFill>
        </w:rPr>
        <w:t xml:space="preserve"> [</w:t>
      </w:r>
      <w:r>
        <w:fldChar w:fldCharType="begin"/>
      </w:r>
      <w:r>
        <w:instrText xml:space="preserve"> HYPERLINK "https://www.cvdrisk.com.cn/ASCVD/Articles/Index/1" </w:instrText>
      </w:r>
      <w:r>
        <w:fldChar w:fldCharType="separate"/>
      </w:r>
      <w:r>
        <w:rPr>
          <w:rStyle w:val="12"/>
          <w:rFonts w:ascii="Times New Roman" w:hAnsi="Times New Roman" w:eastAsia="宋体" w:cs="Times New Roman"/>
          <w:kern w:val="0"/>
          <w:sz w:val="24"/>
          <w:szCs w:val="24"/>
          <w:lang w:bidi="ar"/>
        </w:rPr>
        <w:t>cvdrisk.com.cn</w:t>
      </w:r>
      <w:r>
        <w:rPr>
          <w:rStyle w:val="12"/>
          <w:rFonts w:ascii="Times New Roman" w:hAnsi="Times New Roman" w:eastAsia="宋体" w:cs="Times New Roman"/>
          <w:kern w:val="0"/>
          <w:sz w:val="24"/>
          <w:szCs w:val="24"/>
          <w:lang w:bidi="ar"/>
        </w:rPr>
        <w:fldChar w:fldCharType="end"/>
      </w:r>
      <w:r>
        <w:rPr>
          <w:rFonts w:ascii="Times New Roman" w:hAnsi="Times New Roman" w:eastAsia="宋体" w:cs="Times New Roman"/>
          <w:color w:val="000000" w:themeColor="text1"/>
          <w:kern w:val="0"/>
          <w:sz w:val="24"/>
          <w:szCs w:val="24"/>
          <w:lang w:bidi="ar"/>
          <w14:textFill>
            <w14:solidFill>
              <w14:schemeClr w14:val="tx1"/>
            </w14:solidFill>
          </w14:textFill>
        </w:rPr>
        <w:t>].</w:t>
      </w:r>
      <w:r>
        <w:rPr>
          <w:rFonts w:ascii="Times New Roman" w:hAnsi="Times New Roman" w:eastAsia="宋体" w:cs="Times New Roman"/>
          <w:color w:val="000000" w:themeColor="text1"/>
          <w:kern w:val="0"/>
          <w:sz w:val="24"/>
          <w:szCs w:val="24"/>
          <w:lang w:bidi="ar"/>
          <w14:textFill>
            <w14:solidFill>
              <w14:schemeClr w14:val="tx1"/>
            </w14:solidFill>
          </w14:textFill>
        </w:rPr>
        <w:fldChar w:fldCharType="begin"/>
      </w:r>
      <w:r>
        <w:rPr>
          <w:rFonts w:ascii="Times New Roman" w:hAnsi="Times New Roman" w:eastAsia="宋体" w:cs="Times New Roman"/>
          <w:color w:val="000000" w:themeColor="text1"/>
          <w:kern w:val="0"/>
          <w:sz w:val="24"/>
          <w:szCs w:val="24"/>
          <w:lang w:bidi="ar"/>
          <w14:textFill>
            <w14:solidFill>
              <w14:schemeClr w14:val="tx1"/>
            </w14:solidFill>
          </w14:textFill>
        </w:rPr>
        <w:instrText xml:space="preserve"> ADDIN NE.Ref.{291F2B8F-5C6D-4021-AF81-66B5E2922DD6}</w:instrText>
      </w:r>
      <w:r>
        <w:rPr>
          <w:rFonts w:ascii="Times New Roman" w:hAnsi="Times New Roman" w:eastAsia="宋体" w:cs="Times New Roman"/>
          <w:color w:val="000000" w:themeColor="text1"/>
          <w:kern w:val="0"/>
          <w:sz w:val="24"/>
          <w:szCs w:val="24"/>
          <w:lang w:bidi="ar"/>
          <w14:textFill>
            <w14:solidFill>
              <w14:schemeClr w14:val="tx1"/>
            </w14:solidFill>
          </w14:textFill>
        </w:rPr>
        <w:fldChar w:fldCharType="separate"/>
      </w:r>
      <w:r>
        <w:rPr>
          <w:rFonts w:ascii="Times New Roman" w:hAnsi="Times New Roman" w:cs="Times New Roman"/>
          <w:color w:val="080000"/>
          <w:szCs w:val="24"/>
          <w:vertAlign w:val="superscript"/>
        </w:rPr>
        <w:t>[5]</w:t>
      </w:r>
      <w:r>
        <w:rPr>
          <w:rFonts w:ascii="Times New Roman" w:hAnsi="Times New Roman" w:eastAsia="宋体" w:cs="Times New Roman"/>
          <w:color w:val="000000" w:themeColor="text1"/>
          <w:kern w:val="0"/>
          <w:sz w:val="24"/>
          <w:szCs w:val="24"/>
          <w:lang w:bidi="ar"/>
          <w14:textFill>
            <w14:solidFill>
              <w14:schemeClr w14:val="tx1"/>
            </w14:solidFill>
          </w14:textFill>
        </w:rPr>
        <w:fldChar w:fldCharType="end"/>
      </w:r>
    </w:p>
    <w:p>
      <w:pPr>
        <w:spacing w:line="360" w:lineRule="auto"/>
        <w:rPr>
          <w:rFonts w:ascii="Times New Roman" w:hAnsi="Times New Roman" w:eastAsia="宋体" w:cs="Times New Roman"/>
          <w:color w:val="000000" w:themeColor="text1"/>
          <w:kern w:val="0"/>
          <w:sz w:val="24"/>
          <w:szCs w:val="24"/>
          <w:lang w:bidi="ar"/>
          <w14:textFill>
            <w14:solidFill>
              <w14:schemeClr w14:val="tx1"/>
            </w14:solidFill>
          </w14:textFill>
        </w:rPr>
      </w:pPr>
    </w:p>
    <w:p>
      <w:pPr>
        <w:numPr>
          <w:ilvl w:val="0"/>
          <w:numId w:val="1"/>
        </w:numPr>
        <w:spacing w:line="360" w:lineRule="auto"/>
        <w:rPr>
          <w:rFonts w:ascii="Times New Roman" w:hAnsi="Times New Roman"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The WHO risk model utilizes individual participant data sourced from the Emerging Risk Factors Collaboration to predict the risk of developing fatal and non-fatal cardiovascular diseases, including myocardial infarction and stroke, over a 10-year period. The model includes various factors, such as age, smoking habits, blood pressure, diabetic history, and total cholesterol levels.</w:t>
      </w:r>
      <w:r>
        <w:rPr>
          <w:rFonts w:ascii="Times New Roman" w:hAnsi="Times New Roman" w:cs="Times New Roman"/>
          <w:color w:val="000000" w:themeColor="text1"/>
          <w:kern w:val="0"/>
          <w:sz w:val="24"/>
          <w14:textFill>
            <w14:solidFill>
              <w14:schemeClr w14:val="tx1"/>
            </w14:solidFill>
          </w14:textFill>
        </w:rPr>
        <w:fldChar w:fldCharType="begin"/>
      </w:r>
      <w:r>
        <w:rPr>
          <w:rFonts w:ascii="Times New Roman" w:hAnsi="Times New Roman" w:cs="Times New Roman"/>
          <w:color w:val="000000" w:themeColor="text1"/>
          <w:kern w:val="0"/>
          <w:sz w:val="24"/>
          <w14:textFill>
            <w14:solidFill>
              <w14:schemeClr w14:val="tx1"/>
            </w14:solidFill>
          </w14:textFill>
        </w:rPr>
        <w:instrText xml:space="preserve"> ADDIN NE.Ref.{34897409-C21C-4017-8EAD-34EA8293079B}</w:instrText>
      </w:r>
      <w:r>
        <w:rPr>
          <w:rFonts w:ascii="Times New Roman" w:hAnsi="Times New Roman" w:cs="Times New Roman"/>
          <w:color w:val="000000" w:themeColor="text1"/>
          <w:kern w:val="0"/>
          <w:sz w:val="24"/>
          <w14:textFill>
            <w14:solidFill>
              <w14:schemeClr w14:val="tx1"/>
            </w14:solidFill>
          </w14:textFill>
        </w:rPr>
        <w:fldChar w:fldCharType="separate"/>
      </w:r>
      <w:r>
        <w:rPr>
          <w:rFonts w:ascii="Times New Roman" w:hAnsi="Times New Roman" w:cs="Times New Roman"/>
          <w:color w:val="080000"/>
          <w:szCs w:val="24"/>
          <w:vertAlign w:val="superscript"/>
        </w:rPr>
        <w:t>[6]</w:t>
      </w:r>
      <w:r>
        <w:rPr>
          <w:rFonts w:ascii="Times New Roman" w:hAnsi="Times New Roman" w:cs="Times New Roman"/>
          <w:color w:val="000000" w:themeColor="text1"/>
          <w:kern w:val="0"/>
          <w:sz w:val="24"/>
          <w14:textFill>
            <w14:solidFill>
              <w14:schemeClr w14:val="tx1"/>
            </w14:solidFill>
          </w14:textFill>
        </w:rPr>
        <w:fldChar w:fldCharType="end"/>
      </w:r>
    </w:p>
    <w:p>
      <w:pPr>
        <w:spacing w:line="360" w:lineRule="auto"/>
        <w:rPr>
          <w:rFonts w:ascii="Times New Roman" w:hAnsi="Times New Roman" w:cs="Times New Roman"/>
          <w:color w:val="000000" w:themeColor="text1"/>
          <w:kern w:val="0"/>
          <w:sz w:val="24"/>
          <w14:textFill>
            <w14:solidFill>
              <w14:schemeClr w14:val="tx1"/>
            </w14:solidFill>
          </w14:textFill>
        </w:rPr>
      </w:pPr>
    </w:p>
    <w:p>
      <w:pPr>
        <w:numPr>
          <w:ilvl w:val="0"/>
          <w:numId w:val="1"/>
        </w:numPr>
        <w:spacing w:line="360" w:lineRule="auto"/>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 xml:space="preserve">The Globorisk model (laboratory and office-based risk scores and charts) is based on the original laboratory-based predictive model (Globorisk) recalibrated with country-specific average risk factor levels, with the laboratory-based risk scores including age, sex, smoking history, blood pressure, diabetes </w:t>
      </w:r>
      <w:r>
        <w:rPr>
          <w:rFonts w:ascii="Times New Roman" w:hAnsi="Times New Roman" w:eastAsia="宋体" w:cs="Times New Roman"/>
          <w:color w:val="000000" w:themeColor="text1"/>
          <w:kern w:val="0"/>
          <w:sz w:val="24"/>
          <w:szCs w:val="24"/>
          <w:lang w:bidi="ar"/>
          <w14:textFill>
            <w14:solidFill>
              <w14:schemeClr w14:val="tx1"/>
            </w14:solidFill>
          </w14:textFill>
        </w:rPr>
        <w:t xml:space="preserve">status, </w:t>
      </w:r>
      <w:r>
        <w:rPr>
          <w:rFonts w:ascii="Times New Roman" w:hAnsi="Times New Roman" w:cs="Times New Roman"/>
          <w:color w:val="000000" w:themeColor="text1"/>
          <w:kern w:val="0"/>
          <w:sz w:val="24"/>
          <w14:textFill>
            <w14:solidFill>
              <w14:schemeClr w14:val="tx1"/>
            </w14:solidFill>
          </w14:textFill>
        </w:rPr>
        <w:t>and total cholesterol</w:t>
      </w:r>
      <w:r>
        <w:rPr>
          <w:rFonts w:ascii="Times New Roman" w:hAnsi="Times New Roman" w:eastAsia="宋体" w:cs="Times New Roman"/>
          <w:color w:val="000000" w:themeColor="text1"/>
          <w:kern w:val="0"/>
          <w:sz w:val="24"/>
          <w:szCs w:val="24"/>
          <w:lang w:bidi="ar"/>
          <w14:textFill>
            <w14:solidFill>
              <w14:schemeClr w14:val="tx1"/>
            </w14:solidFill>
          </w14:textFill>
        </w:rPr>
        <w:t xml:space="preserve"> levels </w:t>
      </w:r>
      <w:r>
        <w:rPr>
          <w:rFonts w:ascii="Times New Roman" w:hAnsi="Times New Roman" w:cs="Times New Roman"/>
          <w:color w:val="000000" w:themeColor="text1"/>
          <w:kern w:val="0"/>
          <w:sz w:val="24"/>
          <w14:textFill>
            <w14:solidFill>
              <w14:schemeClr w14:val="tx1"/>
            </w14:solidFill>
          </w14:textFill>
        </w:rPr>
        <w:t xml:space="preserve">and the non-laboratory (office-based) risk scores </w:t>
      </w:r>
      <w:r>
        <w:rPr>
          <w:rFonts w:ascii="Times New Roman" w:hAnsi="Times New Roman" w:eastAsia="宋体" w:cs="Times New Roman"/>
          <w:color w:val="000000" w:themeColor="text1"/>
          <w:kern w:val="0"/>
          <w:sz w:val="24"/>
          <w:szCs w:val="24"/>
          <w:lang w:bidi="ar"/>
          <w14:textFill>
            <w14:solidFill>
              <w14:schemeClr w14:val="tx1"/>
            </w14:solidFill>
          </w14:textFill>
        </w:rPr>
        <w:t>in which the</w:t>
      </w:r>
      <w:r>
        <w:rPr>
          <w:rFonts w:ascii="Times New Roman" w:hAnsi="Times New Roman" w:cs="Times New Roman"/>
          <w:color w:val="000000" w:themeColor="text1"/>
          <w:kern w:val="0"/>
          <w:sz w:val="24"/>
          <w14:textFill>
            <w14:solidFill>
              <w14:schemeClr w14:val="tx1"/>
            </w14:solidFill>
          </w14:textFill>
        </w:rPr>
        <w:t xml:space="preserve"> diabetes </w:t>
      </w:r>
      <w:r>
        <w:rPr>
          <w:rFonts w:ascii="Times New Roman" w:hAnsi="Times New Roman" w:eastAsia="宋体" w:cs="Times New Roman"/>
          <w:color w:val="000000" w:themeColor="text1"/>
          <w:kern w:val="0"/>
          <w:sz w:val="24"/>
          <w:szCs w:val="24"/>
          <w:lang w:bidi="ar"/>
          <w14:textFill>
            <w14:solidFill>
              <w14:schemeClr w14:val="tx1"/>
            </w14:solidFill>
          </w14:textFill>
        </w:rPr>
        <w:t xml:space="preserve">status </w:t>
      </w:r>
      <w:r>
        <w:rPr>
          <w:rFonts w:ascii="Times New Roman" w:hAnsi="Times New Roman" w:cs="Times New Roman"/>
          <w:color w:val="000000" w:themeColor="text1"/>
          <w:kern w:val="0"/>
          <w:sz w:val="24"/>
          <w14:textFill>
            <w14:solidFill>
              <w14:schemeClr w14:val="tx1"/>
            </w14:solidFill>
          </w14:textFill>
        </w:rPr>
        <w:t xml:space="preserve">and total cholesterol </w:t>
      </w:r>
      <w:r>
        <w:rPr>
          <w:rFonts w:ascii="Times New Roman" w:hAnsi="Times New Roman" w:eastAsia="宋体" w:cs="Times New Roman"/>
          <w:color w:val="000000" w:themeColor="text1"/>
          <w:kern w:val="0"/>
          <w:sz w:val="24"/>
          <w:szCs w:val="24"/>
          <w:lang w:bidi="ar"/>
          <w14:textFill>
            <w14:solidFill>
              <w14:schemeClr w14:val="tx1"/>
            </w14:solidFill>
          </w14:textFill>
        </w:rPr>
        <w:t xml:space="preserve">levels are replaced </w:t>
      </w:r>
      <w:r>
        <w:rPr>
          <w:rFonts w:ascii="Times New Roman" w:hAnsi="Times New Roman" w:cs="Times New Roman"/>
          <w:color w:val="000000" w:themeColor="text1"/>
          <w:kern w:val="0"/>
          <w:sz w:val="24"/>
          <w14:textFill>
            <w14:solidFill>
              <w14:schemeClr w14:val="tx1"/>
            </w14:solidFill>
          </w14:textFill>
        </w:rPr>
        <w:t>with BMI.</w:t>
      </w:r>
      <w:r>
        <w:rPr>
          <w:rFonts w:ascii="Times New Roman" w:hAnsi="Times New Roman" w:cs="Times New Roman"/>
          <w:color w:val="000000" w:themeColor="text1"/>
          <w:kern w:val="0"/>
          <w:sz w:val="24"/>
          <w14:textFill>
            <w14:solidFill>
              <w14:schemeClr w14:val="tx1"/>
            </w14:solidFill>
          </w14:textFill>
        </w:rPr>
        <w:fldChar w:fldCharType="begin"/>
      </w:r>
      <w:r>
        <w:rPr>
          <w:rFonts w:ascii="Times New Roman" w:hAnsi="Times New Roman" w:cs="Times New Roman"/>
          <w:color w:val="000000" w:themeColor="text1"/>
          <w:kern w:val="0"/>
          <w:sz w:val="24"/>
          <w14:textFill>
            <w14:solidFill>
              <w14:schemeClr w14:val="tx1"/>
            </w14:solidFill>
          </w14:textFill>
        </w:rPr>
        <w:instrText xml:space="preserve"> ADDIN NE.Ref.{54372C05-ABA0-4FE1-9C24-11735556A154}</w:instrText>
      </w:r>
      <w:r>
        <w:rPr>
          <w:rFonts w:ascii="Times New Roman" w:hAnsi="Times New Roman" w:cs="Times New Roman"/>
          <w:color w:val="000000" w:themeColor="text1"/>
          <w:kern w:val="0"/>
          <w:sz w:val="24"/>
          <w14:textFill>
            <w14:solidFill>
              <w14:schemeClr w14:val="tx1"/>
            </w14:solidFill>
          </w14:textFill>
        </w:rPr>
        <w:fldChar w:fldCharType="separate"/>
      </w:r>
      <w:r>
        <w:rPr>
          <w:rFonts w:ascii="Times New Roman" w:hAnsi="Times New Roman" w:cs="Times New Roman"/>
          <w:color w:val="080000"/>
          <w:szCs w:val="24"/>
          <w:vertAlign w:val="superscript"/>
        </w:rPr>
        <w:t>[7]</w:t>
      </w:r>
      <w:r>
        <w:rPr>
          <w:rFonts w:ascii="Times New Roman" w:hAnsi="Times New Roman" w:cs="Times New Roman"/>
          <w:color w:val="000000" w:themeColor="text1"/>
          <w:kern w:val="0"/>
          <w:sz w:val="24"/>
          <w14:textFill>
            <w14:solidFill>
              <w14:schemeClr w14:val="tx1"/>
            </w14:solidFill>
          </w14:textFill>
        </w:rPr>
        <w:fldChar w:fldCharType="end"/>
      </w:r>
    </w:p>
    <w:p>
      <w:pPr>
        <w:widowControl/>
        <w:numPr>
          <w:ilvl w:val="255"/>
          <w:numId w:val="0"/>
        </w:numPr>
        <w:jc w:val="left"/>
        <w:rPr>
          <w:rFonts w:ascii="Times New Roman" w:hAnsi="Times New Roman" w:cs="Times New Roman"/>
          <w:color w:val="000000" w:themeColor="text1"/>
          <w:kern w:val="0"/>
          <w:sz w:val="18"/>
          <w:szCs w:val="18"/>
          <w14:textFill>
            <w14:solidFill>
              <w14:schemeClr w14:val="tx1"/>
            </w14:solidFill>
          </w14:textFill>
        </w:rPr>
        <w:sectPr>
          <w:footerReference r:id="rId5" w:type="first"/>
          <w:footerReference r:id="rId3" w:type="default"/>
          <w:footerReference r:id="rId4" w:type="even"/>
          <w:pgSz w:w="11906" w:h="16838"/>
          <w:pgMar w:top="1440" w:right="1800" w:bottom="1440" w:left="1800" w:header="851" w:footer="992" w:gutter="0"/>
          <w:lnNumType w:countBy="1"/>
          <w:cols w:space="425" w:num="1"/>
          <w:docGrid w:type="lines" w:linePitch="312" w:charSpace="0"/>
        </w:sectPr>
      </w:pPr>
    </w:p>
    <w:p>
      <w:pPr>
        <w:jc w:val="center"/>
        <w:rPr>
          <w:rFonts w:ascii="Times New Roman" w:hAnsi="Times New Roman" w:cs="Times New Roman"/>
          <w:color w:val="000000" w:themeColor="text1"/>
          <w:kern w:val="0"/>
          <w:sz w:val="24"/>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 xml:space="preserve">Table </w:t>
      </w:r>
      <w:r>
        <w:rPr>
          <w:rStyle w:val="13"/>
          <w:rFonts w:ascii="Times New Roman" w:hAnsi="Times New Roman" w:cs="Times New Roman"/>
          <w:sz w:val="18"/>
          <w:szCs w:val="18"/>
        </w:rPr>
        <w:t>S1</w:t>
      </w:r>
      <w:r>
        <w:rPr>
          <w:rFonts w:hint="eastAsia" w:ascii="Times New Roman" w:hAnsi="Times New Roman" w:cs="Times New Roman"/>
          <w:color w:val="000000" w:themeColor="text1"/>
          <w:kern w:val="0"/>
          <w:sz w:val="18"/>
          <w:szCs w:val="18"/>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Introduction to Cardiovascular Disease Risk Assessment Models</w:t>
      </w:r>
    </w:p>
    <w:tbl>
      <w:tblPr>
        <w:tblStyle w:val="8"/>
        <w:tblpPr w:leftFromText="180" w:rightFromText="180" w:vertAnchor="text" w:tblpXSpec="center" w:tblpY="1"/>
        <w:tblOverlap w:val="never"/>
        <w:tblW w:w="11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2876"/>
        <w:gridCol w:w="2678"/>
        <w:gridCol w:w="3044"/>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pPr>
              <w:jc w:val="center"/>
              <w:rPr>
                <w:rFonts w:ascii="Times New Roman" w:hAnsi="Times New Roman" w:cs="Times New Roman"/>
                <w:b/>
                <w:bCs/>
                <w:sz w:val="18"/>
                <w:szCs w:val="18"/>
              </w:rPr>
            </w:pPr>
            <w:r>
              <w:rPr>
                <w:rFonts w:ascii="Times New Roman" w:hAnsi="Times New Roman" w:cs="Times New Roman"/>
                <w:b/>
                <w:bCs/>
                <w:sz w:val="18"/>
                <w:szCs w:val="18"/>
              </w:rPr>
              <w:t>CVD risk model</w:t>
            </w:r>
          </w:p>
        </w:tc>
        <w:tc>
          <w:tcPr>
            <w:tcW w:w="2876" w:type="dxa"/>
            <w:vAlign w:val="center"/>
          </w:tcPr>
          <w:p>
            <w:pPr>
              <w:jc w:val="center"/>
              <w:rPr>
                <w:rFonts w:ascii="Times New Roman" w:hAnsi="Times New Roman" w:cs="Times New Roman"/>
                <w:b/>
                <w:bCs/>
                <w:sz w:val="18"/>
                <w:szCs w:val="18"/>
              </w:rPr>
            </w:pPr>
            <w:r>
              <w:rPr>
                <w:rFonts w:ascii="Times New Roman" w:hAnsi="Times New Roman" w:cs="Times New Roman"/>
                <w:b/>
                <w:bCs/>
                <w:sz w:val="18"/>
                <w:szCs w:val="18"/>
              </w:rPr>
              <w:t xml:space="preserve">Factors </w:t>
            </w:r>
            <w:r>
              <w:rPr>
                <w:rFonts w:hint="eastAsia" w:ascii="Times New Roman" w:hAnsi="Times New Roman" w:cs="Times New Roman"/>
                <w:b/>
                <w:bCs/>
                <w:sz w:val="18"/>
                <w:szCs w:val="18"/>
              </w:rPr>
              <w:t>of</w:t>
            </w:r>
            <w:r>
              <w:rPr>
                <w:rFonts w:ascii="Times New Roman" w:hAnsi="Times New Roman" w:cs="Times New Roman"/>
                <w:b/>
                <w:bCs/>
                <w:sz w:val="18"/>
                <w:szCs w:val="18"/>
              </w:rPr>
              <w:t xml:space="preserve"> inclusion</w:t>
            </w:r>
          </w:p>
        </w:tc>
        <w:tc>
          <w:tcPr>
            <w:tcW w:w="2678" w:type="dxa"/>
            <w:vAlign w:val="center"/>
          </w:tcPr>
          <w:p>
            <w:pPr>
              <w:jc w:val="center"/>
              <w:rPr>
                <w:rFonts w:ascii="Times New Roman" w:hAnsi="Times New Roman" w:cs="Times New Roman"/>
                <w:b/>
                <w:bCs/>
                <w:sz w:val="18"/>
                <w:szCs w:val="18"/>
              </w:rPr>
            </w:pPr>
            <w:r>
              <w:rPr>
                <w:rFonts w:hint="eastAsia" w:ascii="Times New Roman" w:hAnsi="Times New Roman" w:cs="Times New Roman"/>
                <w:b/>
                <w:bCs/>
                <w:sz w:val="18"/>
                <w:szCs w:val="18"/>
              </w:rPr>
              <w:t>Function</w:t>
            </w:r>
          </w:p>
        </w:tc>
        <w:tc>
          <w:tcPr>
            <w:tcW w:w="3044" w:type="dxa"/>
            <w:vAlign w:val="center"/>
          </w:tcPr>
          <w:p>
            <w:pPr>
              <w:jc w:val="center"/>
              <w:rPr>
                <w:rFonts w:ascii="Times New Roman" w:hAnsi="Times New Roman" w:cs="Times New Roman"/>
                <w:b/>
                <w:bCs/>
                <w:sz w:val="18"/>
                <w:szCs w:val="18"/>
              </w:rPr>
            </w:pPr>
            <w:r>
              <w:rPr>
                <w:rFonts w:ascii="Times New Roman" w:hAnsi="Times New Roman" w:cs="Times New Roman"/>
                <w:b/>
                <w:bCs/>
                <w:sz w:val="18"/>
                <w:szCs w:val="18"/>
              </w:rPr>
              <w:t>Title of citation</w:t>
            </w:r>
          </w:p>
        </w:tc>
        <w:tc>
          <w:tcPr>
            <w:tcW w:w="1805" w:type="dxa"/>
            <w:vAlign w:val="center"/>
          </w:tcPr>
          <w:p>
            <w:pPr>
              <w:jc w:val="center"/>
              <w:rPr>
                <w:rFonts w:ascii="Times New Roman" w:hAnsi="Times New Roman" w:cs="Times New Roman"/>
                <w:b/>
                <w:bCs/>
                <w:sz w:val="18"/>
                <w:szCs w:val="18"/>
              </w:rPr>
            </w:pPr>
            <w:r>
              <w:rPr>
                <w:rFonts w:hint="eastAsia" w:ascii="Times New Roman" w:hAnsi="Times New Roman" w:cs="Times New Roman"/>
                <w:b/>
                <w:bCs/>
                <w:sz w:val="18"/>
                <w:szCs w:val="18"/>
              </w:rPr>
              <w:t xml:space="preserve">PMID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pPr>
              <w:jc w:val="center"/>
              <w:rPr>
                <w:rFonts w:ascii="Times New Roman" w:hAnsi="Times New Roman" w:cs="Times New Roman"/>
                <w:sz w:val="18"/>
                <w:szCs w:val="18"/>
              </w:rPr>
            </w:pPr>
            <w:r>
              <w:rPr>
                <w:rFonts w:ascii="Times New Roman" w:hAnsi="Times New Roman" w:eastAsia="宋体" w:cs="Times New Roman"/>
                <w:sz w:val="18"/>
                <w:szCs w:val="18"/>
              </w:rPr>
              <w:t>China-PAR</w:t>
            </w:r>
          </w:p>
        </w:tc>
        <w:tc>
          <w:tcPr>
            <w:tcW w:w="2876" w:type="dxa"/>
            <w:vAlign w:val="center"/>
          </w:tcPr>
          <w:p>
            <w:pPr>
              <w:jc w:val="center"/>
              <w:rPr>
                <w:rFonts w:ascii="Times New Roman" w:hAnsi="Times New Roman" w:cs="Times New Roman"/>
                <w:sz w:val="18"/>
                <w:szCs w:val="18"/>
              </w:rPr>
            </w:pPr>
            <w:r>
              <w:rPr>
                <w:rFonts w:ascii="Times New Roman" w:hAnsi="Times New Roman" w:cs="Times New Roman"/>
                <w:sz w:val="18"/>
                <w:szCs w:val="18"/>
              </w:rPr>
              <w:t>Age, sex, TC, HDL-c, SBP, smoking, diabetes mellitus, waist circumference, geographic region (south or north), administrative region (urban or rural), family history</w:t>
            </w:r>
          </w:p>
        </w:tc>
        <w:tc>
          <w:tcPr>
            <w:tcW w:w="2678" w:type="dxa"/>
            <w:vAlign w:val="center"/>
          </w:tcPr>
          <w:p>
            <w:pPr>
              <w:numPr>
                <w:ilvl w:val="0"/>
                <w:numId w:val="2"/>
              </w:numPr>
              <w:jc w:val="center"/>
              <w:rPr>
                <w:rFonts w:ascii="Times New Roman" w:hAnsi="Times New Roman" w:cs="Times New Roman"/>
                <w:sz w:val="18"/>
                <w:szCs w:val="18"/>
              </w:rPr>
            </w:pPr>
            <w:r>
              <w:rPr>
                <w:rFonts w:ascii="Times New Roman" w:hAnsi="Times New Roman" w:cs="Times New Roman"/>
                <w:sz w:val="18"/>
                <w:szCs w:val="18"/>
              </w:rPr>
              <w:t>year risk of cardiovascular disease</w:t>
            </w:r>
          </w:p>
          <w:p>
            <w:pPr>
              <w:jc w:val="center"/>
              <w:rPr>
                <w:rFonts w:ascii="Times New Roman" w:hAnsi="Times New Roman" w:cs="Times New Roman"/>
                <w:sz w:val="18"/>
                <w:szCs w:val="18"/>
              </w:rPr>
            </w:pPr>
            <w:r>
              <w:rPr>
                <w:rFonts w:ascii="Times New Roman" w:hAnsi="Times New Roman" w:cs="Times New Roman"/>
                <w:sz w:val="18"/>
                <w:szCs w:val="18"/>
              </w:rPr>
              <w:t>Lifetime risk of cardiovascular disease</w:t>
            </w:r>
          </w:p>
        </w:tc>
        <w:tc>
          <w:tcPr>
            <w:tcW w:w="304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Predicting the Ten-Year Risks of Atherosclerotic Cardiovascular Disease in </w:t>
            </w:r>
          </w:p>
          <w:p>
            <w:pPr>
              <w:jc w:val="center"/>
              <w:rPr>
                <w:rFonts w:ascii="Times New Roman" w:hAnsi="Times New Roman" w:cs="Times New Roman"/>
                <w:sz w:val="18"/>
                <w:szCs w:val="18"/>
              </w:rPr>
            </w:pPr>
            <w:r>
              <w:rPr>
                <w:rFonts w:ascii="Times New Roman" w:hAnsi="Times New Roman" w:eastAsia="宋体" w:cs="Times New Roman"/>
                <w:sz w:val="18"/>
                <w:szCs w:val="18"/>
              </w:rPr>
              <w:t>Chinese Population: the China-PAR Project</w:t>
            </w:r>
          </w:p>
        </w:tc>
        <w:tc>
          <w:tcPr>
            <w:tcW w:w="1805" w:type="dxa"/>
            <w:vAlign w:val="center"/>
          </w:tcPr>
          <w:p>
            <w:pPr>
              <w:jc w:val="center"/>
              <w:rPr>
                <w:rFonts w:ascii="Times New Roman" w:hAnsi="Times New Roman" w:cs="Times New Roman"/>
                <w:sz w:val="18"/>
                <w:szCs w:val="18"/>
              </w:rPr>
            </w:pPr>
            <w:r>
              <w:rPr>
                <w:rFonts w:ascii="Times New Roman" w:hAnsi="Times New Roman" w:cs="Times New Roman"/>
                <w:sz w:val="18"/>
                <w:szCs w:val="18"/>
              </w:rPr>
              <w:t>27682885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pPr>
              <w:jc w:val="center"/>
              <w:rPr>
                <w:rFonts w:ascii="Times New Roman" w:hAnsi="Times New Roman" w:cs="Times New Roman"/>
                <w:sz w:val="18"/>
                <w:szCs w:val="18"/>
              </w:rPr>
            </w:pPr>
            <w:r>
              <w:rPr>
                <w:rFonts w:ascii="Times New Roman" w:hAnsi="Times New Roman" w:eastAsia="宋体" w:cs="Times New Roman"/>
                <w:sz w:val="18"/>
                <w:szCs w:val="18"/>
              </w:rPr>
              <w:t>FRS</w:t>
            </w:r>
          </w:p>
        </w:tc>
        <w:tc>
          <w:tcPr>
            <w:tcW w:w="2876" w:type="dxa"/>
            <w:vAlign w:val="center"/>
          </w:tcPr>
          <w:p>
            <w:pPr>
              <w:jc w:val="center"/>
              <w:rPr>
                <w:rFonts w:ascii="Times New Roman" w:hAnsi="Times New Roman" w:cs="Times New Roman"/>
                <w:sz w:val="18"/>
                <w:szCs w:val="18"/>
              </w:rPr>
            </w:pPr>
            <w:r>
              <w:rPr>
                <w:rFonts w:ascii="Times New Roman" w:hAnsi="Times New Roman" w:cs="Times New Roman"/>
                <w:sz w:val="18"/>
                <w:szCs w:val="18"/>
              </w:rPr>
              <w:t>Age, sex, TC, HDL-c, SBP, smoking, diabetes mellitus</w:t>
            </w:r>
          </w:p>
        </w:tc>
        <w:tc>
          <w:tcPr>
            <w:tcW w:w="2678"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10-</w:t>
            </w:r>
            <w:r>
              <w:rPr>
                <w:rFonts w:ascii="Times New Roman" w:hAnsi="Times New Roman" w:cs="Times New Roman"/>
                <w:sz w:val="18"/>
                <w:szCs w:val="18"/>
              </w:rPr>
              <w:t>Year Cardiovascular Risk Based on Laboratory Data and Non-Laboratory Data</w:t>
            </w:r>
          </w:p>
          <w:p>
            <w:pPr>
              <w:jc w:val="center"/>
              <w:rPr>
                <w:rFonts w:ascii="Times New Roman" w:hAnsi="Times New Roman" w:cs="Times New Roman"/>
                <w:sz w:val="18"/>
                <w:szCs w:val="18"/>
              </w:rPr>
            </w:pPr>
            <w:r>
              <w:rPr>
                <w:rFonts w:ascii="Times New Roman" w:hAnsi="Times New Roman" w:cs="Times New Roman"/>
                <w:sz w:val="18"/>
                <w:szCs w:val="18"/>
              </w:rPr>
              <w:t>30-Year Cardiovascular Risk Based on Laboratory Data and Non-Laboratory Data</w:t>
            </w:r>
          </w:p>
        </w:tc>
        <w:tc>
          <w:tcPr>
            <w:tcW w:w="3044" w:type="dxa"/>
            <w:vAlign w:val="center"/>
          </w:tcPr>
          <w:p>
            <w:pPr>
              <w:jc w:val="center"/>
              <w:rPr>
                <w:rFonts w:ascii="Times New Roman" w:hAnsi="Times New Roman" w:cs="Times New Roman"/>
                <w:sz w:val="18"/>
                <w:szCs w:val="18"/>
              </w:rPr>
            </w:pPr>
            <w:r>
              <w:rPr>
                <w:rFonts w:ascii="Times New Roman" w:hAnsi="Times New Roman" w:eastAsia="宋体" w:cs="Times New Roman"/>
                <w:sz w:val="18"/>
                <w:szCs w:val="18"/>
              </w:rPr>
              <w:t>General cardiovascular risk profile for use in primary care: the Framingham Heart Study</w:t>
            </w:r>
          </w:p>
        </w:tc>
        <w:tc>
          <w:tcPr>
            <w:tcW w:w="1805" w:type="dxa"/>
            <w:vAlign w:val="center"/>
          </w:tcPr>
          <w:p>
            <w:pPr>
              <w:jc w:val="center"/>
              <w:rPr>
                <w:rFonts w:ascii="Times New Roman" w:hAnsi="Times New Roman" w:cs="Times New Roman"/>
                <w:sz w:val="18"/>
                <w:szCs w:val="18"/>
              </w:rPr>
            </w:pPr>
            <w:r>
              <w:rPr>
                <w:rFonts w:ascii="Times New Roman" w:hAnsi="Times New Roman" w:cs="Times New Roman"/>
                <w:sz w:val="18"/>
                <w:szCs w:val="18"/>
              </w:rPr>
              <w:t>18212285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pPr>
              <w:jc w:val="center"/>
              <w:rPr>
                <w:rFonts w:ascii="Times New Roman" w:hAnsi="Times New Roman" w:cs="Times New Roman"/>
                <w:sz w:val="18"/>
                <w:szCs w:val="18"/>
              </w:rPr>
            </w:pPr>
            <w:r>
              <w:rPr>
                <w:rFonts w:ascii="Times New Roman" w:hAnsi="Times New Roman" w:eastAsia="宋体" w:cs="Times New Roman"/>
                <w:sz w:val="18"/>
                <w:szCs w:val="18"/>
              </w:rPr>
              <w:t>Glob</w:t>
            </w:r>
            <w:r>
              <w:rPr>
                <w:rFonts w:hint="eastAsia" w:ascii="Times New Roman" w:hAnsi="Times New Roman" w:eastAsia="宋体" w:cs="Times New Roman"/>
                <w:sz w:val="18"/>
                <w:szCs w:val="18"/>
              </w:rPr>
              <w:t>o</w:t>
            </w:r>
            <w:r>
              <w:rPr>
                <w:rFonts w:ascii="Times New Roman" w:hAnsi="Times New Roman" w:eastAsia="宋体" w:cs="Times New Roman"/>
                <w:sz w:val="18"/>
                <w:szCs w:val="18"/>
              </w:rPr>
              <w:t>risk</w:t>
            </w:r>
          </w:p>
        </w:tc>
        <w:tc>
          <w:tcPr>
            <w:tcW w:w="2876" w:type="dxa"/>
            <w:vAlign w:val="center"/>
          </w:tcPr>
          <w:p>
            <w:pPr>
              <w:jc w:val="center"/>
              <w:rPr>
                <w:rFonts w:ascii="Times New Roman" w:hAnsi="Times New Roman" w:cs="Times New Roman"/>
                <w:sz w:val="18"/>
                <w:szCs w:val="18"/>
              </w:rPr>
            </w:pPr>
            <w:r>
              <w:rPr>
                <w:rFonts w:ascii="Times New Roman" w:hAnsi="Times New Roman" w:cs="Times New Roman"/>
                <w:sz w:val="18"/>
                <w:szCs w:val="18"/>
              </w:rPr>
              <w:t>Age, sex, SBP, TC (or BMI), smoking, diabetes, country</w:t>
            </w:r>
          </w:p>
        </w:tc>
        <w:tc>
          <w:tcPr>
            <w:tcW w:w="2678"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10-</w:t>
            </w:r>
            <w:r>
              <w:rPr>
                <w:rFonts w:ascii="Times New Roman" w:hAnsi="Times New Roman" w:cs="Times New Roman"/>
                <w:sz w:val="18"/>
                <w:szCs w:val="18"/>
              </w:rPr>
              <w:t>Year Cardiovascular Risk Based on Laboratory Data and Non-Laboratory Data</w:t>
            </w:r>
          </w:p>
        </w:tc>
        <w:tc>
          <w:tcPr>
            <w:tcW w:w="3044" w:type="dxa"/>
            <w:vAlign w:val="center"/>
          </w:tcPr>
          <w:p>
            <w:pPr>
              <w:jc w:val="center"/>
              <w:rPr>
                <w:rFonts w:ascii="Times New Roman" w:hAnsi="Times New Roman" w:cs="Times New Roman"/>
                <w:sz w:val="18"/>
                <w:szCs w:val="18"/>
              </w:rPr>
            </w:pPr>
            <w:r>
              <w:rPr>
                <w:rFonts w:ascii="Times New Roman" w:hAnsi="Times New Roman" w:eastAsia="宋体" w:cs="Times New Roman"/>
                <w:sz w:val="18"/>
                <w:szCs w:val="18"/>
              </w:rPr>
              <w:t>Laboratory-based and office-based risk scores and charts to predict 10-year risk of cardiovascular disease in 182 countries: a pooled analysis of prospective cohorts and health surveys</w:t>
            </w:r>
          </w:p>
        </w:tc>
        <w:tc>
          <w:tcPr>
            <w:tcW w:w="1805"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28126460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pPr>
              <w:jc w:val="center"/>
              <w:rPr>
                <w:rFonts w:ascii="Times New Roman" w:hAnsi="Times New Roman" w:cs="Times New Roman"/>
                <w:sz w:val="18"/>
                <w:szCs w:val="18"/>
              </w:rPr>
            </w:pPr>
            <w:r>
              <w:rPr>
                <w:rFonts w:ascii="Times New Roman" w:hAnsi="Times New Roman" w:eastAsia="宋体" w:cs="Times New Roman"/>
                <w:sz w:val="18"/>
                <w:szCs w:val="18"/>
              </w:rPr>
              <w:t>WHO risk model</w:t>
            </w:r>
          </w:p>
        </w:tc>
        <w:tc>
          <w:tcPr>
            <w:tcW w:w="2876" w:type="dxa"/>
            <w:vAlign w:val="center"/>
          </w:tcPr>
          <w:p>
            <w:pPr>
              <w:jc w:val="center"/>
              <w:rPr>
                <w:rFonts w:ascii="Times New Roman" w:hAnsi="Times New Roman" w:cs="Times New Roman"/>
                <w:sz w:val="18"/>
                <w:szCs w:val="18"/>
              </w:rPr>
            </w:pPr>
            <w:r>
              <w:rPr>
                <w:rFonts w:ascii="Times New Roman" w:hAnsi="Times New Roman" w:cs="Times New Roman"/>
                <w:sz w:val="18"/>
                <w:szCs w:val="18"/>
              </w:rPr>
              <w:t>Age, sex, TC (or BMI), SBP, smoking, diabetes, region</w:t>
            </w:r>
          </w:p>
        </w:tc>
        <w:tc>
          <w:tcPr>
            <w:tcW w:w="2678"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10-</w:t>
            </w:r>
            <w:r>
              <w:rPr>
                <w:rFonts w:ascii="Times New Roman" w:hAnsi="Times New Roman" w:cs="Times New Roman"/>
                <w:sz w:val="18"/>
                <w:szCs w:val="18"/>
              </w:rPr>
              <w:t>Year Cardiovascular Risk Based on Laboratory Data and Non-Laboratory Data</w:t>
            </w:r>
          </w:p>
        </w:tc>
        <w:tc>
          <w:tcPr>
            <w:tcW w:w="3044" w:type="dxa"/>
            <w:vAlign w:val="center"/>
          </w:tcPr>
          <w:p>
            <w:pPr>
              <w:jc w:val="center"/>
              <w:rPr>
                <w:rFonts w:ascii="Times New Roman" w:hAnsi="Times New Roman" w:cs="Times New Roman"/>
                <w:sz w:val="18"/>
                <w:szCs w:val="18"/>
              </w:rPr>
            </w:pPr>
            <w:r>
              <w:rPr>
                <w:rFonts w:ascii="Times New Roman" w:hAnsi="Times New Roman" w:eastAsia="宋体" w:cs="Times New Roman"/>
                <w:sz w:val="18"/>
                <w:szCs w:val="18"/>
              </w:rPr>
              <w:t>World Health Organization cardiovascular disease risk charts: revised models to estimate risk in 21 global regions</w:t>
            </w:r>
          </w:p>
        </w:tc>
        <w:tc>
          <w:tcPr>
            <w:tcW w:w="1805"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31488387</w:t>
            </w:r>
          </w:p>
        </w:tc>
      </w:tr>
    </w:tbl>
    <w:p>
      <w:pPr>
        <w:jc w:val="left"/>
        <w:rPr>
          <w:rFonts w:ascii="Times New Roman" w:hAnsi="Times New Roman" w:cs="Times New Roman"/>
          <w:b/>
          <w:color w:val="000000"/>
          <w:sz w:val="40"/>
          <w:szCs w:val="24"/>
        </w:rPr>
        <w:sectPr>
          <w:pgSz w:w="16838" w:h="11906" w:orient="landscape"/>
          <w:pgMar w:top="1800" w:right="1440" w:bottom="1800" w:left="1440" w:header="851" w:footer="992" w:gutter="0"/>
          <w:lnNumType w:countBy="1"/>
          <w:cols w:space="425" w:num="1"/>
          <w:docGrid w:type="lines" w:linePitch="312" w:charSpace="0"/>
        </w:sectPr>
      </w:pPr>
      <w:r>
        <w:rPr>
          <w:rFonts w:ascii="Times New Roman" w:hAnsi="Times New Roman" w:cs="Times New Roman"/>
        </w:rPr>
        <w:fldChar w:fldCharType="begin"/>
      </w:r>
      <w:r>
        <w:rPr>
          <w:rFonts w:ascii="Times New Roman" w:hAnsi="Times New Roman" w:cs="Times New Roman"/>
        </w:rPr>
        <w:instrText xml:space="preserve"> ADDIN NE.Bib</w:instrText>
      </w:r>
      <w:r>
        <w:rPr>
          <w:rFonts w:ascii="Times New Roman" w:hAnsi="Times New Roman" w:cs="Times New Roman"/>
        </w:rPr>
        <w:fldChar w:fldCharType="separate"/>
      </w:r>
    </w:p>
    <w:p>
      <w:pPr>
        <w:rPr>
          <w:rFonts w:ascii="Times New Roman" w:hAnsi="Times New Roman" w:cs="Times New Roman"/>
          <w:b/>
          <w:color w:val="000000"/>
          <w:sz w:val="24"/>
          <w:szCs w:val="24"/>
        </w:rPr>
      </w:pPr>
      <w:r>
        <w:rPr>
          <w:rFonts w:ascii="Times New Roman" w:hAnsi="Times New Roman" w:cs="Times New Roman"/>
          <w:b/>
          <w:color w:val="000000"/>
          <w:sz w:val="24"/>
          <w:szCs w:val="24"/>
        </w:rPr>
        <w:t>References</w:t>
      </w:r>
    </w:p>
    <w:p>
      <w:pPr>
        <w:ind w:left="420" w:hanging="420"/>
        <w:rPr>
          <w:rFonts w:ascii="Times New Roman" w:hAnsi="Times New Roman" w:cs="Times New Roman"/>
          <w:sz w:val="24"/>
          <w:szCs w:val="24"/>
        </w:rPr>
      </w:pPr>
      <w:r>
        <w:rPr>
          <w:rFonts w:ascii="Times New Roman" w:hAnsi="Times New Roman" w:eastAsia="Times New Roman" w:cs="Times New Roman"/>
          <w:color w:val="000000"/>
          <w:sz w:val="20"/>
          <w:szCs w:val="24"/>
          <w:lang w:val="de-DE"/>
        </w:rPr>
        <w:t>[1]</w:t>
      </w:r>
      <w:r>
        <w:rPr>
          <w:rFonts w:ascii="Times New Roman" w:hAnsi="Times New Roman" w:eastAsia="Times New Roman" w:cs="Times New Roman"/>
          <w:color w:val="000000"/>
          <w:sz w:val="20"/>
          <w:szCs w:val="24"/>
          <w:lang w:val="de-DE"/>
        </w:rPr>
        <w:tab/>
      </w:r>
      <w:bookmarkStart w:id="1" w:name="_neb93E006EE_0D21_410B_B940_D53D448F0020"/>
      <w:r>
        <w:rPr>
          <w:rFonts w:ascii="Times New Roman" w:hAnsi="Times New Roman" w:eastAsia="Times New Roman" w:cs="Times New Roman"/>
          <w:color w:val="000000"/>
          <w:sz w:val="20"/>
          <w:szCs w:val="24"/>
          <w:lang w:val="de-DE"/>
        </w:rPr>
        <w:t xml:space="preserve">Wang L, Sang Q, Du D, et al. </w:t>
      </w:r>
      <w:r>
        <w:rPr>
          <w:rFonts w:ascii="Times New Roman" w:hAnsi="Times New Roman" w:eastAsia="Times New Roman" w:cs="Times New Roman"/>
          <w:color w:val="000000"/>
          <w:sz w:val="20"/>
          <w:szCs w:val="24"/>
        </w:rPr>
        <w:t>Early Weight Loss after Laparoscopic Sleeve Gastrectomy Predicts Sustained Weight Maintenance Among Chinese Individuals with a BMI &lt; 35 kg/m(2)[J]. Obes Surg, 2021,31(4):1647-1655.</w:t>
      </w:r>
      <w:bookmarkEnd w:id="1"/>
    </w:p>
    <w:p>
      <w:pPr>
        <w:ind w:left="420" w:hanging="420"/>
        <w:rPr>
          <w:rFonts w:ascii="Times New Roman" w:hAnsi="Times New Roman" w:cs="Times New Roman"/>
          <w:sz w:val="24"/>
          <w:szCs w:val="24"/>
        </w:rPr>
      </w:pPr>
      <w:r>
        <w:rPr>
          <w:rFonts w:ascii="Times New Roman" w:hAnsi="Times New Roman" w:eastAsia="Times New Roman" w:cs="Times New Roman"/>
          <w:color w:val="000000"/>
          <w:sz w:val="20"/>
          <w:szCs w:val="24"/>
        </w:rPr>
        <w:t>[2]</w:t>
      </w:r>
      <w:r>
        <w:rPr>
          <w:rFonts w:ascii="Times New Roman" w:hAnsi="Times New Roman" w:eastAsia="Times New Roman" w:cs="Times New Roman"/>
          <w:color w:val="000000"/>
          <w:sz w:val="20"/>
          <w:szCs w:val="24"/>
        </w:rPr>
        <w:tab/>
      </w:r>
      <w:bookmarkStart w:id="2" w:name="_neb5B13454C_4D64_4A74_90F9_78C3DF0331D0"/>
      <w:r>
        <w:rPr>
          <w:rFonts w:ascii="Times New Roman" w:hAnsi="Times New Roman" w:eastAsia="Times New Roman" w:cs="Times New Roman"/>
          <w:color w:val="000000"/>
          <w:sz w:val="20"/>
          <w:szCs w:val="24"/>
        </w:rPr>
        <w:t>Awad S, Aguilo R, Agrawal S, et al. Outcomes of linear-stapled versus hand-sewn gastrojejunal anastomosis in  laparoscopic Roux en-Y gastric bypass[J]. Surg Endosc, 2015,29(8):2278-2283.</w:t>
      </w:r>
      <w:bookmarkEnd w:id="2"/>
    </w:p>
    <w:p>
      <w:pPr>
        <w:ind w:left="420" w:hanging="420"/>
        <w:rPr>
          <w:rFonts w:ascii="Times New Roman" w:hAnsi="Times New Roman" w:cs="Times New Roman"/>
          <w:sz w:val="24"/>
          <w:szCs w:val="24"/>
        </w:rPr>
      </w:pPr>
      <w:r>
        <w:rPr>
          <w:rFonts w:ascii="Times New Roman" w:hAnsi="Times New Roman" w:eastAsia="Times New Roman" w:cs="Times New Roman"/>
          <w:color w:val="000000"/>
          <w:sz w:val="20"/>
          <w:szCs w:val="24"/>
        </w:rPr>
        <w:t>[3]</w:t>
      </w:r>
      <w:r>
        <w:rPr>
          <w:rFonts w:ascii="Times New Roman" w:hAnsi="Times New Roman" w:eastAsia="Times New Roman" w:cs="Times New Roman"/>
          <w:color w:val="000000"/>
          <w:sz w:val="20"/>
          <w:szCs w:val="24"/>
        </w:rPr>
        <w:tab/>
      </w:r>
      <w:bookmarkStart w:id="3" w:name="_neb61F83055_7117_4258_97CC_5165C65D857A"/>
      <w:r>
        <w:rPr>
          <w:rFonts w:ascii="Times New Roman" w:hAnsi="Times New Roman" w:eastAsia="Times New Roman" w:cs="Times New Roman"/>
          <w:color w:val="000000"/>
          <w:sz w:val="20"/>
          <w:szCs w:val="24"/>
        </w:rPr>
        <w:t>Al-Khyatt W, Bull C A, Awad S, et al. Laparoscopic Roux en-Y Gastric Bypass Using a Modified Retrocolic-Supracolic Approach: Outcomes from 300 Patients[J]. World J Surg, 2016,40(8):1918-1924.</w:t>
      </w:r>
      <w:bookmarkEnd w:id="3"/>
    </w:p>
    <w:p>
      <w:pPr>
        <w:ind w:left="420" w:hanging="420"/>
        <w:rPr>
          <w:rFonts w:ascii="Times New Roman" w:hAnsi="Times New Roman" w:cs="Times New Roman"/>
          <w:sz w:val="24"/>
          <w:szCs w:val="24"/>
        </w:rPr>
      </w:pPr>
      <w:r>
        <w:rPr>
          <w:rFonts w:ascii="Times New Roman" w:hAnsi="Times New Roman" w:eastAsia="Times New Roman" w:cs="Times New Roman"/>
          <w:color w:val="000000"/>
          <w:sz w:val="20"/>
          <w:szCs w:val="24"/>
        </w:rPr>
        <w:t>[4]</w:t>
      </w:r>
      <w:r>
        <w:rPr>
          <w:rFonts w:ascii="Times New Roman" w:hAnsi="Times New Roman" w:eastAsia="Times New Roman" w:cs="Times New Roman"/>
          <w:color w:val="000000"/>
          <w:sz w:val="20"/>
          <w:szCs w:val="24"/>
        </w:rPr>
        <w:tab/>
      </w:r>
      <w:bookmarkStart w:id="4" w:name="_neb7FB00080_BA48_4C3B_897D_D3CE64099AFC"/>
      <w:r>
        <w:rPr>
          <w:rFonts w:ascii="Times New Roman" w:hAnsi="Times New Roman" w:eastAsia="Times New Roman" w:cs="Times New Roman"/>
          <w:color w:val="000000"/>
          <w:sz w:val="20"/>
          <w:szCs w:val="24"/>
        </w:rPr>
        <w:t>D'Agostino R S, Vasan R S, Pencina M J, et al. General cardiovascular risk profile for use in primary care: the Framingham Heart Study[J]. Circulation, 2008,117(6):743-753.</w:t>
      </w:r>
      <w:bookmarkEnd w:id="4"/>
    </w:p>
    <w:p>
      <w:pPr>
        <w:ind w:left="420" w:hanging="420"/>
        <w:rPr>
          <w:rFonts w:ascii="Times New Roman" w:hAnsi="Times New Roman" w:cs="Times New Roman"/>
          <w:sz w:val="24"/>
          <w:szCs w:val="24"/>
        </w:rPr>
      </w:pPr>
      <w:r>
        <w:rPr>
          <w:rFonts w:ascii="Times New Roman" w:hAnsi="Times New Roman" w:eastAsia="Times New Roman" w:cs="Times New Roman"/>
          <w:color w:val="000000"/>
          <w:sz w:val="20"/>
          <w:szCs w:val="24"/>
        </w:rPr>
        <w:t>[5]</w:t>
      </w:r>
      <w:r>
        <w:rPr>
          <w:rFonts w:ascii="Times New Roman" w:hAnsi="Times New Roman" w:eastAsia="Times New Roman" w:cs="Times New Roman"/>
          <w:color w:val="000000"/>
          <w:sz w:val="20"/>
          <w:szCs w:val="24"/>
        </w:rPr>
        <w:tab/>
      </w:r>
      <w:bookmarkStart w:id="5" w:name="_nebC1CF88BD_1D7A_4F0C_B628_F710A5BC4CD7"/>
      <w:r>
        <w:rPr>
          <w:rFonts w:ascii="Times New Roman" w:hAnsi="Times New Roman" w:eastAsia="Times New Roman" w:cs="Times New Roman"/>
          <w:color w:val="000000"/>
          <w:sz w:val="20"/>
          <w:szCs w:val="24"/>
        </w:rPr>
        <w:t>Yang X, Li J, Hu D, et al. Predicting the 10-Year Risks of Atherosclerotic Cardiovascular Disease in Chinese Population: The China-PAR Project (Prediction for ASCVD Risk in China)[J]. Circulation, 2016,134(19):1430-1440.</w:t>
      </w:r>
      <w:bookmarkEnd w:id="5"/>
    </w:p>
    <w:p>
      <w:pPr>
        <w:ind w:left="420" w:hanging="420"/>
        <w:rPr>
          <w:rFonts w:ascii="Times New Roman" w:hAnsi="Times New Roman" w:cs="Times New Roman"/>
          <w:sz w:val="24"/>
          <w:szCs w:val="24"/>
        </w:rPr>
      </w:pPr>
      <w:r>
        <w:rPr>
          <w:rFonts w:ascii="Times New Roman" w:hAnsi="Times New Roman" w:eastAsia="Times New Roman" w:cs="Times New Roman"/>
          <w:color w:val="000000"/>
          <w:sz w:val="20"/>
          <w:szCs w:val="24"/>
        </w:rPr>
        <w:t>[6]</w:t>
      </w:r>
      <w:r>
        <w:rPr>
          <w:rFonts w:ascii="Times New Roman" w:hAnsi="Times New Roman" w:eastAsia="Times New Roman" w:cs="Times New Roman"/>
          <w:color w:val="000000"/>
          <w:sz w:val="20"/>
          <w:szCs w:val="24"/>
        </w:rPr>
        <w:tab/>
      </w:r>
      <w:bookmarkStart w:id="6" w:name="_neb7B01FB85_3FBA_4938_B488_C6E274CA3D5B"/>
      <w:r>
        <w:rPr>
          <w:rFonts w:ascii="Times New Roman" w:hAnsi="Times New Roman" w:eastAsia="Times New Roman" w:cs="Times New Roman"/>
          <w:color w:val="000000"/>
          <w:sz w:val="20"/>
          <w:szCs w:val="24"/>
        </w:rPr>
        <w:t>Kaptoge S, Pennells L, De Bacquer D, et al. World Health Organization cardiovascular disease risk charts: revised models to estimate risk in 21 global regions[J]. The Lancet Global Health, 2019,7(10):e1332-e1345.</w:t>
      </w:r>
      <w:bookmarkEnd w:id="6"/>
    </w:p>
    <w:p>
      <w:pPr>
        <w:ind w:left="420" w:hanging="420"/>
        <w:rPr>
          <w:rFonts w:ascii="Times New Roman" w:hAnsi="Times New Roman" w:cs="Times New Roman"/>
          <w:sz w:val="24"/>
          <w:szCs w:val="24"/>
        </w:rPr>
      </w:pPr>
      <w:r>
        <w:rPr>
          <w:rFonts w:ascii="Times New Roman" w:hAnsi="Times New Roman" w:eastAsia="Times New Roman" w:cs="Times New Roman"/>
          <w:color w:val="000000"/>
          <w:sz w:val="20"/>
          <w:szCs w:val="24"/>
        </w:rPr>
        <w:t>[7]</w:t>
      </w:r>
      <w:r>
        <w:rPr>
          <w:rFonts w:ascii="Times New Roman" w:hAnsi="Times New Roman" w:eastAsia="Times New Roman" w:cs="Times New Roman"/>
          <w:color w:val="000000"/>
          <w:sz w:val="20"/>
          <w:szCs w:val="24"/>
        </w:rPr>
        <w:tab/>
      </w:r>
      <w:bookmarkStart w:id="7" w:name="_neb77EE42E6_E97E_4351_B210_1E75AB8436F0"/>
      <w:r>
        <w:rPr>
          <w:rFonts w:ascii="Times New Roman" w:hAnsi="Times New Roman" w:eastAsia="Times New Roman" w:cs="Times New Roman"/>
          <w:color w:val="000000"/>
          <w:sz w:val="20"/>
          <w:szCs w:val="24"/>
        </w:rPr>
        <w:t>Ueda P, Woodward M, Lu Y, et al. Laboratory-based and office-based risk scores and charts to predict 10-year risk of cardiovascular disease in 182 countries: a pooled analysis of prospective  cohorts and health surveys[J]. Lancet Diabetes Endocrinol, 2017,5(3):196-213.</w:t>
      </w:r>
      <w:bookmarkEnd w:id="7"/>
    </w:p>
    <w:p>
      <w:pPr>
        <w:rPr>
          <w:rFonts w:ascii="Times New Roman" w:hAnsi="Times New Roman" w:cs="Times New Roman"/>
        </w:rPr>
      </w:pPr>
      <w:r>
        <w:rPr>
          <w:rFonts w:ascii="Times New Roman" w:hAnsi="Times New Roman" w:cs="Times New Roman"/>
        </w:rPr>
        <w:fldChar w:fldCharType="end"/>
      </w:r>
    </w:p>
    <w:sectPr>
      <w:pgSz w:w="11906" w:h="16838"/>
      <w:pgMar w:top="1440" w:right="1800" w:bottom="1440" w:left="1800" w:header="851" w:footer="992" w:gutter="0"/>
      <w:lnNumType w:countBy="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Rockwell">
    <w:altName w:val="Segoe Print"/>
    <w:panose1 w:val="02060603020205020403"/>
    <w:charset w:val="00"/>
    <w:family w:val="roman"/>
    <w:pitch w:val="default"/>
    <w:sig w:usb0="00000000" w:usb1="00000000" w:usb2="00000000" w:usb3="00000000" w:csb0="00000003"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443865" cy="443865"/>
              <wp:effectExtent l="0" t="0" r="18415" b="0"/>
              <wp:wrapNone/>
              <wp:docPr id="152897368" name="Text Box 3"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3" o:spid="_x0000_s1026" o:spt="202" alt="Information Classification: General" type="#_x0000_t202" style="position:absolute;left:0pt;height:34.95pt;width:34.95pt;mso-position-horizontal:left;mso-position-horizontal-relative:page;mso-position-vertical:bottom;mso-position-vertical-relative:page;mso-wrap-style:none;z-index:251662336;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ASgePnQAIAAIcEAAAOAAAAZHJzL2Uyb0RvYy54bWytVE1v2zAMvQ/Y&#10;fxB0X+0kTZYadYqsRYsCwVogHXZWZDk2oC9ISu3s1+9Jdtqu26GHXRSKZB7F90hfXvVKkmfhfGt0&#10;SSdnOSVCc1O1el/SH0+3X5aU+MB0xaTRoqRH4enV6vOny84WYmoaIyvhCEC0Lzpb0iYEW2SZ541Q&#10;zJ8ZKzSCtXGKBVzdPqsc64CuZDbN80XWGVdZZ7jwHt6bIUhHRPcRQFPXLRc3hh+U0GFAdUKygJZ8&#10;01pPV+m1dS14eKhrLwKRJUWnIZ0oAnsXz2x1yYq9Y7Zp+fgE9pEnvOtJsVaj6AvUDQuMHFz7F5Rq&#10;uTPe1OGMG5UNjSRG0MUkf8fNtmFWpF5AtbcvpPv/B8u/Pz860laYhPl0efF1toD8mikI/yT6QL6Z&#10;nswoqYTnYO1eD7qCZ3ItGQSEEIn2gtwJLRyTkdHO+gLAWwvo0AMC6Ce/hzMS1ddOxV9QQBCHHscX&#10;PWJhDuf5+Wy5mFPCERptoGevf7bOhzthFIlGSR3kTiqw540PQ+opJdbS5raVMkku9R8OYEZPFl8+&#10;vDBaod/1Yzs7Ux3RjTPDBHnLb1vU3DAfHpnDyKABLFV4wFFL05XUjBYljXG//uWP+VASUUo6jGBJ&#10;NTaOEnmvofB0fp7ncWTTDYY7GbtkTC7yeYzrg7o2mO4J1tbyZMbkIE9m7Yz6iZ1bx2oIMc1Rs6S7&#10;k3kdhoWAtlys1ykJ02lZ2Oit5RE6kuXt+hDAYCI20jNwMrKG+UzSjLsUF+DtPWW9fj9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TAUOm0QAAAAMBAAAPAAAAAAAAAAEAIAAAACIAAABkcnMvZG93&#10;bnJldi54bWxQSwECFAAUAAAACACHTuJAEoHj50ACAACHBAAADgAAAAAAAAABACAAAAAgAQAAZHJz&#10;L2Uyb0RvYy54bWxQSwUGAAAAAAYABgBZAQAA0gUAAAAA&#10;">
              <v:fill on="f" focussize="0,0"/>
              <v:stroke on="f"/>
              <v:imagedata o:title=""/>
              <o:lock v:ext="edit" aspectratio="f"/>
              <v:textbox inset="20pt,0mm,0mm,15pt" style="mso-fit-shape-to-text:t;">
                <w:txbxContent>
                  <w:p>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443865" cy="443865"/>
              <wp:effectExtent l="0" t="0" r="18415" b="0"/>
              <wp:wrapNone/>
              <wp:docPr id="1750861461" name="Text Box 2"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Information Classification: General" type="#_x0000_t202" style="position:absolute;left:0pt;height:34.95pt;width:34.95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Ccf0XMQAIAAIgEAAAOAAAAZHJzL2Uyb0RvYy54bWytVE1vGjEQvVfq&#10;f7B8b3ahQCnKEtEgokioiUSqno3Xm13JX7INu/TX99m7kDTtIYdezHjGvJl5b2avbzolyVE43xhd&#10;0NFVTonQ3JSNfi7oj6fNpzklPjBdMmm0KOhJeHqz/PjhurULMTa1kaVwBCDaL1pb0DoEu8gyz2uh&#10;mL8yVmgEK+MUC7i656x0rAW6ktk4z2dZa1xpneHCe3jXfZAOiO49gKaqGi7Whh+U0KFHdUKygJZ8&#10;3VhPl6naqhI8PFSVF4HIgqLTkE4kgb2PZ7a8Zotnx2zd8KEE9p4S3vSkWKOR9AK1ZoGRg2v+glIN&#10;d8abKlxxo7K+kcQIuhjlb7jZ1cyK1Auo9vZCuv9/sPz78dGRpsQkfJnm89loMhtRopmC8k+iC+Sb&#10;6ciYklJ4DtrudS8siCa3kkFBKJF4X5A7oYVjMlLaWr8A8s4CO3SAAPzZ7+GMTHWVU/EXHBDEIcjp&#10;IkhMzOGcTD7PZ1NKOEKDDfTs5c/W+XAnjCLRKKiD3kkGdtz60D89P4m5tNk0UibNpf7DAczoyWLl&#10;fYXRCt2+G9rZm/KEbpzpR8hbvmmQc8t8eGQOM4MGsFXhAUclTVtQM1iU1Mb9+pc/voeUiFLSYgYL&#10;qrFylMh7DYnH00mex5lNNxjubOyTMfqaT2NcH9StwXhDN1SVzPg4yLNZOaN+YulWMRtCTHPkLOj+&#10;bN6GfiOgLRerVXqE8bQsbPXO8ggdyfJ2dQhgMBEb6ek5GVjDgCZphmWKG/D6nl69fEC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TAUOm0QAAAAMBAAAPAAAAAAAAAAEAIAAAACIAAABkcnMvZG93&#10;bnJldi54bWxQSwECFAAUAAAACACHTuJAnH9FzEACAACIBAAADgAAAAAAAAABACAAAAAgAQAAZHJz&#10;L2Uyb0RvYy54bWxQSwUGAAAAAAYABgBZAQAA0gUAAAAA&#10;">
              <v:fill on="f" focussize="0,0"/>
              <v:stroke on="f"/>
              <v:imagedata o:title=""/>
              <o:lock v:ext="edit" aspectratio="f"/>
              <v:textbox inset="20pt,0mm,0mm,15pt" style="mso-fit-shape-to-text:t;">
                <w:txbxContent>
                  <w:p>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443865" cy="443865"/>
              <wp:effectExtent l="0" t="0" r="18415" b="0"/>
              <wp:wrapNone/>
              <wp:docPr id="939881695" name="Text Box 1"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1" o:spid="_x0000_s1026" o:spt="202" alt="Information Classification: General" type="#_x0000_t202" style="position:absolute;left:0pt;height:34.95pt;width:34.9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AfmKIGPwIAAIcEAAAOAAAAZHJzL2Uyb0RvYy54bWytVE1vGjEQvVfq&#10;f7B8L7sQiABliWgiokhRE4lUPRuvl13JX7INu/TX99m7kDbtIYdezHjGvJl5b2ZvbjslyVE43xhd&#10;0PEop0RobspG7wv6/XXzZU6JD0yXTBotCnoSnt6uPn+6ae1STExtZCkcAYj2y9YWtA7BLrPM81oo&#10;5kfGCo1gZZxiAVe3z0rHWqArmU3y/DprjSutM1x4D+99H6QDovsIoKmqhot7ww9K6NCjOiFZQEu+&#10;bqynq1RtVQkenqvKi0BkQdFpSCeSwN7FM1vdsOXeMVs3fCiBfaSEdz0p1mgkvUDds8DIwTV/QamG&#10;O+NNFUbcqKxvJDGCLsb5O262NbMi9QKqvb2Q7v8fLP92fHGkKQu6uFrM5+PrxYwSzRSEfxVdIF9N&#10;R8aUlMJzsPaoe13BM7mTDAJCiET7kjwILRyTkdHW+iWAtxbQoQME5uzs93BGorrKqfgLCgji0ON0&#10;0SMm5nBOp1fza9TDERpsoGdvf7bOhwdhFIlGQR3kTiqw45MP/dPzk5hLm00jZZJc6j8cwIyeLFbe&#10;Vxit0O26oZ2dKU/oxpl+grzlmwY5n5gPL8xhZNAAlio846ikaQtqBouS2rif//LH91ASUUpajGBB&#10;NTaOEvmoofBkNs3zOLLpBsOdjV0yxot8FuP6oO4MphsqoapkxsdBns3KGfUDO7eO2RBimiNnQXdn&#10;8y70CwFtuViv0yNMp2XhSW8tj9CRLG/XhwAGE7GRnp6TgTXMZ5Jm2KW4AL/f06u378f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MBQ6bRAAAAAwEAAA8AAAAAAAAAAQAgAAAAIgAAAGRycy9kb3du&#10;cmV2LnhtbFBLAQIUABQAAAAIAIdO4kAfmKIGPwIAAIcEAAAOAAAAAAAAAAEAIAAAACABAABkcnMv&#10;ZTJvRG9jLnhtbFBLBQYAAAAABgAGAFkBAADRBQAAAAA=&#10;">
              <v:fill on="f" focussize="0,0"/>
              <v:stroke on="f"/>
              <v:imagedata o:title=""/>
              <o:lock v:ext="edit" aspectratio="f"/>
              <v:textbox inset="20pt,0mm,0mm,15pt" style="mso-fit-shape-to-text:t;">
                <w:txbxContent>
                  <w:p>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0B0F2"/>
    <w:multiLevelType w:val="singleLevel"/>
    <w:tmpl w:val="9940B0F2"/>
    <w:lvl w:ilvl="0" w:tentative="0">
      <w:start w:val="10"/>
      <w:numFmt w:val="decimal"/>
      <w:suff w:val="nothing"/>
      <w:lvlText w:val="%1-"/>
      <w:lvlJc w:val="left"/>
    </w:lvl>
  </w:abstractNum>
  <w:abstractNum w:abstractNumId="1">
    <w:nsid w:val="67EEEB91"/>
    <w:multiLevelType w:val="singleLevel"/>
    <w:tmpl w:val="67EEEB9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1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yODE3NzNhMTMyODE3MjhlYWU3NGE4MDgxY2JiZDIifQ=="/>
    <w:docVar w:name="NE.Ref{291F2B8F-5C6D-4021-AF81-66B5E2922DD6}" w:val=" ADDIN NE.Ref.{291F2B8F-5C6D-4021-AF81-66B5E2922DD6} ADDIN NE.Ref.{291F2B8F-5C6D-4021-AF81-66B5E2922DD6}&lt;Citation&gt;&lt;Group&gt;&lt;References&gt;&lt;Item&gt;&lt;ID&gt;530&lt;/ID&gt;&lt;UID&gt;{C1CF88BD-1D7A-4F0C-B628-F710A5BC4CD7}&lt;/UID&gt;&lt;Title&gt;Predicting the 10-Year Risks of Atherosclerotic Cardiovascular Disease in Chinese  Population: The China-PAR Project (Prediction for ASCVD Risk in China)&lt;/Title&gt;&lt;Template&gt;Journal Article&lt;/Template&gt;&lt;Star&gt;0&lt;/Star&gt;&lt;Tag&gt;0&lt;/Tag&gt;&lt;Author&gt;Yang, X; Li, J; Hu, D; Chen, J; Li, Y; Huang, J; Liu, X; Liu, F; Cao, J; Shen, C; Yu, L; Lu, F; Wu, X; Zhao, L; Wu, X; Gu, D&lt;/Author&gt;&lt;Year&gt;2016&lt;/Year&gt;&lt;Details&gt;&lt;_accessed&gt;64835701&lt;/_accessed&gt;&lt;_accession_num&gt;27682885&lt;/_accession_num&gt;&lt;_author_adr&gt;From Department of Epidemiology, Fuwai Hospital, State Key Laboratory of  Cardiovascular Disease, National Center for Cardiovascular Diseases, Chinese  Academy of Medical Sciences and Peking Union Medical College, Beijing, China  (X.Y., J.L., J.C., Y.L., J.H., F. Liu, J.C., L.Z., X.W., D.G.); Department of  Prevention Medicine, Shenzhen University School of Medicine, Shenzhen, China  (D.H.); Division of Epidemiology, Guangdong Provincial People&amp;apos;s Hospital and  Cardiovascular Institute, Guangzhou, China (X.L.); Department of Epidemiology and  Biostatistics, School of Public Health, Nanjing Medical University, Nanjing,  China (C.S.); Department of Cardiology, Fujian Provincial People&amp;apos;s Hospital,  Fuzhou, China (L.Y.); Cardio-Cerebrovascular Control and Research Center,  Institute of Basic Medicine, Shandong Academy of Medical Sciences, Jinan, China  (F. Lu); and Sichuan Center for Disease Control and Prevention, Chengdu, China.; From Department of Epidemiology, Fuwai Hospital, State Key Laboratory of  Cardiovascular Disease, National Center for Cardiovascular Diseases, Chinese  Academy of Medical Sciences and Peking Union Medical College, Beijing, China  (X.Y., J.L., J.C., Y.L., J.H., F. Liu, J.C., L.Z., X.W., D.G.); Department of  Prevention Medicine, Shenzhen University School of Medicine, Shenzhen, China  (D.H.); Division of Epidemiology, Guangdong Provincial People&amp;apos;s Hospital and  Cardiovascular Institute, Guangzhou, China (X.L.); Department of Epidemiology and  Biostatistics, School of Public Health, Nanjing Medical University, Nanjing,  China (C.S.); Department of Cardiology, Fujian Provincial People&amp;apos;s Hospital,  Fuzhou, China (L.Y.); Cardio-Cerebrovascular Control and Research Center,  Institute of Basic Medicine, Shandong Academy of Medical Sciences, Jinan, China  (F. Lu); and Sichuan Center for Disease Control and Prevention, Chengdu, China.; From Department of Epidemiology, Fuwai Hospital, State Key Laboratory of  Cardiovascular Disease, National Center for Cardiovascular Diseases, Chinese  Academy of Medical Sciences and Peking Union Medical College, Beijing, China  (X.Y., J.L., J.C., Y.L., J.H., F. Liu, J.C., L.Z., X.W., D.G.); Department of  Prevention Medicine, Shenzhen University School of Medicine, Shenzhen, China  (D.H.); Division of Epidemiology, Guangdong Provincial People&amp;apos;s Hospital and  Cardiovascular Institute, Guangzhou, China (X.L.); Department of Epidemiology and  Biostatistics, School of Public Health, Nanjing Medical University, Nanjing,  China (C.S.); Department of Cardiology, Fujian Provincial People&amp;apos;s Hospital,  Fuzhou, China (L.Y.); Cardio-Cerebrovascular Control and Research Center,  Institute of Basic Medicine, Shandong Academy of Medical Sciences, Jinan, China  (F. Lu); and Sichuan Center for Disease Control and Prevention, Chengdu, China.; From Department of Epidemiology, Fuwai Hospital, State Key Laboratory of  Cardiovascular Disease, National Center for Cardiovascular Diseases, Chinese  Academy of Medical Sciences and Peking Union Medical College, Beijing, China  (X.Y., J.L., J.C., Y.L., J.H., F. Liu, J.C., L.Z., X.W., D.G.); Department of  Prevention Medicine, Shenzhen University School of Medicine, Shenzhen, China  (D.H.); Division of Epidemiology, Guangdong Provincial People&amp;apos;s Hospital and  Cardiovascular Institute, Guangzhou, China (X.L.); Department of Epidemiology and  Biostatistics, School of Public Health, Nanjing Medical University, Nanjing,  China (C.S.); Department of Cardiology, Fujian Provincial People&amp;apos;s Hospital,  Fuzhou, China (L.Y.); Cardio-Cerebrovascular Control and Research Center,  Institute of Basic Medicine, Shandong Academy of Medical Sciences, Jinan, China  (F. Lu); and Sichuan Center for Disease Control and Prevention, Chengdu, China.; From Department of Epidemiology, Fuwai Hospital, State Key Laboratory of  Cardiovascular Disease, National Center for Cardiovascular Diseases, Chinese  Academy of Medical Sciences and Peking Union Medical College, Beijing, China  (X.Y., J.L., J.C., Y.L., J.H., F. Liu, J.C., L.Z., X.W., D.G.); Department of  Prevention Medicine, Shenzhen University School of Medicine, Shenzhen, China  (D.H.); Division of Epidemiology, Guangdong Provincial People&amp;apos;s Hospital and  Cardiovascular Institute, Guangzhou, China (X.L.); Department of Epidemiology and  Biostatistics, School of Public Health, Nanjing Medical University, Nanjing,  China (C.S.); Department of Cardiology, Fujian Provincial People&amp;apos;s Hospital,  Fuzhou, China (L.Y.); Cardio-Cerebrovascular Control and Research Center,  Institute of Basic Medicine, Shandong Academy of Medical Sciences, Jinan, China  (F. Lu); and Sichuan Center for Disease Control and Prevention, Chengdu, China.; From Department of Epidemiology, Fuwai Hospital, State Key Laboratory of  Cardiovascular Disease, National Center for Cardiovascular Diseases, Chinese  Academy of Medical Sciences and Peking Union Medical College, Beijing, China  (X.Y., J.L., J.C., Y.L., J.H., F. Liu, J.C., L.Z., X.W., D.G.); Department of  Prevention Medicine, Shenzhen University School of Medicine, Shenzhen, China  (D.H.); Division of Epidemiology, Guangdong Provincial People&amp;apos;s Hospital and  Cardiovascular Institute, Guangzhou, China (X.L.); Department of Epidemiology and  Biostatistics, School of Public Health, Nanjing Medical University, Nanjing,  China (C.S.); Department of Cardiology, Fujian Provincial People&amp;apos;s Hospital,  Fuzhou, China (L.Y.); Cardio-Cerebrovascular Control and Research Center,  Institute of Basic Medicine, Shandong Academy of Medical Sciences, Jinan, China  (F. Lu); and Sichuan Center for Disease Control and Prevention, Chengdu, China.; From Department of Epidemiology, Fuwai Hospital, State Key Laboratory of  Cardiovascular Disease, National Center for Cardiovascular Diseases, Chinese  Academy of Medical Sciences and Peking Union Medical College, Beijing, China  (X.Y., J.L., J.C., Y.L., J.H., F. Liu, J.C., L.Z., X.W., D.G.); Department of  Prevention Medicine, Shenzhen University School of Medicine, Shenzhen, China  (D.H.); Division of Epidemiology, Guangdong Provincial People&amp;apos;s Hospital and  Cardiovascular Institute, Guangzhou, China (X.L.); Department of Epidemiology and  Biostatistics, School of Public Health, Nanjing Medical University, Nanjing,  China (C.S.); Department of Cardiology, Fujian Provincial People&amp;apos;s Hospital,  Fuzhou, China (L.Y.); Cardio-Cerebrovascular Control and Research Center,  Institute of Basic Medicine, Shandong Academy of Medical Sciences, Jinan, China  (F. Lu); and Sichuan Center for Disease Control and Prevention, Chengdu, China.; From Department of Epidemiology, Fuwai Hospital, State Key Laboratory of  Cardiovascular Disease, National Center for Cardiovascular Diseases, Chinese  Academy of Medical Sciences and Peking Union Medical College, Beijing, China  (X.Y., J.L., J.C., Y.L., J.H., F. Liu, J.C., L.Z., X.W., D.G.); Department of  Prevention Medicine, Shenzhen University School of Medicine, Shenzhen, China  (D.H.); Division of Epidemiology, Guangdong Provincial People&amp;apos;s Hospital and  Cardiovascular Institute, Guangzhou, China (X.L.); Department of Epidemiology and  Biostatistics, School of Public Health, Nanjing Medical University, Nanjing,  China (C.S.); Department of Cardiology, Fujian Provincial People&amp;apos;s Hospital,  Fuzhou, China (L.Y.); Cardio-Cerebrovascular Control and Research Center,  Institute of Basic Medicine, Shandong Academy of Medical Sciences, Jinan, China  (F. Lu); and Sichuan Center for Disease Control and Prevention, Chengdu, China.; From Department of Epidemiology, Fuwai Hospital, State Key Laboratory of  Cardiovascular Disease, National Center for Cardiovascular Diseases, Chinese  Academy of Medical Sciences and Peking Union Medical College, Beijing, China  (X.Y., J.L., J.C., Y.L., J.H., F. Liu, J.C., L.Z., X.W., D.G.); Department of  Prevention Medicine, Shenzhen University School of Medicine, Shenzhen, China  (D.H.); Division of Epidemiology, Guangdong Provincial People&amp;apos;s Hospital and  Cardiovascular Institute, Guangzhou, China (X.L.); Department of Epidemiology and  Biostatistics, School of Public Health, Nanjing Medical University, Nanjing,  China (C.S.); Department of Cardiology, Fujian Provincial People&amp;apos;s Hospital,  Fuzhou, China (L.Y.); Cardio-Cerebrovascular Control and Research Center,  Institute of Basic Medicine, Shandong Academy of Medical Sciences, Jinan, China  (F. Lu); and Sichuan Center for Disease Control and Prevention, Chengdu, China.; From Department of Epidemiology, Fuwai Hospital, State Key Laboratory of  Cardiovascular Disease, National Center for Cardiovascular Diseases, Chinese  Academy of Medical Sciences and Peking Union Medical College, Beijing, China  (X.Y., J.L., J.C., Y.L., J.H., F. Liu, J.C., L.Z., X.W., D.G.); Department of  Prevention Medicine, Shenzhen University School of Medicine, Shenzhen, China  (D.H.); Division of Epidemiology, Guangdong Provincial People&amp;apos;s Hospital and  Cardiovascular Institute, Guangzhou, China (X.L.); Department of Epidemiology and  Biostatistics, School of Public Health, Nanjing Medical University, Nanjing,  China (C.S.); Department of Cardiology, Fujian Provincial People&amp;apos;s Hospital,  Fuzhou, China (L.Y.); Cardio-Cerebrovascular Control and Research Center,  Institute of Basic Medicine, Shandong Academy of Medical Sciences, Jinan, China  (F. Lu); and Sichuan Center for Disease Control and Prevention, Chengdu, China.; From Department of Epidemiology, Fuwai Hospital, State Key Laboratory of  Cardiovascular Disease, National Center for Cardiovascular Diseases, Chinese  Academy of Medical Sciences and Peking Union Medical College, Beijing, China  (X.Y., J.L., J.C., Y.L., J.H., F. Liu, J.C., L.Z., X.W., D.G.); Department of  Prevention Medicine, Shenzhen University School of Medicine, Shenzhen, China  (D.H.); Division of Epidemiology, Guangdong Provincial People&amp;apos;s Hospital and  Cardiovascular Institute, Guangzhou, China (X.L.); Department of Epidemiology and  Biostatistics, School of Public Health, Nanjing Medical University, Nanjing,  China (C.S.); Department of Cardiology, Fujian Provincial People&amp;apos;s Hospital,  Fuzhou, China (L.Y.); Cardio-Cerebrovascular Control and Research Center,  Institute of Basic Medicine, Shandong Academy of Medical Sciences, Jinan, China  (F. Lu); and Sichuan Center for Disease Control and Prevention, Chengdu, China.; From Department of Epidemiology, Fuwai Hospital, State Key Laboratory of  Cardiovascular Disease, National Center for Cardiovascular Diseases, Chinese  Academy of Medical Sciences and Peking Union Medical College, Beijing, China  (X.Y., J.L., J.C., Y.L., J.H., F. Liu, J.C., L.Z., X.W., D.G.); Department of  Prevention Medicine, Shenzhen University School of Medicine, Shenzhen, China  (D.H.); Division of Epidemiology, Guangdong Provincial People&amp;apos;s Hospital and  Cardiovascular Institute, Guangzhou, China (X.L.); Department of Epidemiology and  Biostatistics, School of Public Health, Nanjing Medical University, Nanjing,  China (C.S.); Department of Cardiology, Fujian Provincial People&amp;apos;s Hospital,  Fuzhou, China (L.Y.); Cardio-Cerebrovascular Control and Research Center,  Institute of Basic Medicine, Shandong Academy of Medical Sciences, Jinan, China  (F. Lu); and Sichuan Center for Disease Control and Prevention, Chengdu, China.; From Department of Epidemiology, Fuwai Hospital, State Key Laboratory of  Cardiovascular Disease, National Center for Cardiovascular Diseases, Chinese  Academy of Medical Sciences and Peking Union Medical College, Beijing, China  (X.Y., J.L., J.C., Y.L., J.H., F. Liu, J.C., L.Z., X.W., D.G.); Department of  Prevention Medicine, Shenzhen University School of Medicine, Shenzhen, China  (D.H.); Division of Epidemiology, Guangdong Provincial People&amp;apos;s Hospital and  Cardiovascular Institute, Guangzhou, China (X.L.); Department of Epidemiology and  Biostatistics, School of Public Health, Nanjing Medical University, Nanjing,  China (C.S.); Department of Cardiology, Fujian Provincial People&amp;apos;s Hospital,  Fuzhou, China (L.Y.); Cardio-Cerebrovascular Control and Research Center,  Institute of Basic Medicine, Shandong Academy of Medical Sciences, Jinan, China  (F. Lu); and Sichuan Center for Disease Control and Prevention, Chengdu, China.; From Department of Epidemiology, Fuwai Hospital, State Key Laboratory of  Cardiovascular Disease, National Center for Cardiovascular Diseases, Chinese  Academy of Medical Sciences and Peking Union Medical College, Beijing, China  (X.Y., J.L., J.C., Y.L., J.H., F. Liu, J.C., L.Z., X.W., D.G.); Department of  Prevention Medicine, Shenzhen University School of Medicine, Shenzhen, China  (D.H.); Division of Epidemiology, Guangdong Provincial People&amp;apos;s Hospital and  Cardiovascular Institute, Guangzhou, China (X.L.); Department of Epidemiology and  Biostatistics, School of Public Health, Nanjing Medical University, Nanjing,  China (C.S.); Department of Cardiology, Fujian Provincial People&amp;apos;s Hospital,  Fuzhou, China (L.Y.); Cardio-Cerebrovascular Control and Research Center,  Institute of Basic Medicine, Shandong Academy of Medical Sciences, Jinan, China  (F. Lu); and Sichuan Center for Disease Control and Prevention, Chengdu, China.; From Department of Epidemiology, Fuwai Hospital, State Key Laboratory of  Cardiovascular Disease, National Center for Cardiovascular Diseases, Chinese  Academy of Medical Sciences and Peking Union Medical College, Beijing, China  (X.Y., J.L., J.C., Y.L., J.H., F. Liu, J.C., L.Z., X.W., D.G.); Department of  Prevention Medicine, Shenzhen University School of Medicine, Shenzhen, China  (D.H.); Division of Epidemiology, Guangdong Provincial People&amp;apos;s Hospital and  Cardiovascular Institute, Guangzhou, China (X.L.); Department of Epidemiology and  Biostatistics, School of Public Health, Nanjing Medical University, Nanjing,  China (C.S.); Department of Cardiology, Fujian Provincial People&amp;apos;s Hospital,  Fuzhou, China (L.Y.); Cardio-Cerebrovascular Control and Research Center,  Institute of Basic Medicine, Shandong Academy of Medical Sciences, Jinan, China  (F. Lu); and Sichuan Center for Disease Control and Prevention, Chengdu, China.; From Department of Epidemiology, Fuwai Hospital, State Key Laboratory of  Cardiovascular Disease, National Center for Cardiovascular Diseases, Chinese  Academy of Medical Sciences and Peking Union Medical College, Beijing, China  (X.Y., J.L., J.C., Y.L., J.H., F. Liu, J.C., L.Z., X.W., D.G.); Department of  Prevention Medicine, Shenzhen University School of Medicine, Shenzhen, China  (D.H.); Division of Epidemiology, Guangdong Provincial People&amp;apos;s Hospital and  Cardiovascular Institute, Guangzhou, China (X.L.); Department of Epidemiology and  Biostatistics, School of Public Health, Nanjing Medical University, Nanjing,  China (C.S.); Department of Cardiology, Fujian Provincial People&amp;apos;s Hospital,  Fuzhou, China (L.Y.); Cardio-Cerebrovascular Control and Research Center,  Institute of Basic Medicine, Shandong Academy of Medical Sciences, Jinan, China  (F. Lu); and Sichuan Center for Disease Control and Prevention, Chengdu, China.  gudf@yahoo.com.&lt;/_author_adr&gt;&lt;_collection_scope&gt;SCIE&lt;/_collection_scope&gt;&lt;_created&gt;64835700&lt;/_created&gt;&lt;_date&gt;2016-11-08&lt;/_date&gt;&lt;_date_display&gt;2016 Nov 8&lt;/_date_display&gt;&lt;_db_updated&gt;PubMed&lt;/_db_updated&gt;&lt;_doi&gt;10.1161/CIRCULATIONAHA.116.022367&lt;/_doi&gt;&lt;_impact_factor&gt;  39.918&lt;/_impact_factor&gt;&lt;_isbn&gt;1524-4539 (Electronic); 0009-7322 (Linking)&lt;/_isbn&gt;&lt;_issue&gt;19&lt;/_issue&gt;&lt;_journal&gt;Circulation&lt;/_journal&gt;&lt;_keywords&gt;assessment; atherosclerosis; cardiovascular diseases; risk; risk factors&lt;/_keywords&gt;&lt;_language&gt;eng&lt;/_language&gt;&lt;_modified&gt;64835701&lt;/_modified&gt;&lt;_ori_publication&gt;(c) 2016 American Heart Association, Inc.&lt;/_ori_publication&gt;&lt;_pages&gt;1430-1440&lt;/_pages&gt;&lt;_social_category&gt;心脏和心血管系统(1) &amp;amp; 外周血管病(1)&lt;/_social_category&gt;&lt;_subject_headings&gt;Adult; Aged; Asian People; Atherosclerosis/*epidemiology/prevention &amp;amp; control; China/epidemiology; Female; Follow-Up Studies; Humans; Male; Middle Aged; Prospective Studies; Risk Factors; Sex Factors&lt;/_subject_headings&gt;&lt;_tertiary_title&gt;Circulation&lt;/_tertiary_title&gt;&lt;_type_work&gt;Comparative Study; Journal Article; Multicenter Study; Randomized Controlled Trial&lt;/_type_work&gt;&lt;_url&gt;http://www.ncbi.nlm.nih.gov/entrez/query.fcgi?cmd=Retrieve&amp;amp;db=pubmed&amp;amp;dopt=Abstract&amp;amp;list_uids=27682885&amp;amp;query_hl=1&lt;/_url&gt;&lt;_volume&gt;134&lt;/_volume&gt;&lt;/Details&gt;&lt;Extra&gt;&lt;DBUID&gt;{F96A950B-833F-4880-A151-76DA2D6A2879}&lt;/DBUID&gt;&lt;/Extra&gt;&lt;/Item&gt;&lt;/References&gt;&lt;/Group&gt;&lt;/Citation&gt;_x000a_"/>
    <w:docVar w:name="NE.Ref{2A5404A5-4CC2-4E47-AE07-C8904738D1DB}" w:val=" ADDIN NE.Ref.{2A5404A5-4CC2-4E47-AE07-C8904738D1DB} ADDIN NE.Ref.{2A5404A5-4CC2-4E47-AE07-C8904738D1DB}&lt;Citation&gt;&lt;Group&gt;&lt;References&gt;&lt;Item&gt;&lt;ID&gt;528&lt;/ID&gt;&lt;UID&gt;{5B13454C-4D64-4A74-90F9-78C3DF0331D0}&lt;/UID&gt;&lt;Title&gt;Outcomes of linear-stapled versus hand-sewn gastrojejunal anastomosis in  laparoscopic Roux en-Y gastric bypass&lt;/Title&gt;&lt;Template&gt;Journal Article&lt;/Template&gt;&lt;Star&gt;0&lt;/Star&gt;&lt;Tag&gt;0&lt;/Tag&gt;&lt;Author&gt;Awad, S; Aguilo, R; Agrawal, S; Ahmed, J&lt;/Author&gt;&lt;Year&gt;2015&lt;/Year&gt;&lt;Details&gt;&lt;_accessed&gt;64835697&lt;/_accessed&gt;&lt;_accession_num&gt;25380709&lt;/_accession_num&gt;&lt;_author_adr&gt;The East-Midlands Bariatric &amp;amp; Metabolic Institute (EMBMI), Royal Derby Hospital,  Derby Hospitals NHS Foundation Trust, Uttoxeter Road, Derby, DE22 3NE, UK,  sherif.awad@nhs.net.&lt;/_author_adr&gt;&lt;_collection_scope&gt;SCIE&lt;/_collection_scope&gt;&lt;_created&gt;64835697&lt;/_created&gt;&lt;_date&gt;2015-08-01&lt;/_date&gt;&lt;_date_display&gt;2015 Aug&lt;/_date_display&gt;&lt;_db_updated&gt;PubMed&lt;/_db_updated&gt;&lt;_doi&gt;10.1007/s00464-014-3942-7&lt;/_doi&gt;&lt;_impact_factor&gt;   3.453&lt;/_impact_factor&gt;&lt;_isbn&gt;1432-2218 (Electronic); 0930-2794 (Linking)&lt;/_isbn&gt;&lt;_issue&gt;8&lt;/_issue&gt;&lt;_journal&gt;Surg Endosc&lt;/_journal&gt;&lt;_language&gt;eng&lt;/_language&gt;&lt;_modified&gt;64835697&lt;/_modified&gt;&lt;_pages&gt;2278-83&lt;/_pages&gt;&lt;_social_category&gt;外科(2)&lt;/_social_category&gt;&lt;_subject_headings&gt;Adult; Anastomosis, Surgical/*methods; Constriction, Pathologic/etiology/therapy; Dilatation; Female; Follow-Up Studies; *Gastric Bypass; Humans; Jejunum/surgery; *Laparoscopy; Male; Middle Aged; Obesity, Morbid/surgery; Operative Time; Postoperative Complications; Prospective Studies; Stomach/surgery; *Surgical Stapling; *Sutures&lt;/_subject_headings&gt;&lt;_tertiary_title&gt;Surgical endoscopy&lt;/_tertiary_title&gt;&lt;_type_work&gt;Comparative Study; Journal Article; Multicenter Study&lt;/_type_work&gt;&lt;_url&gt;http://www.ncbi.nlm.nih.gov/entrez/query.fcgi?cmd=Retrieve&amp;amp;db=pubmed&amp;amp;dopt=Abstract&amp;amp;list_uids=25380709&amp;amp;query_hl=1&lt;/_url&gt;&lt;_volume&gt;29&lt;/_volume&gt;&lt;/Details&gt;&lt;Extra&gt;&lt;DBUID&gt;{F96A950B-833F-4880-A151-76DA2D6A2879}&lt;/DBUID&gt;&lt;/Extra&gt;&lt;/Item&gt;&lt;/References&gt;&lt;/Group&gt;&lt;Group&gt;&lt;References&gt;&lt;Item&gt;&lt;ID&gt;529&lt;/ID&gt;&lt;UID&gt;{61F83055-7117-4258-97CC-5165C65D857A}&lt;/UID&gt;&lt;Title&gt;Laparoscopic Roux en-Y Gastric Bypass Using a Modified Retrocolic-Supracolic  Approach: Outcomes from 300 Patients&lt;/Title&gt;&lt;Template&gt;Journal Article&lt;/Template&gt;&lt;Star&gt;0&lt;/Star&gt;&lt;Tag&gt;0&lt;/Tag&gt;&lt;Author&gt;Al-Khyatt, W; Bull, C A; Awad, S; Ahmed, J&lt;/Author&gt;&lt;Year&gt;2016&lt;/Year&gt;&lt;Details&gt;&lt;_accessed&gt;64835698&lt;/_accessed&gt;&lt;_accession_num&gt;26943659&lt;/_accession_num&gt;&lt;_author_adr&gt;The East-Midlands Bariatric &amp;amp; Metabolic Institute (EMBMI), Royal Derby Hospital,  Uttoxeter Road, Derby, DE22 3NE, UK.; The East-Midlands Bariatric &amp;amp; Metabolic Institute (EMBMI), Royal Derby Hospital,  Uttoxeter Road, Derby, DE22 3NE, UK.; The East-Midlands Bariatric &amp;amp; Metabolic Institute (EMBMI), Royal Derby Hospital,  Uttoxeter Road, Derby, DE22 3NE, UK. sherif.awad@nhs.net.; The East-Midlands Bariatric &amp;amp; Metabolic Institute (EMBMI), Royal Derby Hospital,  Uttoxeter Road, Derby, DE22 3NE, UK.&lt;/_author_adr&gt;&lt;_collection_scope&gt;SCIE&lt;/_collection_scope&gt;&lt;_created&gt;64835698&lt;/_created&gt;&lt;_date&gt;2016-08-01&lt;/_date&gt;&lt;_date_display&gt;2016 Aug&lt;/_date_display&gt;&lt;_db_updated&gt;PubMed&lt;/_db_updated&gt;&lt;_doi&gt;10.1007/s00268-016-3478-1&lt;/_doi&gt;&lt;_impact_factor&gt;   3.282&lt;/_impact_factor&gt;&lt;_isbn&gt;1432-2323 (Electronic); 0364-2313 (Linking)&lt;/_isbn&gt;&lt;_issue&gt;8&lt;/_issue&gt;&lt;_journal&gt;World J Surg&lt;/_journal&gt;&lt;_language&gt;eng&lt;/_language&gt;&lt;_modified&gt;64835698&lt;/_modified&gt;&lt;_pages&gt;1918-24&lt;/_pages&gt;&lt;_social_category&gt;外科(2)&lt;/_social_category&gt;&lt;_subject_headings&gt;Adult; Anastomosis, Roux-en-Y/adverse effects/*methods; Anastomotic Leak/etiology; Deglutition Disorders/etiology/therapy; Diabetes Mellitus, Type 2/complications/drug therapy/surgery; Dilatation; Female; Gastric Bypass/adverse effects/*methods; Humans; Jejunum/surgery; Laparoscopy/*methods; Length of Stay; Male; Middle Aged; Obesity, Morbid/complications/*surgery; Postoperative Hemorrhage/*etiology; Reoperation; Weight Loss&lt;/_subject_headings&gt;&lt;_tertiary_title&gt;World journal of surgery&lt;/_tertiary_title&gt;&lt;_type_work&gt;Journal Article&lt;/_type_work&gt;&lt;_url&gt;http://www.ncbi.nlm.nih.gov/entrez/query.fcgi?cmd=Retrieve&amp;amp;db=pubmed&amp;amp;dopt=Abstract&amp;amp;list_uids=26943659&amp;amp;query_hl=1&lt;/_url&gt;&lt;_volume&gt;40&lt;/_volume&gt;&lt;/Details&gt;&lt;Extra&gt;&lt;DBUID&gt;{F96A950B-833F-4880-A151-76DA2D6A2879}&lt;/DBUID&gt;&lt;/Extra&gt;&lt;/Item&gt;&lt;/References&gt;&lt;/Group&gt;&lt;/Citation&gt;_x000a_"/>
    <w:docVar w:name="NE.Ref{34897409-C21C-4017-8EAD-34EA8293079B}" w:val=" ADDIN NE.Ref.{34897409-C21C-4017-8EAD-34EA8293079B} ADDIN NE.Ref.{34897409-C21C-4017-8EAD-34EA8293079B}&lt;Citation&gt;&lt;Group&gt;&lt;References&gt;&lt;Item&gt;&lt;ID&gt;531&lt;/ID&gt;&lt;UID&gt;{7B01FB85-3FBA-4938-B488-C6E274CA3D5B}&lt;/UID&gt;&lt;Title&gt;World Health Organization cardiovascular disease risk charts: revised models to estimate risk in 21 global regions&lt;/Title&gt;&lt;Template&gt;Journal Article&lt;/Template&gt;&lt;Star&gt;0&lt;/Star&gt;&lt;Tag&gt;0&lt;/Tag&gt;&lt;Author&gt;Kaptoge, Stephen; Pennells, Lisa; De Bacquer, Dirk; Cooney, Marie Therese; Kavousi, Maryam; Stevens, Gretchen; Riley, Leanne Margaret; Savin, Stefan; Khan, Taskeen; Altay, Servet; Amouyel, Philippe; Assmann, Gerd; Bell, Steven; Ben-Shlomo, Yoav; Berkman, Lisa; Beulens, Joline W; Björkelund, Cecilia; Blaha, Michael; Blazer, Dan G; Bolton, Thomas; Bonita Beaglehole, Ruth; Brenner, Hermann; Brunner, Eric J; Casiglia, Edoardo; Chamnan, Parinya; Choi, Yeun-Hyang; Chowdry, Rajiv; Coady, Sean; Crespo, Carlos J; Cushman, Mary; Dagenais, Gilles R; D&amp;apos;Agostino Sr, Ralph B; Daimon, Makoto; Davidson, Karina W; Engström, Gunnar; Ford, Ian; Gallacher, John; Gansevoort, Ron T; Gaziano, Thomas Andrew; Giampaoli, Simona; Grandits, Greg; Grimsgaard, Sameline; Grobbee, Diederick E; Gudnason, Vilmundur; Guo, Qi; Tolonen, Hanna; Humphries, Steve; Iso, Hiroyasu; Jukema, J Wouter; Kauhanen, Jussi; Kengne, Andre Pascal; Khalili, Davood; Koenig, Wolfgang; Kromhout, Daan; Krumholz, Harlan; Lam, T H; Laughlin, Gail; Marín Ibañez, Alejandro; Meade, Tom W; Moons, Karel G M; Nietert, Paul J; Ninomiya, Toshiharu; Nordestgaard, Børge G; O&amp;apos;Donnell, Christopher; Palmieri, Luigi; Patel, Anushka; Perel, Pablo; Price, Jackie F; Providencia, Rui; Ridker, Paul M; Rodriguez, Beatriz; Rosengren, Annika; Roussel, Ronan; Sakurai, Masaru; Salomaa, Veikko; Sato, Shinichi; Schöttker, Ben; Shara, Nawar; Shaw, Jonathan E; Shin, Hee-Choon; Simons, Leon A; Sofianopoulou, Eleni; Sundström, Johan; Völzke, Henry; Wallace, Robert B; Wareham, Nicholas J; Willeit, Peter; Wood, David; Wood, Angela; Zhao, Dong; Woodward, Mark; Danaei, Goodarz; Roth, Gregory; Mendis, Shanthi; Onuma, Oyere; Varghese, Cherian; Ezzati, Majid; Graham, Ian; Jackson, Rod; Danesh, John; Di Angelantonio, Emanuele&lt;/Author&gt;&lt;Year&gt;2019&lt;/Year&gt;&lt;Details&gt;&lt;_accessed&gt;64835773&lt;/_accessed&gt;&lt;_accession_num&gt;31488387&lt;/_accession_num&gt;&lt;_alternate_title&gt;The Lancet Global Health&lt;/_alternate_title&gt;&lt;_collection_scope&gt;SSCI;SCIE&lt;/_collection_scope&gt;&lt;_created&gt;64835702&lt;/_created&gt;&lt;_date&gt;62588160&lt;/_date&gt;&lt;_date_display&gt;2019&lt;/_date_display&gt;&lt;_db_updated&gt;CrossRef&lt;/_db_updated&gt;&lt;_doi&gt;https://doi.org/10.1016/S2214-109X(19)30318-3&lt;/_doi&gt;&lt;_impact_factor&gt;  38.927&lt;/_impact_factor&gt;&lt;_isbn&gt;2214-109X&lt;/_isbn&gt;&lt;_issue&gt;10&lt;/_issue&gt;&lt;_journal&gt;The Lancet Global Health&lt;/_journal&gt;&lt;_language&gt;eng&lt;/_language&gt;&lt;_modified&gt;64835771&lt;/_modified&gt;&lt;_ori_publication&gt;Copyright (c) 2019 The Author(s). Published by Elsevier Ltd. This is an Open Access _x000d__x000a_      article under the CC BY 4.0 license. Published by Elsevier Ltd.. All rights _x000d__x000a_      reserved.&lt;/_ori_publication&gt;&lt;_pages&gt;e1332-e1345&lt;/_pages&gt;&lt;_social_category&gt;公共卫生、环境卫生与职业卫生(1)&lt;/_social_category&gt;&lt;_subject_headings&gt;Adult; Aged; Aged, 80 and over; *Cardiovascular Diseases; Egypt; Female; Humans; Male; Middle Aged; Prospective Studies; Risk Assessment; Risk Factors; Uganda; World Health Organization&lt;/_subject_headings&gt;&lt;_tertiary_title&gt;The Lancet. Global health&lt;/_tertiary_title&gt;&lt;_type_work&gt;Journal Article; Research Support, Non-U.S. Gov&amp;apos;t&lt;/_type_work&gt;&lt;_url&gt;https://www.sciencedirect.com/science/article/pii/S2214109X19303183&lt;/_url&gt;&lt;_volume&gt;7&lt;/_volume&gt;&lt;/Details&gt;&lt;Extra&gt;&lt;DBUID&gt;{F96A950B-833F-4880-A151-76DA2D6A2879}&lt;/DBUID&gt;&lt;/Extra&gt;&lt;/Item&gt;&lt;/References&gt;&lt;/Group&gt;&lt;/Citation&gt;_x000a_"/>
    <w:docVar w:name="NE.Ref{54372C05-ABA0-4FE1-9C24-11735556A154}" w:val=" ADDIN NE.Ref.{54372C05-ABA0-4FE1-9C24-11735556A154} ADDIN NE.Ref.{54372C05-ABA0-4FE1-9C24-11735556A154}&lt;Citation&gt;&lt;Group&gt;&lt;References&gt;&lt;Item&gt;&lt;ID&gt;532&lt;/ID&gt;&lt;UID&gt;{77EE42E6-E97E-4351-B210-1E75AB8436F0}&lt;/UID&gt;&lt;Title&gt;Laboratory-based and office-based risk scores and charts to predict 10-year risk  of cardiovascular disease in 182 countries: a pooled analysis of prospective  cohorts and health surveys&lt;/Title&gt;&lt;Template&gt;Journal Article&lt;/Template&gt;&lt;Star&gt;0&lt;/Star&gt;&lt;Tag&gt;0&lt;/Tag&gt;&lt;Author&gt;Ueda, P; Woodward, M; Lu, Y; Hajifathalian, K; Al-Wotayan, R; Aguilar-Salinas, C A; Ahmadvand, A; Azizi, F; Bentham, J; Cifkova, R; Di Cesare, M; Eriksen, L; Farzadfar, F; Ferguson, T S; Ikeda, N; Khalili, D; Khang, Y H; Lanska, V; Leon-Munoz, L; Magliano, D J; Margozzini, P; Msyamboza, K P; Mutungi, G; Oh, K; Oum, S; Rodriguez-Artalejo, F; Rojas-Martinez, R; Valdivia, G; Wilks, R; Shaw, J E; Stevens, G A; Tolstrup, J S; Zhou, B; Salomon, J A; Ezzati, M; Danaei, G&lt;/Author&gt;&lt;Year&gt;2017&lt;/Year&gt;&lt;Details&gt;&lt;_accessed&gt;64835703&lt;/_accessed&gt;&lt;_accession_num&gt;28126460&lt;/_accession_num&gt;&lt;_author_adr&gt;Department of Global Health and Population, Harvard School of Public Health,  Boston, MA, USA.; The George Institute for Global Health, University of Oxford, Oxford, UK; The  George Institute for Global Health, University of Sydney, Sydney, NSW, Australia;  Department of Epidemiology, Johns Hopkins University, Baltimore, MD, USA.; Yale/Yale-New Haven Hospital, Center for Outcomes Research and Evaluation, New  Haven, CT, USA.; Department of Internal Medicine, Cleveland Clinic, Cleveland, OH, USA.; Central Department of Primary Health Care, Ministry of Health, Kuwait City,  Kuwait.; Department of Endocrinology and Metabolism, Instituto Nacional de Ciencias  Medicas y Nutricion, &amp;quot;Salvador Zubiran&amp;quot;, Mexico City, Mexico.; MRC-PHE Centre for Environment and Health, Imperial College London, London, UK;  Department of Epidemiology and Biostatistics, School of Public Health, Imperial  College London, London, UK; Non-Communicable Diseases Research Center,  Endocrinology and Metabolism Population Sciences Institute, Tehran University of  Medical Sciences, Tehran, Iran.; Endocrine Research Center, Research Institute for Endocrine Sciences, Shahid  Beheshti University of Medical Sciences, Tehran, Iran.; Department of Epidemiology and Biostatistics, School of Public Health, Imperial  College London, London, UK.; Center for Cardiovascular Prevention, Charles University in Prague, First Faculty  of Medicine and Thomayer Hospital, Prague, Czech Republic.; MRC-PHE Centre for Environment and Health, Imperial College London, London, UK;  Department of Epidemiology and Biostatistics, School of Public Health, Imperial  College London, London, UK; Department of Natural Sciences, School of Science and  Technology, Middlsex University, London, UK.; National Institute of Public Health, University of Southern Denmark, Copenhagen,  Denmark.; Non-Communicable Diseases Research Center, Endocrinology and Metabolism  Population Sciences Institute, Tehran University of Medical Sciences, Tehran,  Iran; Endocrinology and Metabolism Research Center, Endocrinology and Metabolism  Research Institute, Tehran University of Medical Sciences, Tehran, Iran.; Epidemiology Research Unit, Caribbean Institute for Health Research, The  University of the West Indies, Kingston, Jamaica.; Center for International Collaboration and Partnership, National Institute of  Health and Nutrition, National Institutes of Biomedical Innovation, Health and  Nutrition, Tokyo, Japan.; Prevention of Metabolic Disorders Research Center, Research Institute for  Endocrine Sciences, Shahid Beheshti University of Medical Sciences, Tehran, Iran.; Institute of Health Policy and Management, Seoul National University College of  Medicine, Seoul, South Korea.; Statistical Unit, Institute for Clinical and Experimental Medicine, Prague, Czech  Republic.; Department of Preventive Medicine and Public Health, School of Medicine,  Universidad Autonoma de Madrid/Idipaz, and CIBER of Epidemiology and Public  Health, Madrid, Spain.; Baker IDI Heart and Diabetes Institute, Melbourne, VIC, Australia.; Department of Public Health, Faculty of Medicine, Pontifical Catholic University  of Chile, Santiago, Chile.; WHO, Malawi Country Office, Lilongwe, Malawi.; Non-communicable Diseases Prevention and Control Program at the Ministry of  Health, Kampala, Uganda.; Division of Health and Nutrition Survey, Korea Centers for Disease Control and  Prevention, Cheongwon-gun, South Korea.; University of Health Sciences, Phnom Penh, Cambodia.; Department of Preventive Medicine and Public Health, School of Medicine,  Universidad Autonoma de Madrid/Idipaz, and CIBER of Epidemiology and Public  Health, Madrid, Spain.; Centro de Investigacion en Salud Poblacional, Instituto Nacional de Salud  Publica, Cuernavaca, Mexico.; Division Salud Publica y Medicina Familiar, Pontificia Universidad Catolica de  Chile, Santiago, Chile.; Epidemiology Research Unit, Caribbean Institute for Health Research, The  University of the West Indies, Kingston, Jamaica.; Baker IDI Heart and Diabetes Institute, Melbourne, VIC, Australia.; Department of Information, Evidence and Research, WHO, Geneva, Switzerland.; National Institute of Public Health, University of Southern Denmark, Copenhagen,  Denmark.; MRC-PHE Centre for Environment and Health, Imperial College London, London, UK;  Department of Epidemiology and Biostatistics, School of Public Health, Imperial  College London, London, UK.; Department of Global Health and Population, Harvard School of Public Health,  Boston, MA, USA.; MRC-PHE Centre for Environment and Health, Imperial College London, London, UK;  Department of Epidemiology and Biostatistics, School of Public Health, Imperial  College London, London, UK; WHO Collaborating Centre on NCD Surveillance and  Epidemiology, Imperial College London, London, UK; Wellcome Trust Centre for  Global Health Research, London, UK.; Department of Global Health and Population, Harvard School of Public Health,  Boston, MA, USA; Department of Epidemiology, Harvard School of Public Health,  Boston, MA, USA. Electronic address: gdanaei@hsph.harvard.edu.&lt;/_author_adr&gt;&lt;_collection_scope&gt;SCIE&lt;/_collection_scope&gt;&lt;_created&gt;64835703&lt;/_created&gt;&lt;_date&gt;2017-03-01&lt;/_date&gt;&lt;_date_display&gt;2017 Mar&lt;/_date_display&gt;&lt;_db_updated&gt;PubMed&lt;/_db_updated&gt;&lt;_doi&gt;10.1016/S2213-8587(17)30015-3&lt;/_doi&gt;&lt;_impact_factor&gt;  44.867&lt;/_impact_factor&gt;&lt;_isbn&gt;2213-8595 (Electronic); 2213-8587 (Print); 2213-8587 (Linking)&lt;/_isbn&gt;&lt;_issue&gt;3&lt;/_issue&gt;&lt;_journal&gt;Lancet Diabetes Endocrinol&lt;/_journal&gt;&lt;_language&gt;eng&lt;/_language&gt;&lt;_modified&gt;64835703&lt;/_modified&gt;&lt;_ori_publication&gt;Copyright (c) 2017 Elsevier Ltd. All rights reserved.&lt;/_ori_publication&gt;&lt;_pages&gt;196-213&lt;/_pages&gt;&lt;_social_category&gt;内分泌学与代谢(1)&lt;/_social_category&gt;&lt;_subject_headings&gt;Adult; Aged; Cardiovascular Diseases/*diagnosis/epidemiology; Female; Global Health; Humans; Male; Middle Aged; Prospective Studies; Risk Assessment/*methods; Risk Factors&lt;/_subject_headings&gt;&lt;_tertiary_title&gt;The lancet. Diabetes &amp;amp; endocrinology&lt;/_tertiary_title&gt;&lt;_type_work&gt;Journal Article; Research Support, N.I.H., Extramural; Research Support, Non-U.S. Gov&amp;apos;t&lt;/_type_work&gt;&lt;_url&gt;http://www.ncbi.nlm.nih.gov/entrez/query.fcgi?cmd=Retrieve&amp;amp;db=pubmed&amp;amp;dopt=Abstract&amp;amp;list_uids=28126460&amp;amp;query_hl=1&lt;/_url&gt;&lt;_volume&gt;5&lt;/_volume&gt;&lt;/Details&gt;&lt;Extra&gt;&lt;DBUID&gt;{F96A950B-833F-4880-A151-76DA2D6A2879}&lt;/DBUID&gt;&lt;/Extra&gt;&lt;/Item&gt;&lt;/References&gt;&lt;/Group&gt;&lt;/Citation&gt;_x000a_"/>
    <w:docVar w:name="NE.Ref{8282546B-E534-4597-8488-9F0D43B280E9}" w:val=" ADDIN NE.Ref.{8282546B-E534-4597-8488-9F0D43B280E9} ADDIN NE.Ref.{8282546B-E534-4597-8488-9F0D43B280E9}&lt;Citation&gt;&lt;Group&gt;&lt;References&gt;&lt;Item&gt;&lt;ID&gt;526&lt;/ID&gt;&lt;UID&gt;{7FB00080-BA48-4C3B-897D-D3CE64099AFC}&lt;/UID&gt;&lt;Title&gt;General cardiovascular risk profile for use in primary care: the Framingham Heart  Study&lt;/Title&gt;&lt;Template&gt;Journal Article&lt;/Template&gt;&lt;Star&gt;0&lt;/Star&gt;&lt;Tag&gt;0&lt;/Tag&gt;&lt;Author&gt;D&amp;apos;Agostino, RB Sr; Vasan, R S; Pencina, M J; Wolf, P A; Cobain, M; Massaro, J M; Kannel, W B&lt;/Author&gt;&lt;Year&gt;2008&lt;/Year&gt;&lt;Details&gt;&lt;_accessed&gt;64835692&lt;/_accessed&gt;&lt;_accession_num&gt;18212285&lt;/_accession_num&gt;&lt;_author_adr&gt;Boston University, Department of Mathematics and Statistics, 111 Cummington St,  Boston, MA 02215, USA.&lt;/_author_adr&gt;&lt;_collection_scope&gt;SCIE&lt;/_collection_scope&gt;&lt;_created&gt;64835356&lt;/_created&gt;&lt;_date&gt;2008-02-12&lt;/_date&gt;&lt;_date_display&gt;2008 Feb 12&lt;/_date_display&gt;&lt;_db_updated&gt;PubMed&lt;/_db_updated&gt;&lt;_doi&gt;10.1161/CIRCULATIONAHA.107.699579&lt;/_doi&gt;&lt;_impact_factor&gt;  39.918&lt;/_impact_factor&gt;&lt;_isbn&gt;1524-4539 (Electronic); 0009-7322 (Linking)&lt;/_isbn&gt;&lt;_issue&gt;6&lt;/_issue&gt;&lt;_journal&gt;Circulation&lt;/_journal&gt;&lt;_language&gt;eng&lt;/_language&gt;&lt;_modified&gt;64835692&lt;/_modified&gt;&lt;_pages&gt;743-53&lt;/_pages&gt;&lt;_social_category&gt;心脏和心血管系统(1) &amp;amp; 外周血管病(1)&lt;/_social_category&gt;&lt;_subject_headings&gt;Adult; Aged; Algorithms; *Cardiovascular Diseases; Female; Humans; Longitudinal Studies; Male; Middle Aged; Multivariate Analysis; Primary Health Care; Proportional Hazards Models; Risk Assessment/*methods; Risk Factors; Sex Factors&lt;/_subject_headings&gt;&lt;_tertiary_title&gt;Circulation&lt;/_tertiary_title&gt;&lt;_type_work&gt;Journal Article; Research Support, N.I.H., Extramural; Research Support, Non-U.S. Gov&amp;apos;t&lt;/_type_work&gt;&lt;_url&gt;http://www.ncbi.nlm.nih.gov/entrez/query.fcgi?cmd=Retrieve&amp;amp;db=pubmed&amp;amp;dopt=Abstract&amp;amp;list_uids=18212285&amp;amp;query_hl=1&lt;/_url&gt;&lt;_volume&gt;117&lt;/_volume&gt;&lt;/Details&gt;&lt;Extra&gt;&lt;DBUID&gt;{F96A950B-833F-4880-A151-76DA2D6A2879}&lt;/DBUID&gt;&lt;/Extra&gt;&lt;/Item&gt;&lt;/References&gt;&lt;/Group&gt;&lt;/Citation&gt;_x000a_"/>
    <w:docVar w:name="NE.Ref{F9E8F3CC-DFFB-462C-AE7C-7B5D61C8225B}" w:val=" ADDIN NE.Ref.{F9E8F3CC-DFFB-462C-AE7C-7B5D61C8225B}&lt;Citation&gt;&lt;Group&gt;&lt;References&gt;&lt;Item&gt;&lt;ID&gt;527&lt;/ID&gt;&lt;UID&gt;{93E006EE-0D21-410B-B940-D53D448F0020}&lt;/UID&gt;&lt;Title&gt;Early Weight Loss after Laparoscopic Sleeve Gastrectomy Predicts Sustained Weight  Maintenance Among Chinese Individuals with a BMI &amp;lt; 35 kg/m(2)&lt;/Title&gt;&lt;Template&gt;Journal Article&lt;/Template&gt;&lt;Star&gt;0&lt;/Star&gt;&lt;Tag&gt;0&lt;/Tag&gt;&lt;Author&gt;Wang, L; Sang, Q; &amp;quot;Du D&amp;quot;; Zheng, X; Lian, D; Zhang, N&lt;/Author&gt;&lt;Year&gt;2021&lt;/Year&gt;&lt;Details&gt;&lt;_accessed&gt;64835693&lt;/_accessed&gt;&lt;_accession_num&gt;33392996&lt;/_accession_num&gt;&lt;_author_adr&gt;Surgery Centre of Diabetes Mellitus, Peking University Ninth School of Clinical  Medicine, Beijing, 100038, China.; Surgery Centre of Diabetes Mellitus, Peking University Ninth School of Clinical  Medicine, Beijing, 100038, China.; Surgery Centre of Diabetes Mellitus, Peking University Ninth School of Clinical  Medicine, Beijing, 100038, China.; Surgery Centre of Diabetes Mellitus, Peking University Ninth School of Clinical  Medicine, Beijing, 100038, China.; Surgery Centre of Diabetes Mellitus, Peking University Ninth School of Clinical  Medicine, Beijing, 100038, China.; Surgery Centre of Diabetes Mellitus, Peking University Ninth School of Clinical  Medicine, Beijing, 100038, China. zhangnw1@sohu.com.; Shijitan Hospital, Tieyi Road, Haidian District, Beijing, China.  zhangnw1@sohu.com.&lt;/_author_adr&gt;&lt;_collection_scope&gt;SCIE&lt;/_collection_scope&gt;&lt;_created&gt;64835691&lt;/_created&gt;&lt;_date&gt;2021-04-01&lt;/_date&gt;&lt;_date_display&gt;2021 Apr&lt;/_date_display&gt;&lt;_db_updated&gt;PubMed&lt;/_db_updated&gt;&lt;_doi&gt;10.1007/s11695-020-05173-0&lt;/_doi&gt;&lt;_impact_factor&gt;   3.479&lt;/_impact_factor&gt;&lt;_isbn&gt;1708-0428 (Electronic); 0960-8923 (Linking)&lt;/_isbn&gt;&lt;_issue&gt;4&lt;/_issue&gt;&lt;_journal&gt;Obes Surg&lt;/_journal&gt;&lt;_keywords&gt;Chinese; Early weight loss; Laparoscopic sleeve gastrectomy; Obesity-related comorbidities; Sustained weight maintenance&lt;/_keywords&gt;&lt;_language&gt;eng&lt;/_language&gt;&lt;_modified&gt;64835692&lt;/_modified&gt;&lt;_pages&gt;1647-1655&lt;/_pages&gt;&lt;_social_category&gt;外科(3)&lt;/_social_category&gt;&lt;_subject_headings&gt;Body Mass Index; Body Weight Maintenance; China; Gastrectomy; Humans; *Laparoscopy; *Obesity, Morbid/surgery; Retrospective Studies; Treatment Outcome; Weight Loss&lt;/_subject_headings&gt;&lt;_tertiary_title&gt;Obesity surgery&lt;/_tertiary_title&gt;&lt;_type_work&gt;Journal Article; Research Support, Non-U.S. Gov&amp;apos;t&lt;/_type_work&gt;&lt;_url&gt;http://www.ncbi.nlm.nih.gov/entrez/query.fcgi?cmd=Retrieve&amp;amp;db=pubmed&amp;amp;dopt=Abstract&amp;amp;list_uids=33392996&amp;amp;query_hl=1&lt;/_url&gt;&lt;_volume&gt;31&lt;/_volume&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05"/>
  </w:docVars>
  <w:rsids>
    <w:rsidRoot w:val="00172A27"/>
    <w:rsid w:val="00172A27"/>
    <w:rsid w:val="00732BC3"/>
    <w:rsid w:val="00A00D19"/>
    <w:rsid w:val="00A83C54"/>
    <w:rsid w:val="00AE45E3"/>
    <w:rsid w:val="00E26DA2"/>
    <w:rsid w:val="00F54F08"/>
    <w:rsid w:val="00FF0190"/>
    <w:rsid w:val="04E24428"/>
    <w:rsid w:val="05180B18"/>
    <w:rsid w:val="05544226"/>
    <w:rsid w:val="058F7DA9"/>
    <w:rsid w:val="096B7D90"/>
    <w:rsid w:val="0A2D3298"/>
    <w:rsid w:val="0C50748B"/>
    <w:rsid w:val="12942106"/>
    <w:rsid w:val="13E0137B"/>
    <w:rsid w:val="15B94CE8"/>
    <w:rsid w:val="19917334"/>
    <w:rsid w:val="1F952153"/>
    <w:rsid w:val="217F7880"/>
    <w:rsid w:val="263351C7"/>
    <w:rsid w:val="2CD86C3B"/>
    <w:rsid w:val="2D0A3299"/>
    <w:rsid w:val="2EA9281C"/>
    <w:rsid w:val="2F7F3F63"/>
    <w:rsid w:val="33A8723E"/>
    <w:rsid w:val="44B2430B"/>
    <w:rsid w:val="46B06807"/>
    <w:rsid w:val="4F31425D"/>
    <w:rsid w:val="502105D3"/>
    <w:rsid w:val="55780A1F"/>
    <w:rsid w:val="55FE7A22"/>
    <w:rsid w:val="56FA002C"/>
    <w:rsid w:val="61236749"/>
    <w:rsid w:val="64357EF4"/>
    <w:rsid w:val="66197D2E"/>
    <w:rsid w:val="6D8C327A"/>
    <w:rsid w:val="799B1BBE"/>
    <w:rsid w:val="7C105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rPr>
      <w:sz w:val="20"/>
      <w:szCs w:val="2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3"/>
    <w:next w:val="3"/>
    <w:link w:val="16"/>
    <w:autoRedefine/>
    <w:qFormat/>
    <w:uiPriority w:val="0"/>
    <w:rPr>
      <w:b/>
      <w:bCs/>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character" w:styleId="11">
    <w:name w:val="line number"/>
    <w:basedOn w:val="9"/>
    <w:autoRedefine/>
    <w:qFormat/>
    <w:uiPriority w:val="0"/>
  </w:style>
  <w:style w:type="character" w:styleId="12">
    <w:name w:val="Hyperlink"/>
    <w:basedOn w:val="9"/>
    <w:autoRedefine/>
    <w:qFormat/>
    <w:uiPriority w:val="0"/>
    <w:rPr>
      <w:color w:val="0000FF"/>
      <w:u w:val="single"/>
    </w:rPr>
  </w:style>
  <w:style w:type="character" w:styleId="13">
    <w:name w:val="annotation reference"/>
    <w:basedOn w:val="9"/>
    <w:autoRedefine/>
    <w:qFormat/>
    <w:uiPriority w:val="0"/>
    <w:rPr>
      <w:sz w:val="16"/>
      <w:szCs w:val="16"/>
    </w:rPr>
  </w:style>
  <w:style w:type="paragraph" w:customStyle="1" w:styleId="14">
    <w:name w:val="Revision1"/>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5">
    <w:name w:val="Comment Text Char"/>
    <w:basedOn w:val="9"/>
    <w:link w:val="3"/>
    <w:autoRedefine/>
    <w:qFormat/>
    <w:uiPriority w:val="0"/>
    <w:rPr>
      <w:rFonts w:asciiTheme="minorHAnsi" w:hAnsiTheme="minorHAnsi" w:eastAsiaTheme="minorEastAsia" w:cstheme="minorBidi"/>
      <w:kern w:val="2"/>
      <w:lang w:val="en-US" w:eastAsia="zh-CN"/>
    </w:rPr>
  </w:style>
  <w:style w:type="character" w:customStyle="1" w:styleId="16">
    <w:name w:val="Comment Subject Char"/>
    <w:basedOn w:val="15"/>
    <w:link w:val="6"/>
    <w:autoRedefine/>
    <w:qFormat/>
    <w:uiPriority w:val="0"/>
    <w:rPr>
      <w:rFonts w:asciiTheme="minorHAnsi" w:hAnsiTheme="minorHAnsi" w:eastAsiaTheme="minorEastAsia" w:cstheme="minorBidi"/>
      <w:b/>
      <w:bCs/>
      <w:kern w:val="2"/>
      <w:lang w:val="en-US" w:eastAsia="zh-CN"/>
    </w:rPr>
  </w:style>
  <w:style w:type="paragraph" w:customStyle="1" w:styleId="17">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969</Words>
  <Characters>5529</Characters>
  <Lines>46</Lines>
  <Paragraphs>12</Paragraphs>
  <TotalTime>11</TotalTime>
  <ScaleCrop>false</ScaleCrop>
  <LinksUpToDate>false</LinksUpToDate>
  <CharactersWithSpaces>6486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2024-04-11T00:55:00Z</dcterms:created>
  <dc:creator>wangzheng</dc:creator>
  <cp:lastModifiedBy>author</cp:lastModifiedBy>
  <dcterms:modified xsi:type="dcterms:W3CDTF">2024-04-13T15:26:39Z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4F132B20C4E84DA19FB0FD7F36E90CF4_13</vt:lpwstr>
  </property>
  <property fmtid="{D5CDD505-2E9C-101B-9397-08002B2CF9AE}" pid="4" name="ClassificationContentMarkingFooterShapeIds">
    <vt:lpwstr>380574df,685c0695,91d0758</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2024-02-26T00:00:58Z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58827c13-d412-4267-8cce-2cf89e40f0a7</vt:lpwstr>
  </property>
  <property fmtid="{D5CDD505-2E9C-101B-9397-08002B2CF9AE}" pid="13" name="MSIP_Label_2bbab825-a111-45e4-86a1-18cee0005896_ContentBits">
    <vt:lpwstr>2</vt:lpwstr>
  </property>
</Properties>
</file>