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511290"/>
            <wp:effectExtent l="0" t="0" r="7620" b="3810"/>
            <wp:docPr id="2" name="图片 2" descr="Figure S1 String test of four hv-CRKP strains from the same patient at different peri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 String test of four hv-CRKP strains from the same patient at different period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Figure S1</w:t>
      </w:r>
      <w:r>
        <w:rPr>
          <w:rFonts w:hint="default" w:ascii="Times New Roman" w:hAnsi="Times New Roman" w:cs="Times New Roman"/>
          <w:sz w:val="20"/>
          <w:szCs w:val="20"/>
        </w:rPr>
        <w:t xml:space="preserve"> String test of four hv-CRKP strains from the same patient at different periods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450340"/>
            <wp:effectExtent l="0" t="0" r="4445" b="16510"/>
            <wp:docPr id="1" name="图片 1" descr="Figure S2 The virulence genes, antimicrobial resistance genes, capsule serotype genes and MLST types of four hv-CRKP isolates from the same patient in different peri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2 The virulence genes, antimicrobial resistance genes, capsule serotype genes and MLST types of four hv-CRKP isolates from the same patient in different period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spacing w:line="400" w:lineRule="exac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 xml:space="preserve">Figure S2 </w:t>
      </w:r>
      <w:r>
        <w:rPr>
          <w:rFonts w:hint="default" w:ascii="Times New Roman" w:hAnsi="Times New Roman" w:cs="Times New Roman"/>
          <w:sz w:val="20"/>
          <w:szCs w:val="20"/>
        </w:rPr>
        <w:t xml:space="preserve"> The virulence genes, antimicrobial resistance genes, capsule serotype genes and MLST types of four hv-CRKP isolates from the same patient in different periods.</w:t>
      </w:r>
    </w:p>
    <w:p>
      <w:pPr>
        <w:spacing w:line="400" w:lineRule="exac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Note: Black indicates presence of a gene in the corresponding strain. Only </w:t>
      </w:r>
      <w:r>
        <w:rPr>
          <w:rStyle w:val="4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rtl w:val="0"/>
          <w:cs w:val="0"/>
          <w:lang w:val="en-US" w:eastAsia="en-US"/>
        </w:rPr>
        <w:t xml:space="preserve">the major virulence genes on the chromosomes are listed. The </w:t>
      </w:r>
      <w:r>
        <w:rPr>
          <w:rFonts w:hint="default" w:ascii="Times New Roman" w:hAnsi="Times New Roman" w:cs="Times New Roman"/>
          <w:sz w:val="20"/>
          <w:szCs w:val="20"/>
        </w:rPr>
        <w:t>complete information is provided in Table S1 of the Supplementary Material.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203825"/>
            <wp:effectExtent l="0" t="0" r="5715" b="15875"/>
            <wp:docPr id="3" name="图片 3" descr="Figure S3 Comparison of virulence genes rmpA2 and rmpA on different plasm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 Comparison of virulence genes rmpA2 and rmpA on different plasmid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Figure S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/>
        </w:rPr>
        <w:t>3</w:t>
      </w:r>
      <w:r>
        <w:rPr>
          <w:rFonts w:hint="default" w:ascii="Times New Roman" w:hAnsi="Times New Roman" w:cs="Times New Roman"/>
          <w:sz w:val="20"/>
          <w:szCs w:val="20"/>
        </w:rPr>
        <w:t xml:space="preserve"> Comparison of virulence genes </w:t>
      </w:r>
      <w:r>
        <w:rPr>
          <w:rFonts w:hint="default" w:ascii="Times New Roman" w:hAnsi="Times New Roman" w:cs="Times New Roman"/>
          <w:i/>
          <w:iCs/>
          <w:sz w:val="20"/>
          <w:szCs w:val="20"/>
        </w:rPr>
        <w:t>rmpA2</w:t>
      </w:r>
      <w:r>
        <w:rPr>
          <w:rFonts w:hint="default" w:ascii="Times New Roman" w:hAnsi="Times New Roman" w:cs="Times New Roman"/>
          <w:sz w:val="20"/>
          <w:szCs w:val="20"/>
        </w:rPr>
        <w:t xml:space="preserve"> and </w:t>
      </w:r>
      <w:r>
        <w:rPr>
          <w:rFonts w:hint="default" w:ascii="Times New Roman" w:hAnsi="Times New Roman" w:cs="Times New Roman"/>
          <w:i/>
          <w:iCs/>
          <w:sz w:val="20"/>
          <w:szCs w:val="20"/>
        </w:rPr>
        <w:t>rmpA</w:t>
      </w:r>
      <w:r>
        <w:rPr>
          <w:rFonts w:hint="default" w:ascii="Times New Roman" w:hAnsi="Times New Roman" w:cs="Times New Roman"/>
          <w:sz w:val="20"/>
          <w:szCs w:val="20"/>
        </w:rPr>
        <w:t xml:space="preserve"> on 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different </w:t>
      </w:r>
      <w:r>
        <w:rPr>
          <w:rFonts w:hint="default" w:ascii="Times New Roman" w:hAnsi="Times New Roman" w:cs="Times New Roman"/>
          <w:sz w:val="20"/>
          <w:szCs w:val="20"/>
        </w:rPr>
        <w:t>plasmid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>s.</w:t>
      </w:r>
      <w:r>
        <w:rPr>
          <w:rFonts w:hint="default" w:ascii="Times New Roman" w:hAnsi="Times New Roman" w:cs="Times New Roman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(A) Alignment of </w:t>
      </w:r>
      <w:r>
        <w:rPr>
          <w:rFonts w:hint="default" w:ascii="Times New Roman" w:hAnsi="Times New Roman" w:cs="Times New Roman"/>
          <w:sz w:val="20"/>
          <w:szCs w:val="20"/>
        </w:rPr>
        <w:t>virulence genes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hint="default" w:ascii="Times New Roman" w:hAnsi="Times New Roman" w:cs="Times New Roman"/>
          <w:i/>
          <w:iCs/>
          <w:sz w:val="20"/>
          <w:szCs w:val="20"/>
          <w:lang w:val="en-US"/>
        </w:rPr>
        <w:t>rmpA2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 on plasmids pWYKP586-1, pWYKP589-1, pWYKP594-1, and </w:t>
      </w:r>
      <w:r>
        <w:rPr>
          <w:rFonts w:hint="default" w:ascii="Times New Roman" w:hAnsi="Times New Roman" w:cs="Times New Roman"/>
          <w:sz w:val="20"/>
          <w:szCs w:val="20"/>
        </w:rPr>
        <w:t>pK2044(AP006726)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. (B) </w:t>
      </w:r>
      <w:bookmarkStart w:id="0" w:name="OLE_LINK122"/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Alignment of </w:t>
      </w:r>
      <w:r>
        <w:rPr>
          <w:rFonts w:hint="default" w:ascii="Times New Roman" w:hAnsi="Times New Roman" w:cs="Times New Roman"/>
          <w:sz w:val="20"/>
          <w:szCs w:val="20"/>
        </w:rPr>
        <w:t>virulence genes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hint="default" w:ascii="Times New Roman" w:hAnsi="Times New Roman" w:cs="Times New Roman"/>
          <w:i/>
          <w:iCs/>
          <w:sz w:val="20"/>
          <w:szCs w:val="20"/>
          <w:lang w:val="en-US"/>
        </w:rPr>
        <w:t>rmpA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 on plasmids pWYKP586-1, pWYKP589-1, and </w:t>
      </w:r>
      <w:r>
        <w:rPr>
          <w:rFonts w:hint="default" w:ascii="Times New Roman" w:hAnsi="Times New Roman" w:cs="Times New Roman"/>
          <w:sz w:val="20"/>
          <w:szCs w:val="20"/>
        </w:rPr>
        <w:t>pK2044(AP006726)</w:t>
      </w:r>
      <w:bookmarkEnd w:id="0"/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. (C) Alignment of </w:t>
      </w:r>
      <w:r>
        <w:rPr>
          <w:rFonts w:hint="default" w:ascii="Times New Roman" w:hAnsi="Times New Roman" w:cs="Times New Roman"/>
          <w:sz w:val="20"/>
          <w:szCs w:val="20"/>
        </w:rPr>
        <w:t>virulence genes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hint="default" w:ascii="Times New Roman" w:hAnsi="Times New Roman" w:cs="Times New Roman"/>
          <w:i/>
          <w:iCs/>
          <w:sz w:val="20"/>
          <w:szCs w:val="20"/>
          <w:lang w:val="en-US"/>
        </w:rPr>
        <w:t>rmpA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 on plasmids pWYKP594-1 and </w:t>
      </w:r>
      <w:r>
        <w:rPr>
          <w:rFonts w:hint="default" w:ascii="Times New Roman" w:hAnsi="Times New Roman" w:cs="Times New Roman"/>
          <w:sz w:val="20"/>
          <w:szCs w:val="20"/>
        </w:rPr>
        <w:t>pK2044(AP006726)</w:t>
      </w:r>
      <w:r>
        <w:rPr>
          <w:rFonts w:hint="default" w:ascii="Times New Roman" w:hAnsi="Times New Roman" w:cs="Times New Roman"/>
          <w:sz w:val="20"/>
          <w:szCs w:val="20"/>
          <w:lang w:val="en-US"/>
        </w:rPr>
        <w:t xml:space="preserve">. </w:t>
      </w:r>
      <w:r>
        <w:rPr>
          <w:rFonts w:hint="default" w:ascii="Times New Roman" w:hAnsi="Times New Roman" w:cs="Times New Roman"/>
          <w:sz w:val="20"/>
          <w:szCs w:val="20"/>
        </w:rPr>
        <w:t xml:space="preserve">Gene sequence alignment was performed using </w:t>
      </w:r>
      <w:bookmarkStart w:id="1" w:name="OLE_LINK19"/>
      <w:r>
        <w:rPr>
          <w:rFonts w:hint="default" w:ascii="Times New Roman" w:hAnsi="Times New Roman" w:cs="Times New Roman"/>
          <w:sz w:val="20"/>
          <w:szCs w:val="20"/>
        </w:rPr>
        <w:t>MEGA-X</w:t>
      </w:r>
      <w:bookmarkEnd w:id="1"/>
      <w:r>
        <w:rPr>
          <w:rFonts w:hint="default" w:ascii="Times New Roman" w:hAnsi="Times New Roman" w:cs="Times New Roman"/>
          <w:sz w:val="20"/>
          <w:szCs w:val="20"/>
        </w:rPr>
        <w:t>. The gene comparison map was generated with GeneDoc.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4" w:name="_GoBack"/>
      <w:bookmarkEnd w:id="4"/>
    </w:p>
    <w:p>
      <w:pPr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Table S1</w:t>
      </w:r>
      <w:r>
        <w:rPr>
          <w:rFonts w:hint="default" w:ascii="Times New Roman" w:hAnsi="Times New Roman" w:cs="Times New Roman"/>
          <w:sz w:val="20"/>
          <w:szCs w:val="20"/>
        </w:rPr>
        <w:t xml:space="preserve"> Genomic characteristics of </w:t>
      </w:r>
      <w:r>
        <w:rPr>
          <w:rStyle w:val="4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rtl w:val="0"/>
          <w:cs w:val="0"/>
          <w:lang w:val="en-US" w:eastAsia="en-US"/>
        </w:rPr>
        <w:t>the plasmids and chromosomes in WYKP586, WYKP589, and WYKP594.</w:t>
      </w:r>
    </w:p>
    <w:tbl>
      <w:tblPr>
        <w:tblStyle w:val="3"/>
        <w:tblW w:w="88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8"/>
        <w:gridCol w:w="1016"/>
        <w:gridCol w:w="1350"/>
        <w:gridCol w:w="1669"/>
        <w:gridCol w:w="1528"/>
        <w:gridCol w:w="17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Sequence name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Genome size</w:t>
            </w:r>
          </w:p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(bp)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Incapability group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Mobial ability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Resistance genes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Virulence genes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6" w:hRule="atLeast"/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WYKP586-chr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5460052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n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Non-mobilizable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wcaJ / wzm / wzt / wbbM / glf / wbbN / wbbO / fyuA / ybtE / ybtT / ybtU / irp1 / irp2 / ybtA / ybtP / ybtQ / ybtX / ybtS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pWYKP586-1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302246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IncHI1B,repB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Conjugative(oriT, T4CP,  T4SS, Relaxase)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CatA2/sul2/tet(A)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  <w:lang w:val="en-US"/>
              </w:rPr>
              <w:t>/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bla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>LAP-2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 xml:space="preserve"> / qnrS1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rmpA2 / rmpA/</w:t>
            </w:r>
          </w:p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iucABCD / iutA/iroN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pWYKP586-2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110449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IncFII,IncR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Non-mobilizable(T4SS)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bla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  <w:vertAlign w:val="subscript"/>
              </w:rPr>
              <w:t xml:space="preserve">SHV-12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/ bla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  <w:vertAlign w:val="subscript"/>
              </w:rPr>
              <w:t>KPC-2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pWYKP586-3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11970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CoIRNAI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Non-mobilizable(T4CP, Relaxase)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pWYKP586-4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5596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CoIRNAI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Mobilizable(oriT, Relaxase)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WYKP589-chr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5465951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n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Non-mobilizable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wcaJ / wzm / wzt / wbbM / glf / wbbN / wbbO / fyuA / ybtE / ybtT / ybtU / irp1 / irp2 / ybtA / ybtP / ybtQ / ybtX / ybtS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pWYKP589-1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217869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IncHI1B,repB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Mobilizable(oriT, T4CP)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rmpA2 /rmpA/</w:t>
            </w:r>
          </w:p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 xml:space="preserve">iucABCD / iutA/ </w:t>
            </w:r>
            <w:bookmarkStart w:id="2" w:name="OLE_LINK90"/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iroN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pWYKP589-2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110599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IncFII,IncR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Non-mobilizable(T4SS)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bla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 xml:space="preserve">SHV-12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/ bla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 xml:space="preserve">KPC-2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 xml:space="preserve">/ rmtB / </w:t>
            </w:r>
            <w:bookmarkStart w:id="3" w:name="OLE_LINK123"/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bla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>TEM-1B</w:t>
            </w:r>
            <w:bookmarkEnd w:id="3"/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pWYKP589-3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83551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n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Conjugative(oriT, T4CP,  T4SS, Relaxase)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CatA2 / sul2 / tet(A) / bla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 xml:space="preserve">LAP-2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/ qnrS1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pWYKP589-4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11970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CoIRNAI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Non-mobilizable(Relaxase)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pWYKP589-5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5596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CoIRNAI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Mobilizable(oriT, Relaxase)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WYKP594-chr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5466795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n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Non-mobilizable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wcaJ / wzm / wzt / wbbM / glf / wbbN / wbbO / fyuA / ybtE / ybtT / ybtU / irp1 / irp2 / ybtA / ybtP / ybtQ / ybtX / ybtS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pWYKP594-1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217743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IncHI1B,repB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Mobilizable(oriT, T4CP)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rmpA2 / rmpA/</w:t>
            </w:r>
          </w:p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iucABCD / iutA/ iroN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pWYKP594-2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83551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n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Conjugative(oriT, T4CP, T4SS, Relaxase)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CatA2 / sul2/ tet(A) / bla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 xml:space="preserve">LAP-2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/ qnrS1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pWYKP594-3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73344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CoIRNAI,IncR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Conjugative(oriT, T4CP, T4SS, Relaxase)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bla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>KPC-2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pWYKP594-4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50524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IncFII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Non-mobilizable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bla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 xml:space="preserve">SHV-12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/ rmtB / bla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>TEM-1B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pWYKP594-5</w:t>
            </w:r>
          </w:p>
        </w:tc>
        <w:tc>
          <w:tcPr>
            <w:tcW w:w="1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5596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CoIRNAI</w:t>
            </w:r>
          </w:p>
        </w:tc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Mobilizable(oriT, Relaxase)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 xml:space="preserve">Note: </w:t>
      </w:r>
      <w:r>
        <w:rPr>
          <w:rFonts w:hint="default" w:ascii="Times New Roman" w:hAnsi="Times New Roman" w:cs="Times New Roman"/>
          <w:sz w:val="20"/>
          <w:szCs w:val="20"/>
        </w:rPr>
        <w:t>n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,</w:t>
      </w:r>
      <w:r>
        <w:rPr>
          <w:rFonts w:hint="default" w:ascii="Times New Roman" w:hAnsi="Times New Roman" w:cs="Times New Roman"/>
          <w:sz w:val="20"/>
          <w:szCs w:val="20"/>
        </w:rPr>
        <w:t xml:space="preserve"> nonexistent information. 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Rockwell">
    <w:altName w:val="Segoe Print"/>
    <w:panose1 w:val="02060603020205020403"/>
    <w:charset w:val="00"/>
    <w:family w:val="roman"/>
    <w:pitch w:val="default"/>
    <w:sig w:usb0="00000000" w:usb1="00000000" w:usb2="00000000" w:usb3="00000000" w:csb0="0000000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wNzVhYjBmODA5NGU4NmMxMzAxZGRkZGI0NGYwOWUifQ=="/>
  </w:docVars>
  <w:rsids>
    <w:rsidRoot w:val="79F35C3E"/>
    <w:rsid w:val="79F3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2023-10-30T00:45:00Z</dcterms:created>
  <dc:creator>周聪</dc:creator>
  <cp:lastModifiedBy>周聪</cp:lastModifiedBy>
  <dcterms:modified xsi:type="dcterms:W3CDTF">2023-10-30T00:50:50Z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8D8B0297BBBF4589A44E52C6752A35A9_11</vt:lpwstr>
  </property>
</Properties>
</file>