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E759" w14:textId="403CB240" w:rsidR="00D817F4" w:rsidRPr="00464EC3" w:rsidRDefault="00D817F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64EC3">
        <w:rPr>
          <w:rFonts w:ascii="Arial" w:hAnsi="Arial" w:cs="Arial"/>
          <w:b/>
          <w:bCs/>
          <w:color w:val="000000"/>
          <w:sz w:val="20"/>
          <w:szCs w:val="20"/>
        </w:rPr>
        <w:t>Supplementary Table 1 Systemic treatment during HAIC in the two groups in the full cohort and the match 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1130"/>
        <w:gridCol w:w="1131"/>
        <w:gridCol w:w="1083"/>
        <w:gridCol w:w="1131"/>
        <w:gridCol w:w="1131"/>
        <w:gridCol w:w="1084"/>
      </w:tblGrid>
      <w:tr w:rsidR="0010463A" w:rsidRPr="00464EC3" w14:paraId="55CB79E2" w14:textId="77777777" w:rsidTr="0010463A">
        <w:tc>
          <w:tcPr>
            <w:tcW w:w="1606" w:type="dxa"/>
            <w:vMerge w:val="restart"/>
            <w:vAlign w:val="center"/>
          </w:tcPr>
          <w:p w14:paraId="76F08242" w14:textId="74DE38AE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344" w:type="dxa"/>
            <w:gridSpan w:val="3"/>
            <w:vAlign w:val="center"/>
          </w:tcPr>
          <w:p w14:paraId="140B1E3B" w14:textId="4DDF4472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Before PSM</w:t>
            </w:r>
          </w:p>
        </w:tc>
        <w:tc>
          <w:tcPr>
            <w:tcW w:w="3346" w:type="dxa"/>
            <w:gridSpan w:val="3"/>
            <w:vAlign w:val="center"/>
          </w:tcPr>
          <w:p w14:paraId="0173E2AB" w14:textId="00B3CE38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After PSM</w:t>
            </w:r>
          </w:p>
        </w:tc>
      </w:tr>
      <w:tr w:rsidR="0010463A" w:rsidRPr="00464EC3" w14:paraId="67CDD63B" w14:textId="77777777" w:rsidTr="0010463A">
        <w:tc>
          <w:tcPr>
            <w:tcW w:w="1606" w:type="dxa"/>
            <w:vMerge/>
            <w:vAlign w:val="center"/>
          </w:tcPr>
          <w:p w14:paraId="7A0FC30B" w14:textId="77777777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9BA7089" w14:textId="418EEB37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ETV Group (n=522)</w:t>
            </w:r>
          </w:p>
        </w:tc>
        <w:tc>
          <w:tcPr>
            <w:tcW w:w="1131" w:type="dxa"/>
            <w:vAlign w:val="center"/>
          </w:tcPr>
          <w:p w14:paraId="107C1535" w14:textId="22E2849C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TDF Group (n=161)</w:t>
            </w:r>
          </w:p>
        </w:tc>
        <w:tc>
          <w:tcPr>
            <w:tcW w:w="1083" w:type="dxa"/>
            <w:vAlign w:val="center"/>
          </w:tcPr>
          <w:p w14:paraId="03465924" w14:textId="6706102A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131" w:type="dxa"/>
            <w:vAlign w:val="center"/>
          </w:tcPr>
          <w:p w14:paraId="3CD6671C" w14:textId="6EA6FDA3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ETV Group (n=408)</w:t>
            </w:r>
          </w:p>
        </w:tc>
        <w:tc>
          <w:tcPr>
            <w:tcW w:w="1131" w:type="dxa"/>
            <w:vAlign w:val="center"/>
          </w:tcPr>
          <w:p w14:paraId="083E7D63" w14:textId="175D4303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TDF Group (n=158)</w:t>
            </w:r>
          </w:p>
        </w:tc>
        <w:tc>
          <w:tcPr>
            <w:tcW w:w="1084" w:type="dxa"/>
            <w:vAlign w:val="center"/>
          </w:tcPr>
          <w:p w14:paraId="605CEBC5" w14:textId="6FE09A09" w:rsidR="0010463A" w:rsidRPr="00464EC3" w:rsidRDefault="0010463A" w:rsidP="001046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</w:p>
        </w:tc>
      </w:tr>
      <w:tr w:rsidR="00D817F4" w:rsidRPr="00464EC3" w14:paraId="1B15B3FA" w14:textId="77777777" w:rsidTr="0010463A">
        <w:tc>
          <w:tcPr>
            <w:tcW w:w="1606" w:type="dxa"/>
            <w:vAlign w:val="center"/>
          </w:tcPr>
          <w:p w14:paraId="5EA08453" w14:textId="623713F5" w:rsidR="00D817F4" w:rsidRPr="00464EC3" w:rsidRDefault="00296DA3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Tyrosine kinase inhibitor</w:t>
            </w:r>
          </w:p>
        </w:tc>
        <w:tc>
          <w:tcPr>
            <w:tcW w:w="1130" w:type="dxa"/>
            <w:vAlign w:val="center"/>
          </w:tcPr>
          <w:p w14:paraId="4F015DC3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276D41D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3B420F2" w14:textId="72A07301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060B789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96DE886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87E29C7" w14:textId="09CCA7F6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F4" w:rsidRPr="00464EC3" w14:paraId="7C9F22CB" w14:textId="77777777" w:rsidTr="0010463A">
        <w:tc>
          <w:tcPr>
            <w:tcW w:w="1606" w:type="dxa"/>
            <w:vAlign w:val="center"/>
          </w:tcPr>
          <w:p w14:paraId="2AA63AE3" w14:textId="40EF2743" w:rsidR="00D817F4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F6BD8" w:rsidRPr="00464EC3">
              <w:rPr>
                <w:rFonts w:ascii="Arial" w:hAnsi="Arial" w:cs="Arial"/>
                <w:color w:val="000000"/>
                <w:sz w:val="20"/>
                <w:szCs w:val="20"/>
              </w:rPr>
              <w:t>orafenib</w:t>
            </w:r>
          </w:p>
        </w:tc>
        <w:tc>
          <w:tcPr>
            <w:tcW w:w="1130" w:type="dxa"/>
            <w:vAlign w:val="center"/>
          </w:tcPr>
          <w:p w14:paraId="462DF1BA" w14:textId="1A588F0F" w:rsidR="00D817F4" w:rsidRPr="00464EC3" w:rsidRDefault="005F6BD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66EC0" w:rsidRPr="00464E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(8.6%)</w:t>
            </w:r>
          </w:p>
        </w:tc>
        <w:tc>
          <w:tcPr>
            <w:tcW w:w="1131" w:type="dxa"/>
            <w:vAlign w:val="center"/>
          </w:tcPr>
          <w:p w14:paraId="6B9F4F8C" w14:textId="4DF596AB" w:rsidR="00D817F4" w:rsidRPr="00464EC3" w:rsidRDefault="005F6BD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(6.8%)</w:t>
            </w:r>
          </w:p>
        </w:tc>
        <w:tc>
          <w:tcPr>
            <w:tcW w:w="1083" w:type="dxa"/>
            <w:vAlign w:val="center"/>
          </w:tcPr>
          <w:p w14:paraId="59BBAC0A" w14:textId="1068DE49" w:rsidR="00D817F4" w:rsidRPr="00464EC3" w:rsidRDefault="0010463A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131" w:type="dxa"/>
            <w:vAlign w:val="center"/>
          </w:tcPr>
          <w:p w14:paraId="0FC3D0FB" w14:textId="2ECEAB5A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30 (7.4%)</w:t>
            </w:r>
          </w:p>
        </w:tc>
        <w:tc>
          <w:tcPr>
            <w:tcW w:w="1131" w:type="dxa"/>
            <w:vAlign w:val="center"/>
          </w:tcPr>
          <w:p w14:paraId="6634DC63" w14:textId="4B543904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11 (7.0%)</w:t>
            </w:r>
          </w:p>
        </w:tc>
        <w:tc>
          <w:tcPr>
            <w:tcW w:w="1084" w:type="dxa"/>
            <w:vAlign w:val="center"/>
          </w:tcPr>
          <w:p w14:paraId="14F7AC71" w14:textId="0B544A02" w:rsidR="00D817F4" w:rsidRPr="00464EC3" w:rsidRDefault="0010463A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0.210</w:t>
            </w:r>
          </w:p>
        </w:tc>
      </w:tr>
      <w:tr w:rsidR="00D817F4" w:rsidRPr="00464EC3" w14:paraId="23EAE71E" w14:textId="77777777" w:rsidTr="0010463A">
        <w:tc>
          <w:tcPr>
            <w:tcW w:w="1606" w:type="dxa"/>
            <w:vAlign w:val="center"/>
          </w:tcPr>
          <w:p w14:paraId="0006CB59" w14:textId="76E2216A" w:rsidR="00D817F4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Lenvatinib</w:t>
            </w:r>
          </w:p>
        </w:tc>
        <w:tc>
          <w:tcPr>
            <w:tcW w:w="1130" w:type="dxa"/>
            <w:vAlign w:val="center"/>
          </w:tcPr>
          <w:p w14:paraId="1FB3C3B7" w14:textId="4096607C" w:rsidR="00D817F4" w:rsidRPr="00464EC3" w:rsidRDefault="005F6BD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D66EC0" w:rsidRPr="00464E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(31.8%)</w:t>
            </w:r>
          </w:p>
        </w:tc>
        <w:tc>
          <w:tcPr>
            <w:tcW w:w="1131" w:type="dxa"/>
            <w:vAlign w:val="center"/>
          </w:tcPr>
          <w:p w14:paraId="4E6807AB" w14:textId="63050AF0" w:rsidR="00D817F4" w:rsidRPr="00464EC3" w:rsidRDefault="005F6BD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(43.5%)</w:t>
            </w:r>
          </w:p>
        </w:tc>
        <w:tc>
          <w:tcPr>
            <w:tcW w:w="1083" w:type="dxa"/>
            <w:vAlign w:val="center"/>
          </w:tcPr>
          <w:p w14:paraId="07FAF77A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1F4BA51" w14:textId="35132E6E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135 (33.1%)</w:t>
            </w:r>
          </w:p>
        </w:tc>
        <w:tc>
          <w:tcPr>
            <w:tcW w:w="1131" w:type="dxa"/>
            <w:vAlign w:val="center"/>
          </w:tcPr>
          <w:p w14:paraId="649C9BB3" w14:textId="4E6FC4CB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67 (42.4%)</w:t>
            </w:r>
          </w:p>
        </w:tc>
        <w:tc>
          <w:tcPr>
            <w:tcW w:w="1084" w:type="dxa"/>
            <w:vAlign w:val="center"/>
          </w:tcPr>
          <w:p w14:paraId="670E1FE8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F4" w:rsidRPr="00464EC3" w14:paraId="548350BF" w14:textId="77777777" w:rsidTr="0010463A">
        <w:tc>
          <w:tcPr>
            <w:tcW w:w="1606" w:type="dxa"/>
            <w:vAlign w:val="center"/>
          </w:tcPr>
          <w:p w14:paraId="05B12997" w14:textId="27D81FC1" w:rsidR="00D817F4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5F6BD8" w:rsidRPr="00464EC3">
              <w:rPr>
                <w:rFonts w:ascii="Arial" w:hAnsi="Arial" w:cs="Arial"/>
                <w:color w:val="000000"/>
                <w:sz w:val="20"/>
                <w:szCs w:val="20"/>
              </w:rPr>
              <w:t>patinib</w:t>
            </w:r>
          </w:p>
        </w:tc>
        <w:tc>
          <w:tcPr>
            <w:tcW w:w="1130" w:type="dxa"/>
            <w:vAlign w:val="center"/>
          </w:tcPr>
          <w:p w14:paraId="78954877" w14:textId="3D038B27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(4.8%)</w:t>
            </w:r>
          </w:p>
        </w:tc>
        <w:tc>
          <w:tcPr>
            <w:tcW w:w="1131" w:type="dxa"/>
            <w:vAlign w:val="center"/>
          </w:tcPr>
          <w:p w14:paraId="1209E96E" w14:textId="61069C08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(3.7%)</w:t>
            </w:r>
          </w:p>
        </w:tc>
        <w:tc>
          <w:tcPr>
            <w:tcW w:w="1083" w:type="dxa"/>
            <w:vAlign w:val="center"/>
          </w:tcPr>
          <w:p w14:paraId="214CDF87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D280B39" w14:textId="160FE5F7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24 (5.9%)</w:t>
            </w:r>
          </w:p>
        </w:tc>
        <w:tc>
          <w:tcPr>
            <w:tcW w:w="1131" w:type="dxa"/>
            <w:vAlign w:val="center"/>
          </w:tcPr>
          <w:p w14:paraId="244340A2" w14:textId="25486F56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6 (3.8%)</w:t>
            </w:r>
          </w:p>
        </w:tc>
        <w:tc>
          <w:tcPr>
            <w:tcW w:w="1084" w:type="dxa"/>
            <w:vAlign w:val="center"/>
          </w:tcPr>
          <w:p w14:paraId="43133FCC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F4" w:rsidRPr="00464EC3" w14:paraId="076CFE66" w14:textId="77777777" w:rsidTr="0010463A">
        <w:tc>
          <w:tcPr>
            <w:tcW w:w="1606" w:type="dxa"/>
            <w:vAlign w:val="center"/>
          </w:tcPr>
          <w:p w14:paraId="4CBD8ED8" w14:textId="6D0B012C" w:rsidR="00D817F4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F6BD8" w:rsidRPr="00464EC3">
              <w:rPr>
                <w:rFonts w:ascii="Arial" w:hAnsi="Arial" w:cs="Arial"/>
                <w:color w:val="000000"/>
                <w:sz w:val="20"/>
                <w:szCs w:val="20"/>
              </w:rPr>
              <w:t>egorafenib</w:t>
            </w:r>
          </w:p>
        </w:tc>
        <w:tc>
          <w:tcPr>
            <w:tcW w:w="1130" w:type="dxa"/>
            <w:vAlign w:val="center"/>
          </w:tcPr>
          <w:p w14:paraId="1F1DDE0C" w14:textId="6B1028E7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(0.4%)</w:t>
            </w:r>
          </w:p>
        </w:tc>
        <w:tc>
          <w:tcPr>
            <w:tcW w:w="1131" w:type="dxa"/>
            <w:vAlign w:val="center"/>
          </w:tcPr>
          <w:p w14:paraId="57DC2336" w14:textId="1C1D7E6C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(0.6%)</w:t>
            </w:r>
          </w:p>
        </w:tc>
        <w:tc>
          <w:tcPr>
            <w:tcW w:w="1083" w:type="dxa"/>
            <w:vAlign w:val="center"/>
          </w:tcPr>
          <w:p w14:paraId="333FB8F1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EA6C5BA" w14:textId="53FF71C7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1" w:type="dxa"/>
            <w:vAlign w:val="center"/>
          </w:tcPr>
          <w:p w14:paraId="4EFC31AF" w14:textId="69625D9A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 (0.6%)</w:t>
            </w:r>
          </w:p>
        </w:tc>
        <w:tc>
          <w:tcPr>
            <w:tcW w:w="1084" w:type="dxa"/>
            <w:vAlign w:val="center"/>
          </w:tcPr>
          <w:p w14:paraId="3C0ADA7F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F4" w:rsidRPr="00464EC3" w14:paraId="40EDD927" w14:textId="77777777" w:rsidTr="0010463A">
        <w:tc>
          <w:tcPr>
            <w:tcW w:w="1606" w:type="dxa"/>
            <w:vAlign w:val="center"/>
          </w:tcPr>
          <w:p w14:paraId="7B6854BC" w14:textId="14D4A22F" w:rsidR="00D817F4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D66EC0" w:rsidRPr="00464EC3"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130" w:type="dxa"/>
            <w:vAlign w:val="center"/>
          </w:tcPr>
          <w:p w14:paraId="6C87ADA6" w14:textId="01CDA118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(54.4%)</w:t>
            </w:r>
          </w:p>
        </w:tc>
        <w:tc>
          <w:tcPr>
            <w:tcW w:w="1131" w:type="dxa"/>
            <w:vAlign w:val="center"/>
          </w:tcPr>
          <w:p w14:paraId="2C1DB52A" w14:textId="2A849F92" w:rsidR="00D817F4" w:rsidRPr="00464EC3" w:rsidRDefault="00D66EC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="007E262D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(45.3%)</w:t>
            </w:r>
          </w:p>
        </w:tc>
        <w:tc>
          <w:tcPr>
            <w:tcW w:w="1083" w:type="dxa"/>
            <w:vAlign w:val="center"/>
          </w:tcPr>
          <w:p w14:paraId="0ABBC97A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12D1028" w14:textId="75F568EA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218 (54.3%)</w:t>
            </w:r>
          </w:p>
        </w:tc>
        <w:tc>
          <w:tcPr>
            <w:tcW w:w="1131" w:type="dxa"/>
            <w:vAlign w:val="center"/>
          </w:tcPr>
          <w:p w14:paraId="18D1A946" w14:textId="1674C3F8" w:rsidR="00D817F4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73 (46.2%)</w:t>
            </w:r>
          </w:p>
        </w:tc>
        <w:tc>
          <w:tcPr>
            <w:tcW w:w="1084" w:type="dxa"/>
            <w:vAlign w:val="center"/>
          </w:tcPr>
          <w:p w14:paraId="3E5794A2" w14:textId="77777777" w:rsidR="00D817F4" w:rsidRPr="00464EC3" w:rsidRDefault="00D817F4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262D" w:rsidRPr="00464EC3" w14:paraId="09F3B67B" w14:textId="77777777" w:rsidTr="0010463A">
        <w:tc>
          <w:tcPr>
            <w:tcW w:w="1606" w:type="dxa"/>
            <w:vAlign w:val="center"/>
          </w:tcPr>
          <w:p w14:paraId="4F8B683B" w14:textId="274051D5" w:rsidR="007E262D" w:rsidRPr="00464EC3" w:rsidRDefault="00296DA3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Anti-PD</w:t>
            </w:r>
            <w:r w:rsidR="00D655D1"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L1/PD1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14:paraId="322A74B4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1CBEBFE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7293782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3432D99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3392956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2F3B1AA" w14:textId="6930206F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262D" w:rsidRPr="00464EC3" w14:paraId="3B9764D0" w14:textId="77777777" w:rsidTr="0010463A">
        <w:tc>
          <w:tcPr>
            <w:tcW w:w="1606" w:type="dxa"/>
            <w:vAlign w:val="center"/>
          </w:tcPr>
          <w:p w14:paraId="594A0B84" w14:textId="5A50BCB0" w:rsidR="007E262D" w:rsidRPr="00464EC3" w:rsidRDefault="009854A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Durvalumab</w:t>
            </w:r>
          </w:p>
        </w:tc>
        <w:tc>
          <w:tcPr>
            <w:tcW w:w="1130" w:type="dxa"/>
            <w:vAlign w:val="center"/>
          </w:tcPr>
          <w:p w14:paraId="08A89D46" w14:textId="5FDBEA21" w:rsidR="007E262D" w:rsidRPr="00464EC3" w:rsidRDefault="00F25EA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(2.1%)</w:t>
            </w:r>
          </w:p>
        </w:tc>
        <w:tc>
          <w:tcPr>
            <w:tcW w:w="1131" w:type="dxa"/>
            <w:vAlign w:val="center"/>
          </w:tcPr>
          <w:p w14:paraId="47A6437F" w14:textId="7E4F643D" w:rsidR="007E262D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(4.3%)</w:t>
            </w:r>
          </w:p>
        </w:tc>
        <w:tc>
          <w:tcPr>
            <w:tcW w:w="1083" w:type="dxa"/>
            <w:vAlign w:val="center"/>
          </w:tcPr>
          <w:p w14:paraId="50783A66" w14:textId="11A1910A" w:rsidR="007E262D" w:rsidRPr="00464EC3" w:rsidRDefault="001D19E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1131" w:type="dxa"/>
            <w:vAlign w:val="center"/>
          </w:tcPr>
          <w:p w14:paraId="2F653E09" w14:textId="23033216" w:rsidR="007E262D" w:rsidRPr="00464EC3" w:rsidRDefault="00AC6C1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(2.2%)</w:t>
            </w:r>
          </w:p>
        </w:tc>
        <w:tc>
          <w:tcPr>
            <w:tcW w:w="1131" w:type="dxa"/>
            <w:vAlign w:val="center"/>
          </w:tcPr>
          <w:p w14:paraId="5A09B716" w14:textId="29091020" w:rsidR="007E262D" w:rsidRPr="00464EC3" w:rsidRDefault="00B33572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(3.8%)</w:t>
            </w:r>
          </w:p>
        </w:tc>
        <w:tc>
          <w:tcPr>
            <w:tcW w:w="1084" w:type="dxa"/>
            <w:vAlign w:val="center"/>
          </w:tcPr>
          <w:p w14:paraId="41C19C56" w14:textId="5A379DE5" w:rsidR="007E262D" w:rsidRPr="00464EC3" w:rsidRDefault="00D655D1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0.05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E262D" w:rsidRPr="00464EC3" w14:paraId="16C4ED5B" w14:textId="77777777" w:rsidTr="0010463A">
        <w:tc>
          <w:tcPr>
            <w:tcW w:w="1606" w:type="dxa"/>
            <w:vAlign w:val="center"/>
          </w:tcPr>
          <w:p w14:paraId="18D3A5D8" w14:textId="1247D8F2" w:rsidR="007E262D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OLE_LINK1"/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Nivolumab</w:t>
            </w:r>
            <w:bookmarkEnd w:id="0"/>
          </w:p>
        </w:tc>
        <w:tc>
          <w:tcPr>
            <w:tcW w:w="1130" w:type="dxa"/>
            <w:vAlign w:val="center"/>
          </w:tcPr>
          <w:p w14:paraId="0A8E21AB" w14:textId="5650FE0F" w:rsidR="007E262D" w:rsidRPr="00464EC3" w:rsidRDefault="00F25EA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(0.8%)</w:t>
            </w:r>
          </w:p>
        </w:tc>
        <w:tc>
          <w:tcPr>
            <w:tcW w:w="1131" w:type="dxa"/>
            <w:vAlign w:val="center"/>
          </w:tcPr>
          <w:p w14:paraId="09AE5A91" w14:textId="6D2A0A20" w:rsidR="007E262D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center"/>
          </w:tcPr>
          <w:p w14:paraId="00D51E0F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AEECD77" w14:textId="420001C5" w:rsidR="007E262D" w:rsidRPr="00464EC3" w:rsidRDefault="007917F0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(0.7%)</w:t>
            </w:r>
          </w:p>
        </w:tc>
        <w:tc>
          <w:tcPr>
            <w:tcW w:w="1131" w:type="dxa"/>
            <w:vAlign w:val="center"/>
          </w:tcPr>
          <w:p w14:paraId="064D0190" w14:textId="5BBC51CC" w:rsidR="007E262D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vAlign w:val="center"/>
          </w:tcPr>
          <w:p w14:paraId="53419A2F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262D" w:rsidRPr="00464EC3" w14:paraId="5C8D9D5D" w14:textId="77777777" w:rsidTr="0010463A">
        <w:tc>
          <w:tcPr>
            <w:tcW w:w="1606" w:type="dxa"/>
            <w:vAlign w:val="center"/>
          </w:tcPr>
          <w:p w14:paraId="1D201505" w14:textId="434FB535" w:rsidR="007E262D" w:rsidRPr="00464EC3" w:rsidRDefault="00D839D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Pembrolizumab</w:t>
            </w:r>
          </w:p>
        </w:tc>
        <w:tc>
          <w:tcPr>
            <w:tcW w:w="1130" w:type="dxa"/>
            <w:vAlign w:val="center"/>
          </w:tcPr>
          <w:p w14:paraId="72D311E4" w14:textId="16341F08" w:rsidR="007E262D" w:rsidRPr="00464EC3" w:rsidRDefault="00F25EA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(2.7%)</w:t>
            </w:r>
          </w:p>
        </w:tc>
        <w:tc>
          <w:tcPr>
            <w:tcW w:w="1131" w:type="dxa"/>
            <w:vAlign w:val="center"/>
          </w:tcPr>
          <w:p w14:paraId="2662570F" w14:textId="24610AA1" w:rsidR="007E262D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(4.3%)</w:t>
            </w:r>
          </w:p>
        </w:tc>
        <w:tc>
          <w:tcPr>
            <w:tcW w:w="1083" w:type="dxa"/>
            <w:vAlign w:val="center"/>
          </w:tcPr>
          <w:p w14:paraId="25B29E69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073F251" w14:textId="0892FF16" w:rsidR="007E262D" w:rsidRPr="00464EC3" w:rsidRDefault="00341BA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C6333" w:rsidRPr="00464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(2.9%)</w:t>
            </w:r>
          </w:p>
        </w:tc>
        <w:tc>
          <w:tcPr>
            <w:tcW w:w="1131" w:type="dxa"/>
            <w:vAlign w:val="center"/>
          </w:tcPr>
          <w:p w14:paraId="0B23F4E8" w14:textId="39A52A0F" w:rsidR="007E262D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(4.4%)</w:t>
            </w:r>
          </w:p>
        </w:tc>
        <w:tc>
          <w:tcPr>
            <w:tcW w:w="1084" w:type="dxa"/>
            <w:vAlign w:val="center"/>
          </w:tcPr>
          <w:p w14:paraId="7D7715D6" w14:textId="77777777" w:rsidR="007E262D" w:rsidRPr="00464EC3" w:rsidRDefault="007E262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37F9" w:rsidRPr="00464EC3" w14:paraId="249328E2" w14:textId="77777777" w:rsidTr="0010463A">
        <w:tc>
          <w:tcPr>
            <w:tcW w:w="1606" w:type="dxa"/>
            <w:vAlign w:val="center"/>
          </w:tcPr>
          <w:p w14:paraId="4E309AB4" w14:textId="51C2A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Sintilimab</w:t>
            </w:r>
          </w:p>
        </w:tc>
        <w:tc>
          <w:tcPr>
            <w:tcW w:w="1130" w:type="dxa"/>
            <w:vAlign w:val="center"/>
          </w:tcPr>
          <w:p w14:paraId="39ABDB7C" w14:textId="034657C2" w:rsidR="002537F9" w:rsidRPr="00464EC3" w:rsidRDefault="00F25EA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(12.5%)</w:t>
            </w:r>
          </w:p>
        </w:tc>
        <w:tc>
          <w:tcPr>
            <w:tcW w:w="1131" w:type="dxa"/>
            <w:vAlign w:val="center"/>
          </w:tcPr>
          <w:p w14:paraId="110FF3B3" w14:textId="54F58C54" w:rsidR="002537F9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32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(19.9%)</w:t>
            </w:r>
          </w:p>
        </w:tc>
        <w:tc>
          <w:tcPr>
            <w:tcW w:w="1083" w:type="dxa"/>
            <w:vAlign w:val="center"/>
          </w:tcPr>
          <w:p w14:paraId="2C04D0BA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FC839F9" w14:textId="38D02ECB" w:rsidR="002537F9" w:rsidRPr="00464EC3" w:rsidRDefault="00F51B4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AC6C10"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(13.2%)</w:t>
            </w:r>
          </w:p>
        </w:tc>
        <w:tc>
          <w:tcPr>
            <w:tcW w:w="1131" w:type="dxa"/>
            <w:vAlign w:val="center"/>
          </w:tcPr>
          <w:p w14:paraId="4F64ED75" w14:textId="45A6BCB9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A61FA" w:rsidRPr="00464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(20.3%)</w:t>
            </w:r>
          </w:p>
        </w:tc>
        <w:tc>
          <w:tcPr>
            <w:tcW w:w="1084" w:type="dxa"/>
            <w:vAlign w:val="center"/>
          </w:tcPr>
          <w:p w14:paraId="6DF67FD6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37F9" w:rsidRPr="00464EC3" w14:paraId="68C132E1" w14:textId="77777777" w:rsidTr="0010463A">
        <w:tc>
          <w:tcPr>
            <w:tcW w:w="1606" w:type="dxa"/>
            <w:vAlign w:val="center"/>
          </w:tcPr>
          <w:p w14:paraId="1B7A8281" w14:textId="56DC31C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OLE_LINK2"/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Tislelizumab</w:t>
            </w:r>
            <w:bookmarkEnd w:id="1"/>
          </w:p>
        </w:tc>
        <w:tc>
          <w:tcPr>
            <w:tcW w:w="1130" w:type="dxa"/>
            <w:vAlign w:val="center"/>
          </w:tcPr>
          <w:p w14:paraId="45ED4437" w14:textId="17C3C515" w:rsidR="001D19E0" w:rsidRPr="00464EC3" w:rsidRDefault="00F25EA8" w:rsidP="001D19E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28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(5.4%)</w:t>
            </w:r>
          </w:p>
        </w:tc>
        <w:tc>
          <w:tcPr>
            <w:tcW w:w="1131" w:type="dxa"/>
            <w:vAlign w:val="center"/>
          </w:tcPr>
          <w:p w14:paraId="3A5EC90C" w14:textId="66341692" w:rsidR="002537F9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14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(8.7%)</w:t>
            </w:r>
          </w:p>
        </w:tc>
        <w:tc>
          <w:tcPr>
            <w:tcW w:w="1083" w:type="dxa"/>
            <w:vAlign w:val="center"/>
          </w:tcPr>
          <w:p w14:paraId="6153ADBF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23D50CD" w14:textId="3D8AF63F" w:rsidR="002537F9" w:rsidRPr="00464EC3" w:rsidRDefault="006023BE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 w:rsidR="007917F0"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(5.1%)</w:t>
            </w:r>
          </w:p>
        </w:tc>
        <w:tc>
          <w:tcPr>
            <w:tcW w:w="1131" w:type="dxa"/>
            <w:vAlign w:val="center"/>
          </w:tcPr>
          <w:p w14:paraId="6551AF33" w14:textId="42AA71DD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61FA"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(8.9%)</w:t>
            </w:r>
          </w:p>
        </w:tc>
        <w:tc>
          <w:tcPr>
            <w:tcW w:w="1084" w:type="dxa"/>
            <w:vAlign w:val="center"/>
          </w:tcPr>
          <w:p w14:paraId="09BB127E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37F9" w:rsidRPr="00464EC3" w14:paraId="721612EB" w14:textId="77777777" w:rsidTr="0010463A">
        <w:tc>
          <w:tcPr>
            <w:tcW w:w="1606" w:type="dxa"/>
            <w:vAlign w:val="center"/>
          </w:tcPr>
          <w:p w14:paraId="1AC7ACE8" w14:textId="6A359550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Toripalimab</w:t>
            </w:r>
          </w:p>
        </w:tc>
        <w:tc>
          <w:tcPr>
            <w:tcW w:w="1130" w:type="dxa"/>
            <w:vAlign w:val="center"/>
          </w:tcPr>
          <w:p w14:paraId="794101B1" w14:textId="35990DDB" w:rsidR="002537F9" w:rsidRPr="00464EC3" w:rsidRDefault="00F25EA8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63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(12.1%)</w:t>
            </w:r>
          </w:p>
        </w:tc>
        <w:tc>
          <w:tcPr>
            <w:tcW w:w="1131" w:type="dxa"/>
            <w:vAlign w:val="center"/>
          </w:tcPr>
          <w:p w14:paraId="4DEAD318" w14:textId="793698A9" w:rsidR="002537F9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10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(6.2%)</w:t>
            </w:r>
          </w:p>
        </w:tc>
        <w:tc>
          <w:tcPr>
            <w:tcW w:w="1083" w:type="dxa"/>
            <w:vAlign w:val="center"/>
          </w:tcPr>
          <w:p w14:paraId="44B119DC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939D41A" w14:textId="75456D1E" w:rsidR="002537F9" w:rsidRPr="00464EC3" w:rsidRDefault="00F2761D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B3C88" w:rsidRPr="00464E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(11.5%)</w:t>
            </w:r>
          </w:p>
        </w:tc>
        <w:tc>
          <w:tcPr>
            <w:tcW w:w="1131" w:type="dxa"/>
            <w:vAlign w:val="center"/>
          </w:tcPr>
          <w:p w14:paraId="1A8AD8B7" w14:textId="7DF290E6" w:rsidR="002537F9" w:rsidRPr="00464EC3" w:rsidRDefault="00B33572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(6.3%)</w:t>
            </w:r>
          </w:p>
        </w:tc>
        <w:tc>
          <w:tcPr>
            <w:tcW w:w="1084" w:type="dxa"/>
            <w:vAlign w:val="center"/>
          </w:tcPr>
          <w:p w14:paraId="5BA8B434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37F9" w:rsidRPr="00464EC3" w14:paraId="7564D598" w14:textId="77777777" w:rsidTr="0010463A">
        <w:tc>
          <w:tcPr>
            <w:tcW w:w="1606" w:type="dxa"/>
            <w:vAlign w:val="center"/>
          </w:tcPr>
          <w:p w14:paraId="43BD47C4" w14:textId="4B65CF82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Camrelizumab</w:t>
            </w:r>
          </w:p>
        </w:tc>
        <w:tc>
          <w:tcPr>
            <w:tcW w:w="1130" w:type="dxa"/>
            <w:vAlign w:val="center"/>
          </w:tcPr>
          <w:p w14:paraId="4F77004C" w14:textId="44840EF9" w:rsidR="002537F9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21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(4.0%)</w:t>
            </w:r>
          </w:p>
        </w:tc>
        <w:tc>
          <w:tcPr>
            <w:tcW w:w="1131" w:type="dxa"/>
            <w:vAlign w:val="center"/>
          </w:tcPr>
          <w:p w14:paraId="23533223" w14:textId="6BADAE00" w:rsidR="002537F9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(5.0%)</w:t>
            </w:r>
          </w:p>
        </w:tc>
        <w:tc>
          <w:tcPr>
            <w:tcW w:w="1083" w:type="dxa"/>
            <w:vAlign w:val="center"/>
          </w:tcPr>
          <w:p w14:paraId="49B729FA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2D23DAE" w14:textId="56A3B3C6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F01A6" w:rsidRPr="00464E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(4.4%)</w:t>
            </w:r>
          </w:p>
        </w:tc>
        <w:tc>
          <w:tcPr>
            <w:tcW w:w="1131" w:type="dxa"/>
            <w:vAlign w:val="center"/>
          </w:tcPr>
          <w:p w14:paraId="2694F83B" w14:textId="7E7E2E97" w:rsidR="002537F9" w:rsidRPr="00464EC3" w:rsidRDefault="00B33572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(5.1%)</w:t>
            </w:r>
          </w:p>
        </w:tc>
        <w:tc>
          <w:tcPr>
            <w:tcW w:w="1084" w:type="dxa"/>
            <w:vAlign w:val="center"/>
          </w:tcPr>
          <w:p w14:paraId="3C03B5DE" w14:textId="77777777" w:rsidR="002537F9" w:rsidRPr="00464EC3" w:rsidRDefault="002537F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342B" w:rsidRPr="00464EC3" w14:paraId="48438E82" w14:textId="77777777" w:rsidTr="0010463A">
        <w:tc>
          <w:tcPr>
            <w:tcW w:w="1606" w:type="dxa"/>
            <w:vAlign w:val="center"/>
          </w:tcPr>
          <w:p w14:paraId="060BD7CA" w14:textId="767788EF" w:rsidR="0088342B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130" w:type="dxa"/>
            <w:vAlign w:val="center"/>
          </w:tcPr>
          <w:p w14:paraId="0F621E6D" w14:textId="026C92C5" w:rsidR="0088342B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316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(60.5%)</w:t>
            </w:r>
          </w:p>
        </w:tc>
        <w:tc>
          <w:tcPr>
            <w:tcW w:w="1131" w:type="dxa"/>
            <w:vAlign w:val="center"/>
          </w:tcPr>
          <w:p w14:paraId="4235FE5C" w14:textId="470BF0CE" w:rsidR="0088342B" w:rsidRPr="00464EC3" w:rsidRDefault="005A7889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 w:hint="eastAsia"/>
                <w:color w:val="000000"/>
                <w:sz w:val="20"/>
                <w:szCs w:val="20"/>
              </w:rPr>
              <w:t>83</w:t>
            </w:r>
            <w:r w:rsidR="006F5871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(51.6%)</w:t>
            </w:r>
          </w:p>
        </w:tc>
        <w:tc>
          <w:tcPr>
            <w:tcW w:w="1083" w:type="dxa"/>
            <w:vAlign w:val="center"/>
          </w:tcPr>
          <w:p w14:paraId="2C6BE331" w14:textId="77777777" w:rsidR="0088342B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1F7AB7D" w14:textId="6F168E69" w:rsidR="0088342B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C6C10"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917F0" w:rsidRPr="00464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(59.8%)</w:t>
            </w:r>
          </w:p>
        </w:tc>
        <w:tc>
          <w:tcPr>
            <w:tcW w:w="1131" w:type="dxa"/>
            <w:vAlign w:val="center"/>
          </w:tcPr>
          <w:p w14:paraId="557AA856" w14:textId="267A3BF7" w:rsidR="0088342B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="001D19E0" w:rsidRPr="00464EC3">
              <w:rPr>
                <w:rFonts w:ascii="Arial" w:hAnsi="Arial" w:cs="Arial"/>
                <w:color w:val="000000"/>
                <w:sz w:val="20"/>
                <w:szCs w:val="20"/>
              </w:rPr>
              <w:t xml:space="preserve"> (51.3%)</w:t>
            </w:r>
          </w:p>
        </w:tc>
        <w:tc>
          <w:tcPr>
            <w:tcW w:w="1084" w:type="dxa"/>
            <w:vAlign w:val="center"/>
          </w:tcPr>
          <w:p w14:paraId="5D98C17C" w14:textId="77777777" w:rsidR="0088342B" w:rsidRPr="00464EC3" w:rsidRDefault="0088342B" w:rsidP="0010463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9026FB" w14:textId="68AFCF16" w:rsidR="00D817F4" w:rsidRPr="00464EC3" w:rsidRDefault="00D817F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19C5DC" w14:textId="77777777" w:rsidR="00D817F4" w:rsidRPr="00464EC3" w:rsidRDefault="00D817F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7564EA" w14:textId="77F59082" w:rsidR="00D817F4" w:rsidRPr="00464EC3" w:rsidRDefault="00D817F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64EC3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5A53800D" w14:textId="73DE44E4" w:rsidR="007178CD" w:rsidRPr="00464EC3" w:rsidRDefault="007178CD" w:rsidP="007178C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64EC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Table </w:t>
      </w:r>
      <w:r w:rsidR="00D817F4" w:rsidRPr="00464EC3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464EC3">
        <w:rPr>
          <w:rFonts w:ascii="Arial" w:hAnsi="Arial" w:cs="Arial"/>
          <w:b/>
          <w:bCs/>
          <w:color w:val="000000"/>
          <w:sz w:val="20"/>
          <w:szCs w:val="20"/>
        </w:rPr>
        <w:t xml:space="preserve"> HBV reactivation during HAIC and the ALBI grade remained stable or </w:t>
      </w:r>
      <w:r w:rsidRPr="00464EC3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improved </w:t>
      </w:r>
      <w:r w:rsidRPr="00464EC3">
        <w:rPr>
          <w:rFonts w:ascii="Arial" w:hAnsi="Arial" w:cs="Arial"/>
          <w:b/>
          <w:bCs/>
          <w:color w:val="000000"/>
          <w:sz w:val="20"/>
          <w:szCs w:val="20"/>
        </w:rPr>
        <w:t xml:space="preserve">after HAIC in the two groups in the full </w:t>
      </w:r>
      <w:proofErr w:type="gramStart"/>
      <w:r w:rsidRPr="00464EC3">
        <w:rPr>
          <w:rFonts w:ascii="Arial" w:hAnsi="Arial" w:cs="Arial"/>
          <w:b/>
          <w:bCs/>
          <w:color w:val="000000"/>
          <w:sz w:val="20"/>
          <w:szCs w:val="20"/>
        </w:rPr>
        <w:t>cohort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1268"/>
        <w:gridCol w:w="1463"/>
        <w:gridCol w:w="1477"/>
        <w:gridCol w:w="1166"/>
      </w:tblGrid>
      <w:tr w:rsidR="007178CD" w:rsidRPr="00464EC3" w14:paraId="163CE624" w14:textId="77777777" w:rsidTr="000000A7">
        <w:trPr>
          <w:trHeight w:val="276"/>
        </w:trPr>
        <w:tc>
          <w:tcPr>
            <w:tcW w:w="2525" w:type="pct"/>
            <w:gridSpan w:val="2"/>
            <w:vAlign w:val="center"/>
          </w:tcPr>
          <w:p w14:paraId="50646583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noWrap/>
            <w:vAlign w:val="center"/>
            <w:hideMark/>
          </w:tcPr>
          <w:p w14:paraId="369736EB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ETV Group</w:t>
            </w:r>
          </w:p>
        </w:tc>
        <w:tc>
          <w:tcPr>
            <w:tcW w:w="890" w:type="pct"/>
            <w:noWrap/>
            <w:vAlign w:val="center"/>
            <w:hideMark/>
          </w:tcPr>
          <w:p w14:paraId="6222B787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TDF Group</w:t>
            </w:r>
          </w:p>
        </w:tc>
        <w:tc>
          <w:tcPr>
            <w:tcW w:w="703" w:type="pct"/>
            <w:noWrap/>
            <w:vAlign w:val="center"/>
            <w:hideMark/>
          </w:tcPr>
          <w:p w14:paraId="68E78DE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</w:p>
        </w:tc>
      </w:tr>
      <w:tr w:rsidR="007178CD" w:rsidRPr="00464EC3" w14:paraId="67A6314C" w14:textId="77777777" w:rsidTr="000000A7">
        <w:trPr>
          <w:trHeight w:val="276"/>
        </w:trPr>
        <w:tc>
          <w:tcPr>
            <w:tcW w:w="2525" w:type="pct"/>
            <w:gridSpan w:val="2"/>
            <w:vAlign w:val="center"/>
          </w:tcPr>
          <w:p w14:paraId="39559E2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All patients (n=683)</w:t>
            </w:r>
          </w:p>
        </w:tc>
        <w:tc>
          <w:tcPr>
            <w:tcW w:w="882" w:type="pct"/>
            <w:noWrap/>
            <w:vAlign w:val="center"/>
            <w:hideMark/>
          </w:tcPr>
          <w:p w14:paraId="24A175B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n=522</w:t>
            </w:r>
          </w:p>
        </w:tc>
        <w:tc>
          <w:tcPr>
            <w:tcW w:w="890" w:type="pct"/>
            <w:noWrap/>
            <w:vAlign w:val="center"/>
            <w:hideMark/>
          </w:tcPr>
          <w:p w14:paraId="612ED49C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n=161</w:t>
            </w:r>
          </w:p>
        </w:tc>
        <w:tc>
          <w:tcPr>
            <w:tcW w:w="703" w:type="pct"/>
            <w:noWrap/>
            <w:vAlign w:val="center"/>
            <w:hideMark/>
          </w:tcPr>
          <w:p w14:paraId="5C9F55A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7102C497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6DBE28F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HBV reactivation (N, %)</w:t>
            </w:r>
          </w:p>
        </w:tc>
        <w:tc>
          <w:tcPr>
            <w:tcW w:w="764" w:type="pct"/>
            <w:noWrap/>
            <w:vAlign w:val="center"/>
            <w:hideMark/>
          </w:tcPr>
          <w:p w14:paraId="33359AD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  <w:hideMark/>
          </w:tcPr>
          <w:p w14:paraId="2A8101BE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466 (89.3)</w:t>
            </w:r>
          </w:p>
        </w:tc>
        <w:tc>
          <w:tcPr>
            <w:tcW w:w="890" w:type="pct"/>
            <w:noWrap/>
            <w:vAlign w:val="bottom"/>
            <w:hideMark/>
          </w:tcPr>
          <w:p w14:paraId="322CAA3E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151 (93.8)</w:t>
            </w:r>
          </w:p>
        </w:tc>
        <w:tc>
          <w:tcPr>
            <w:tcW w:w="703" w:type="pct"/>
            <w:vMerge w:val="restart"/>
            <w:noWrap/>
            <w:vAlign w:val="center"/>
            <w:hideMark/>
          </w:tcPr>
          <w:p w14:paraId="768BECA7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</w:tr>
      <w:tr w:rsidR="007178CD" w:rsidRPr="00464EC3" w14:paraId="0B95C0A2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123CD3DD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  <w:hideMark/>
          </w:tcPr>
          <w:p w14:paraId="4298744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  <w:hideMark/>
          </w:tcPr>
          <w:p w14:paraId="6DB12A45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56 (10.7)</w:t>
            </w:r>
          </w:p>
        </w:tc>
        <w:tc>
          <w:tcPr>
            <w:tcW w:w="890" w:type="pct"/>
            <w:noWrap/>
            <w:vAlign w:val="bottom"/>
            <w:hideMark/>
          </w:tcPr>
          <w:p w14:paraId="40AF838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10 (6.2)</w:t>
            </w:r>
          </w:p>
        </w:tc>
        <w:tc>
          <w:tcPr>
            <w:tcW w:w="703" w:type="pct"/>
            <w:vMerge/>
            <w:noWrap/>
            <w:vAlign w:val="center"/>
            <w:hideMark/>
          </w:tcPr>
          <w:p w14:paraId="2856235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1B9CBC60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0B0BB10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ALBI stable/better (N, %)</w:t>
            </w:r>
          </w:p>
        </w:tc>
        <w:tc>
          <w:tcPr>
            <w:tcW w:w="764" w:type="pct"/>
            <w:noWrap/>
            <w:vAlign w:val="center"/>
          </w:tcPr>
          <w:p w14:paraId="5A938A3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</w:tcPr>
          <w:p w14:paraId="692A926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296 (56.7)</w:t>
            </w:r>
          </w:p>
        </w:tc>
        <w:tc>
          <w:tcPr>
            <w:tcW w:w="890" w:type="pct"/>
            <w:noWrap/>
            <w:vAlign w:val="bottom"/>
          </w:tcPr>
          <w:p w14:paraId="213EA61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68 (42.2)</w:t>
            </w:r>
          </w:p>
        </w:tc>
        <w:tc>
          <w:tcPr>
            <w:tcW w:w="703" w:type="pct"/>
            <w:vMerge w:val="restart"/>
            <w:noWrap/>
            <w:vAlign w:val="center"/>
          </w:tcPr>
          <w:p w14:paraId="7B76E78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7178CD" w:rsidRPr="00464EC3" w14:paraId="573DDFF6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66F3677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</w:tcPr>
          <w:p w14:paraId="22D45F93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</w:tcPr>
          <w:p w14:paraId="4863581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226 (43.3)</w:t>
            </w:r>
          </w:p>
        </w:tc>
        <w:tc>
          <w:tcPr>
            <w:tcW w:w="890" w:type="pct"/>
            <w:noWrap/>
            <w:vAlign w:val="bottom"/>
          </w:tcPr>
          <w:p w14:paraId="2637C526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93 (57.8)</w:t>
            </w:r>
          </w:p>
        </w:tc>
        <w:tc>
          <w:tcPr>
            <w:tcW w:w="703" w:type="pct"/>
            <w:vMerge/>
            <w:noWrap/>
            <w:vAlign w:val="center"/>
          </w:tcPr>
          <w:p w14:paraId="4493054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41E8940A" w14:textId="77777777" w:rsidTr="000000A7">
        <w:trPr>
          <w:trHeight w:val="276"/>
        </w:trPr>
        <w:tc>
          <w:tcPr>
            <w:tcW w:w="2525" w:type="pct"/>
            <w:gridSpan w:val="2"/>
            <w:vAlign w:val="center"/>
          </w:tcPr>
          <w:p w14:paraId="7BC5CD8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HAIC cycles&lt;4 (n=375)</w:t>
            </w:r>
          </w:p>
        </w:tc>
        <w:tc>
          <w:tcPr>
            <w:tcW w:w="882" w:type="pct"/>
            <w:noWrap/>
            <w:vAlign w:val="center"/>
            <w:hideMark/>
          </w:tcPr>
          <w:p w14:paraId="6E6AF38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n=280</w:t>
            </w:r>
          </w:p>
        </w:tc>
        <w:tc>
          <w:tcPr>
            <w:tcW w:w="890" w:type="pct"/>
            <w:noWrap/>
            <w:vAlign w:val="center"/>
            <w:hideMark/>
          </w:tcPr>
          <w:p w14:paraId="180E9948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n=95</w:t>
            </w:r>
          </w:p>
        </w:tc>
        <w:tc>
          <w:tcPr>
            <w:tcW w:w="703" w:type="pct"/>
            <w:noWrap/>
            <w:vAlign w:val="center"/>
            <w:hideMark/>
          </w:tcPr>
          <w:p w14:paraId="031B1B07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5F337425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12841BD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HBV reactivation (N, %)</w:t>
            </w:r>
          </w:p>
        </w:tc>
        <w:tc>
          <w:tcPr>
            <w:tcW w:w="764" w:type="pct"/>
            <w:noWrap/>
            <w:vAlign w:val="center"/>
            <w:hideMark/>
          </w:tcPr>
          <w:p w14:paraId="712C567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  <w:hideMark/>
          </w:tcPr>
          <w:p w14:paraId="4CFE649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260 (92.9)</w:t>
            </w:r>
          </w:p>
        </w:tc>
        <w:tc>
          <w:tcPr>
            <w:tcW w:w="890" w:type="pct"/>
            <w:noWrap/>
            <w:vAlign w:val="bottom"/>
            <w:hideMark/>
          </w:tcPr>
          <w:p w14:paraId="56656F16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89 (93.7)</w:t>
            </w:r>
          </w:p>
        </w:tc>
        <w:tc>
          <w:tcPr>
            <w:tcW w:w="703" w:type="pct"/>
            <w:vMerge w:val="restart"/>
            <w:noWrap/>
            <w:vAlign w:val="center"/>
            <w:hideMark/>
          </w:tcPr>
          <w:p w14:paraId="0C63795C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0.784</w:t>
            </w:r>
          </w:p>
        </w:tc>
      </w:tr>
      <w:tr w:rsidR="007178CD" w:rsidRPr="00464EC3" w14:paraId="01E03FFF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53FB925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  <w:hideMark/>
          </w:tcPr>
          <w:p w14:paraId="752A312D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  <w:hideMark/>
          </w:tcPr>
          <w:p w14:paraId="6EAD8B2C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20 (7.1)</w:t>
            </w:r>
          </w:p>
        </w:tc>
        <w:tc>
          <w:tcPr>
            <w:tcW w:w="890" w:type="pct"/>
            <w:noWrap/>
            <w:vAlign w:val="bottom"/>
            <w:hideMark/>
          </w:tcPr>
          <w:p w14:paraId="12C112B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6 (6.3)</w:t>
            </w:r>
          </w:p>
        </w:tc>
        <w:tc>
          <w:tcPr>
            <w:tcW w:w="703" w:type="pct"/>
            <w:vMerge/>
            <w:noWrap/>
            <w:vAlign w:val="center"/>
            <w:hideMark/>
          </w:tcPr>
          <w:p w14:paraId="13F6E5F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0E88D8EB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1303CD4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ALBI stable/better (N, %)</w:t>
            </w:r>
          </w:p>
        </w:tc>
        <w:tc>
          <w:tcPr>
            <w:tcW w:w="764" w:type="pct"/>
            <w:noWrap/>
            <w:vAlign w:val="center"/>
          </w:tcPr>
          <w:p w14:paraId="13E662F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</w:tcPr>
          <w:p w14:paraId="086EEC6E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149 (53.2)</w:t>
            </w:r>
          </w:p>
        </w:tc>
        <w:tc>
          <w:tcPr>
            <w:tcW w:w="890" w:type="pct"/>
            <w:noWrap/>
            <w:vAlign w:val="bottom"/>
          </w:tcPr>
          <w:p w14:paraId="2270FDD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38 (40.0)</w:t>
            </w:r>
          </w:p>
        </w:tc>
        <w:tc>
          <w:tcPr>
            <w:tcW w:w="703" w:type="pct"/>
            <w:vMerge w:val="restart"/>
            <w:noWrap/>
            <w:vAlign w:val="center"/>
          </w:tcPr>
          <w:p w14:paraId="63C8198B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</w:tr>
      <w:tr w:rsidR="007178CD" w:rsidRPr="00464EC3" w14:paraId="30EA2821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32F666AB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</w:tcPr>
          <w:p w14:paraId="31CD89E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</w:tcPr>
          <w:p w14:paraId="353076AD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131 (46.8)</w:t>
            </w:r>
          </w:p>
        </w:tc>
        <w:tc>
          <w:tcPr>
            <w:tcW w:w="890" w:type="pct"/>
            <w:noWrap/>
            <w:vAlign w:val="bottom"/>
          </w:tcPr>
          <w:p w14:paraId="1F45AC2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57 (60.0)</w:t>
            </w:r>
          </w:p>
        </w:tc>
        <w:tc>
          <w:tcPr>
            <w:tcW w:w="703" w:type="pct"/>
            <w:vMerge/>
            <w:noWrap/>
            <w:vAlign w:val="center"/>
          </w:tcPr>
          <w:p w14:paraId="4EEB38AD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42988C27" w14:textId="77777777" w:rsidTr="000000A7">
        <w:trPr>
          <w:trHeight w:val="276"/>
        </w:trPr>
        <w:tc>
          <w:tcPr>
            <w:tcW w:w="2525" w:type="pct"/>
            <w:gridSpan w:val="2"/>
            <w:vAlign w:val="center"/>
          </w:tcPr>
          <w:p w14:paraId="2212475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HAIC cycles≥4 (n=308)</w:t>
            </w:r>
          </w:p>
        </w:tc>
        <w:tc>
          <w:tcPr>
            <w:tcW w:w="882" w:type="pct"/>
            <w:noWrap/>
            <w:vAlign w:val="center"/>
            <w:hideMark/>
          </w:tcPr>
          <w:p w14:paraId="3246B349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n=242</w:t>
            </w:r>
          </w:p>
        </w:tc>
        <w:tc>
          <w:tcPr>
            <w:tcW w:w="890" w:type="pct"/>
            <w:noWrap/>
            <w:vAlign w:val="center"/>
            <w:hideMark/>
          </w:tcPr>
          <w:p w14:paraId="5D58CE96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n=66</w:t>
            </w:r>
          </w:p>
        </w:tc>
        <w:tc>
          <w:tcPr>
            <w:tcW w:w="703" w:type="pct"/>
            <w:noWrap/>
            <w:vAlign w:val="center"/>
            <w:hideMark/>
          </w:tcPr>
          <w:p w14:paraId="32FA2CE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01B3792C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71459AE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HBV reactivation (N, %)</w:t>
            </w:r>
          </w:p>
        </w:tc>
        <w:tc>
          <w:tcPr>
            <w:tcW w:w="764" w:type="pct"/>
            <w:noWrap/>
            <w:vAlign w:val="center"/>
            <w:hideMark/>
          </w:tcPr>
          <w:p w14:paraId="16541E28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  <w:hideMark/>
          </w:tcPr>
          <w:p w14:paraId="3415ABC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206 (85.1)</w:t>
            </w:r>
          </w:p>
        </w:tc>
        <w:tc>
          <w:tcPr>
            <w:tcW w:w="890" w:type="pct"/>
            <w:noWrap/>
            <w:vAlign w:val="bottom"/>
            <w:hideMark/>
          </w:tcPr>
          <w:p w14:paraId="3E6C344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62 (93.9)</w:t>
            </w:r>
          </w:p>
        </w:tc>
        <w:tc>
          <w:tcPr>
            <w:tcW w:w="703" w:type="pct"/>
            <w:vMerge w:val="restart"/>
            <w:noWrap/>
            <w:vAlign w:val="center"/>
            <w:hideMark/>
          </w:tcPr>
          <w:p w14:paraId="581D9394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</w:tr>
      <w:tr w:rsidR="007178CD" w:rsidRPr="00464EC3" w14:paraId="59AFC969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5D3C4FBE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  <w:hideMark/>
          </w:tcPr>
          <w:p w14:paraId="6DCC2628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  <w:hideMark/>
          </w:tcPr>
          <w:p w14:paraId="4BE0C038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36 (14.9)</w:t>
            </w:r>
          </w:p>
        </w:tc>
        <w:tc>
          <w:tcPr>
            <w:tcW w:w="890" w:type="pct"/>
            <w:noWrap/>
            <w:vAlign w:val="bottom"/>
            <w:hideMark/>
          </w:tcPr>
          <w:p w14:paraId="083B0F92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4 (6.1)</w:t>
            </w:r>
          </w:p>
        </w:tc>
        <w:tc>
          <w:tcPr>
            <w:tcW w:w="703" w:type="pct"/>
            <w:vMerge/>
            <w:noWrap/>
            <w:vAlign w:val="center"/>
            <w:hideMark/>
          </w:tcPr>
          <w:p w14:paraId="5CD104BE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78CD" w:rsidRPr="00464EC3" w14:paraId="05238915" w14:textId="77777777" w:rsidTr="000000A7">
        <w:trPr>
          <w:trHeight w:val="276"/>
        </w:trPr>
        <w:tc>
          <w:tcPr>
            <w:tcW w:w="1761" w:type="pct"/>
            <w:vMerge w:val="restart"/>
            <w:vAlign w:val="center"/>
          </w:tcPr>
          <w:p w14:paraId="47CE998F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ALBI stable/better (N, %)</w:t>
            </w:r>
          </w:p>
        </w:tc>
        <w:tc>
          <w:tcPr>
            <w:tcW w:w="764" w:type="pct"/>
            <w:noWrap/>
            <w:vAlign w:val="center"/>
          </w:tcPr>
          <w:p w14:paraId="5BE5E9AD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882" w:type="pct"/>
            <w:noWrap/>
            <w:vAlign w:val="bottom"/>
          </w:tcPr>
          <w:p w14:paraId="1E426CD0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147 (60.7)</w:t>
            </w:r>
          </w:p>
        </w:tc>
        <w:tc>
          <w:tcPr>
            <w:tcW w:w="890" w:type="pct"/>
            <w:noWrap/>
            <w:vAlign w:val="bottom"/>
          </w:tcPr>
          <w:p w14:paraId="75552EAB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30 (45.5)</w:t>
            </w:r>
          </w:p>
        </w:tc>
        <w:tc>
          <w:tcPr>
            <w:tcW w:w="703" w:type="pct"/>
            <w:vMerge w:val="restart"/>
            <w:noWrap/>
            <w:vAlign w:val="center"/>
          </w:tcPr>
          <w:p w14:paraId="5FEC3E6B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</w:tr>
      <w:tr w:rsidR="007178CD" w:rsidRPr="00464EC3" w14:paraId="12EE7036" w14:textId="77777777" w:rsidTr="000000A7">
        <w:trPr>
          <w:trHeight w:val="276"/>
        </w:trPr>
        <w:tc>
          <w:tcPr>
            <w:tcW w:w="1761" w:type="pct"/>
            <w:vMerge/>
            <w:vAlign w:val="center"/>
          </w:tcPr>
          <w:p w14:paraId="3F4EA7EC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noWrap/>
            <w:vAlign w:val="center"/>
          </w:tcPr>
          <w:p w14:paraId="478CD28A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hAnsi="Arial" w:cs="Arial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882" w:type="pct"/>
            <w:noWrap/>
            <w:vAlign w:val="bottom"/>
          </w:tcPr>
          <w:p w14:paraId="0075CEC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95 (39.3)</w:t>
            </w:r>
          </w:p>
        </w:tc>
        <w:tc>
          <w:tcPr>
            <w:tcW w:w="890" w:type="pct"/>
            <w:noWrap/>
            <w:vAlign w:val="bottom"/>
          </w:tcPr>
          <w:p w14:paraId="428974B1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EC3">
              <w:rPr>
                <w:rFonts w:ascii="Arial" w:eastAsia="DengXian" w:hAnsi="Arial" w:cs="Arial"/>
                <w:color w:val="000000"/>
                <w:sz w:val="20"/>
                <w:szCs w:val="20"/>
              </w:rPr>
              <w:t>36 (54.5)</w:t>
            </w:r>
          </w:p>
        </w:tc>
        <w:tc>
          <w:tcPr>
            <w:tcW w:w="703" w:type="pct"/>
            <w:vMerge/>
            <w:noWrap/>
            <w:vAlign w:val="center"/>
          </w:tcPr>
          <w:p w14:paraId="2E4E7515" w14:textId="77777777" w:rsidR="007178CD" w:rsidRPr="00464EC3" w:rsidRDefault="007178CD" w:rsidP="0000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538954" w14:textId="0ACEF978" w:rsidR="007178CD" w:rsidRPr="00464EC3" w:rsidRDefault="007178CD" w:rsidP="007178CD">
      <w:pPr>
        <w:rPr>
          <w:rFonts w:ascii="Arial" w:hAnsi="Arial" w:cs="Arial"/>
          <w:color w:val="000000"/>
          <w:sz w:val="20"/>
          <w:szCs w:val="20"/>
        </w:rPr>
      </w:pPr>
      <w:r w:rsidRPr="00464EC3">
        <w:rPr>
          <w:rFonts w:ascii="Arial" w:hAnsi="Arial" w:cs="Arial"/>
          <w:color w:val="000000"/>
          <w:sz w:val="20"/>
          <w:szCs w:val="20"/>
        </w:rPr>
        <w:t xml:space="preserve">Categorical variables </w:t>
      </w:r>
      <w:r w:rsidRPr="00464EC3">
        <w:rPr>
          <w:rFonts w:ascii="Arial" w:eastAsia="DengXian" w:hAnsi="Arial" w:cs="Arial"/>
          <w:color w:val="000000"/>
          <w:sz w:val="20"/>
          <w:szCs w:val="20"/>
        </w:rPr>
        <w:t>are</w:t>
      </w:r>
      <w:r w:rsidRPr="00464EC3">
        <w:rPr>
          <w:rFonts w:ascii="Arial" w:hAnsi="Arial" w:cs="Arial"/>
          <w:color w:val="000000"/>
          <w:sz w:val="20"/>
          <w:szCs w:val="20"/>
        </w:rPr>
        <w:t xml:space="preserve"> presented as frequencies and percentages. </w:t>
      </w:r>
    </w:p>
    <w:p w14:paraId="7FC840D1" w14:textId="2C444155" w:rsidR="000A0A69" w:rsidRPr="00464EC3" w:rsidRDefault="000A0A69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464EC3">
        <w:rPr>
          <w:rFonts w:ascii="Arial" w:hAnsi="Arial" w:cs="Arial"/>
          <w:color w:val="000000"/>
          <w:sz w:val="20"/>
          <w:szCs w:val="20"/>
        </w:rPr>
        <w:br w:type="page"/>
      </w:r>
    </w:p>
    <w:p w14:paraId="2CA0488E" w14:textId="47733706" w:rsidR="000A0A69" w:rsidRPr="00464EC3" w:rsidRDefault="000A0A69" w:rsidP="000A0A6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64EC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(A) </w:t>
      </w:r>
      <w:r w:rsidR="00E3696C" w:rsidRPr="00464EC3">
        <w:rPr>
          <w:noProof/>
          <w:color w:val="000000"/>
        </w:rPr>
        <w:drawing>
          <wp:inline distT="0" distB="0" distL="0" distR="0" wp14:anchorId="73DADA98" wp14:editId="1D81A8A0">
            <wp:extent cx="2340000" cy="1874697"/>
            <wp:effectExtent l="0" t="0" r="3175" b="0"/>
            <wp:docPr id="360468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4" t="22060" r="24873" b="21157"/>
                    <a:stretch/>
                  </pic:blipFill>
                  <pic:spPr bwMode="auto">
                    <a:xfrm>
                      <a:off x="0" y="0"/>
                      <a:ext cx="2340000" cy="187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96C" w:rsidRPr="00464E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4E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028DB" w:rsidRPr="00464EC3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464EC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3696C" w:rsidRPr="00464EC3">
        <w:rPr>
          <w:color w:val="000000"/>
        </w:rPr>
        <w:t xml:space="preserve"> </w:t>
      </w:r>
      <w:r w:rsidR="00E3696C" w:rsidRPr="00464EC3">
        <w:rPr>
          <w:noProof/>
          <w:color w:val="000000"/>
        </w:rPr>
        <w:drawing>
          <wp:inline distT="0" distB="0" distL="0" distR="0" wp14:anchorId="1480E75F" wp14:editId="49DF109E">
            <wp:extent cx="2340000" cy="1843840"/>
            <wp:effectExtent l="0" t="0" r="3175" b="4445"/>
            <wp:docPr id="19131546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4" t="22468" r="24585" b="21362"/>
                    <a:stretch/>
                  </pic:blipFill>
                  <pic:spPr bwMode="auto">
                    <a:xfrm>
                      <a:off x="0" y="0"/>
                      <a:ext cx="2340000" cy="18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C29E2" w14:textId="4F99FAD3" w:rsidR="000A0A69" w:rsidRPr="00464EC3" w:rsidRDefault="000A0A69" w:rsidP="00B4799D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64E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028DB" w:rsidRPr="00464EC3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464EC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3696C" w:rsidRPr="00464EC3">
        <w:rPr>
          <w:noProof/>
          <w:color w:val="000000"/>
        </w:rPr>
        <w:drawing>
          <wp:inline distT="0" distB="0" distL="0" distR="0" wp14:anchorId="260F5CAF" wp14:editId="4E354986">
            <wp:extent cx="2340000" cy="1812486"/>
            <wp:effectExtent l="0" t="0" r="3175" b="0"/>
            <wp:docPr id="3085457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4" t="23081" r="25019" b="22179"/>
                    <a:stretch/>
                  </pic:blipFill>
                  <pic:spPr bwMode="auto">
                    <a:xfrm>
                      <a:off x="0" y="0"/>
                      <a:ext cx="2340000" cy="181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B2063" w14:textId="2BF81F82" w:rsidR="007178CD" w:rsidRPr="00464EC3" w:rsidRDefault="000A0A69" w:rsidP="007178CD">
      <w:pPr>
        <w:rPr>
          <w:rFonts w:ascii="Arial" w:hAnsi="Arial" w:cs="Arial"/>
          <w:color w:val="000000"/>
          <w:sz w:val="20"/>
          <w:szCs w:val="20"/>
        </w:rPr>
      </w:pPr>
      <w:r w:rsidRPr="00464EC3">
        <w:rPr>
          <w:rFonts w:ascii="Arial" w:hAnsi="Arial" w:cs="Arial"/>
          <w:b/>
          <w:bCs/>
          <w:color w:val="000000"/>
          <w:sz w:val="20"/>
          <w:szCs w:val="20"/>
        </w:rPr>
        <w:t>Supplementary Figure 1</w:t>
      </w:r>
      <w:r w:rsidRPr="00464EC3">
        <w:rPr>
          <w:rFonts w:ascii="Arial" w:hAnsi="Arial" w:cs="Arial"/>
          <w:color w:val="000000"/>
          <w:sz w:val="20"/>
          <w:szCs w:val="20"/>
        </w:rPr>
        <w:t xml:space="preserve"> Sankey diagram of ALBI grade change after HAIC in the full cohort of all patients (A), of patients with &lt; 4 cycles </w:t>
      </w:r>
      <w:r w:rsidRPr="00464EC3">
        <w:rPr>
          <w:rFonts w:ascii="Arial" w:eastAsia="DengXian" w:hAnsi="Arial" w:cs="Arial"/>
          <w:color w:val="000000"/>
          <w:sz w:val="20"/>
          <w:szCs w:val="20"/>
        </w:rPr>
        <w:t xml:space="preserve">of </w:t>
      </w:r>
      <w:r w:rsidRPr="00464EC3">
        <w:rPr>
          <w:rFonts w:ascii="Arial" w:hAnsi="Arial" w:cs="Arial"/>
          <w:color w:val="000000"/>
          <w:sz w:val="20"/>
          <w:szCs w:val="20"/>
        </w:rPr>
        <w:t>HAIC (</w:t>
      </w:r>
      <w:r w:rsidR="00B028DB" w:rsidRPr="00464EC3">
        <w:rPr>
          <w:rFonts w:ascii="Arial" w:hAnsi="Arial" w:cs="Arial"/>
          <w:color w:val="000000"/>
          <w:sz w:val="20"/>
          <w:szCs w:val="20"/>
        </w:rPr>
        <w:t>B</w:t>
      </w:r>
      <w:r w:rsidRPr="00464EC3">
        <w:rPr>
          <w:rFonts w:ascii="Arial" w:hAnsi="Arial" w:cs="Arial"/>
          <w:color w:val="000000"/>
          <w:sz w:val="20"/>
          <w:szCs w:val="20"/>
        </w:rPr>
        <w:t xml:space="preserve">), and of patients with </w:t>
      </w:r>
      <w:r w:rsidRPr="00464EC3">
        <w:rPr>
          <w:rFonts w:ascii="Arial" w:eastAsia="DengXian" w:hAnsi="Arial" w:cs="Arial"/>
          <w:color w:val="000000"/>
          <w:sz w:val="20"/>
          <w:szCs w:val="20"/>
        </w:rPr>
        <w:t>≥</w:t>
      </w:r>
      <w:r w:rsidRPr="00464EC3">
        <w:rPr>
          <w:rFonts w:ascii="Arial" w:hAnsi="Arial" w:cs="Arial"/>
          <w:color w:val="000000"/>
          <w:sz w:val="20"/>
          <w:szCs w:val="20"/>
        </w:rPr>
        <w:t xml:space="preserve"> 4 cycles</w:t>
      </w:r>
      <w:r w:rsidRPr="00464EC3">
        <w:rPr>
          <w:rFonts w:ascii="Arial" w:eastAsia="DengXian" w:hAnsi="Arial" w:cs="Arial"/>
          <w:color w:val="000000"/>
          <w:sz w:val="20"/>
          <w:szCs w:val="20"/>
        </w:rPr>
        <w:t xml:space="preserve"> of</w:t>
      </w:r>
      <w:r w:rsidRPr="00464EC3">
        <w:rPr>
          <w:rFonts w:ascii="Arial" w:hAnsi="Arial" w:cs="Arial"/>
          <w:color w:val="000000"/>
          <w:sz w:val="20"/>
          <w:szCs w:val="20"/>
        </w:rPr>
        <w:t xml:space="preserve"> HAIC (</w:t>
      </w:r>
      <w:r w:rsidR="00B028DB" w:rsidRPr="00464EC3">
        <w:rPr>
          <w:rFonts w:ascii="Arial" w:hAnsi="Arial" w:cs="Arial"/>
          <w:color w:val="000000"/>
          <w:sz w:val="20"/>
          <w:szCs w:val="20"/>
        </w:rPr>
        <w:t>C</w:t>
      </w:r>
      <w:r w:rsidRPr="00464EC3">
        <w:rPr>
          <w:rFonts w:ascii="Arial" w:hAnsi="Arial" w:cs="Arial"/>
          <w:color w:val="000000"/>
          <w:sz w:val="20"/>
          <w:szCs w:val="20"/>
        </w:rPr>
        <w:t>).</w:t>
      </w:r>
    </w:p>
    <w:p w14:paraId="7FEEFFF2" w14:textId="77777777" w:rsidR="00DA40B5" w:rsidRPr="00464EC3" w:rsidRDefault="00DA40B5">
      <w:pPr>
        <w:rPr>
          <w:color w:val="000000"/>
        </w:rPr>
      </w:pPr>
    </w:p>
    <w:sectPr w:rsidR="00DA40B5" w:rsidRPr="00464EC3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4BB5" w14:textId="77777777" w:rsidR="00C428A1" w:rsidRDefault="00C428A1" w:rsidP="007178CD">
      <w:r>
        <w:separator/>
      </w:r>
    </w:p>
  </w:endnote>
  <w:endnote w:type="continuationSeparator" w:id="0">
    <w:p w14:paraId="0A723C7B" w14:textId="77777777" w:rsidR="00C428A1" w:rsidRDefault="00C428A1" w:rsidP="0071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B7CD" w14:textId="648317CB" w:rsidR="000B3D09" w:rsidRDefault="000B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34BCC3" wp14:editId="4E63F3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41305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15AC6" w14:textId="75E415E6" w:rsidR="000B3D09" w:rsidRPr="000B3D09" w:rsidRDefault="000B3D09" w:rsidP="000B3D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3D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B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4615AC6" w14:textId="75E415E6" w:rsidR="000B3D09" w:rsidRPr="000B3D09" w:rsidRDefault="000B3D09" w:rsidP="000B3D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3D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AAF7" w14:textId="5240D302" w:rsidR="000B3D09" w:rsidRDefault="000B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EBDAE8" wp14:editId="1B472168">
              <wp:simplePos x="1141466" y="990497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10527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44B87" w14:textId="7A0238C1" w:rsidR="000B3D09" w:rsidRPr="000B3D09" w:rsidRDefault="000B3D09" w:rsidP="000B3D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3D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BDA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F44B87" w14:textId="7A0238C1" w:rsidR="000B3D09" w:rsidRPr="000B3D09" w:rsidRDefault="000B3D09" w:rsidP="000B3D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3D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9C0F" w14:textId="50AE54C9" w:rsidR="000B3D09" w:rsidRDefault="000B3D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F77F68" wp14:editId="7C5F3A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563748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532CA" w14:textId="727A5CDA" w:rsidR="000B3D09" w:rsidRPr="000B3D09" w:rsidRDefault="000B3D09" w:rsidP="000B3D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3D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77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00532CA" w14:textId="727A5CDA" w:rsidR="000B3D09" w:rsidRPr="000B3D09" w:rsidRDefault="000B3D09" w:rsidP="000B3D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3D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1347" w14:textId="77777777" w:rsidR="00C428A1" w:rsidRDefault="00C428A1" w:rsidP="007178CD">
      <w:r>
        <w:separator/>
      </w:r>
    </w:p>
  </w:footnote>
  <w:footnote w:type="continuationSeparator" w:id="0">
    <w:p w14:paraId="5CD6FC9D" w14:textId="77777777" w:rsidR="00C428A1" w:rsidRDefault="00C428A1" w:rsidP="0071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D2"/>
    <w:rsid w:val="00033533"/>
    <w:rsid w:val="00050EA2"/>
    <w:rsid w:val="000A0A69"/>
    <w:rsid w:val="000B3D09"/>
    <w:rsid w:val="0010463A"/>
    <w:rsid w:val="00145D41"/>
    <w:rsid w:val="00174C71"/>
    <w:rsid w:val="001D19E0"/>
    <w:rsid w:val="002537F9"/>
    <w:rsid w:val="00296DA3"/>
    <w:rsid w:val="002A5B6A"/>
    <w:rsid w:val="002E0F16"/>
    <w:rsid w:val="00315339"/>
    <w:rsid w:val="00341BAB"/>
    <w:rsid w:val="00464EC3"/>
    <w:rsid w:val="004C6333"/>
    <w:rsid w:val="00537570"/>
    <w:rsid w:val="0054202A"/>
    <w:rsid w:val="005A61FA"/>
    <w:rsid w:val="005A7889"/>
    <w:rsid w:val="005E291D"/>
    <w:rsid w:val="005F6BD8"/>
    <w:rsid w:val="006023BE"/>
    <w:rsid w:val="00624454"/>
    <w:rsid w:val="00676BF2"/>
    <w:rsid w:val="00685A79"/>
    <w:rsid w:val="006F5871"/>
    <w:rsid w:val="007178CD"/>
    <w:rsid w:val="007917F0"/>
    <w:rsid w:val="007B6320"/>
    <w:rsid w:val="007E262D"/>
    <w:rsid w:val="007F01A6"/>
    <w:rsid w:val="007F11A1"/>
    <w:rsid w:val="0088342B"/>
    <w:rsid w:val="008D62E6"/>
    <w:rsid w:val="008D6C90"/>
    <w:rsid w:val="0097465A"/>
    <w:rsid w:val="00983085"/>
    <w:rsid w:val="009854A9"/>
    <w:rsid w:val="009B3308"/>
    <w:rsid w:val="009B3C88"/>
    <w:rsid w:val="00A25AAB"/>
    <w:rsid w:val="00A71454"/>
    <w:rsid w:val="00A7678D"/>
    <w:rsid w:val="00AC6C10"/>
    <w:rsid w:val="00AF5666"/>
    <w:rsid w:val="00B028DB"/>
    <w:rsid w:val="00B20C2A"/>
    <w:rsid w:val="00B33572"/>
    <w:rsid w:val="00B4799D"/>
    <w:rsid w:val="00BE12D4"/>
    <w:rsid w:val="00C428A1"/>
    <w:rsid w:val="00C917C4"/>
    <w:rsid w:val="00D410FA"/>
    <w:rsid w:val="00D655D1"/>
    <w:rsid w:val="00D66EC0"/>
    <w:rsid w:val="00D6799A"/>
    <w:rsid w:val="00D817F4"/>
    <w:rsid w:val="00D839DE"/>
    <w:rsid w:val="00D873A6"/>
    <w:rsid w:val="00DA40B5"/>
    <w:rsid w:val="00DC3082"/>
    <w:rsid w:val="00DD70D2"/>
    <w:rsid w:val="00E3696C"/>
    <w:rsid w:val="00E54ADC"/>
    <w:rsid w:val="00F23F95"/>
    <w:rsid w:val="00F25EA8"/>
    <w:rsid w:val="00F2761D"/>
    <w:rsid w:val="00F51B4B"/>
    <w:rsid w:val="00F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1A19A"/>
  <w15:chartTrackingRefBased/>
  <w15:docId w15:val="{1BA44F7E-2CA3-4A59-8A10-2FD224C8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C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8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78C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7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78CD"/>
    <w:rPr>
      <w:sz w:val="18"/>
      <w:szCs w:val="18"/>
    </w:rPr>
  </w:style>
  <w:style w:type="table" w:styleId="TableGrid">
    <w:name w:val="Table Grid"/>
    <w:basedOn w:val="TableNormal"/>
    <w:uiPriority w:val="39"/>
    <w:rsid w:val="0071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3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D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梽楷 郑</dc:creator>
  <cp:keywords/>
  <dc:description/>
  <cp:lastModifiedBy>Olliver, Tania</cp:lastModifiedBy>
  <cp:revision>2</cp:revision>
  <dcterms:created xsi:type="dcterms:W3CDTF">2023-11-26T20:24:00Z</dcterms:created>
  <dcterms:modified xsi:type="dcterms:W3CDTF">2023-11-26T20:24:00Z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2d155d1a,df48c92,35b4f955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2023-11-19T22:28:06Z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e22b4be0-d05a-46ba-83e8-5a55ccb4699d</vt:lpwstr>
  </property>
  <property fmtid="{D5CDD505-2E9C-101B-9397-08002B2CF9AE}" pid="11" name="MSIP_Label_2bbab825-a111-45e4-86a1-18cee0005896_ContentBits">
    <vt:lpwstr>2</vt:lpwstr>
  </property>
</Properties>
</file>