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4B6C2" w14:textId="0E080EE6" w:rsidR="0033128B" w:rsidRDefault="004E761E">
      <w:pPr>
        <w:rPr>
          <w:noProof/>
        </w:rPr>
      </w:pPr>
      <w:r w:rsidRPr="004E761E">
        <w:rPr>
          <w:noProof/>
        </w:rPr>
        <w:drawing>
          <wp:inline distT="0" distB="0" distL="0" distR="0" wp14:anchorId="6630393C" wp14:editId="66282001">
            <wp:extent cx="8748713" cy="2572160"/>
            <wp:effectExtent l="0" t="0" r="0" b="0"/>
            <wp:docPr id="21332282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2828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04463" cy="258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B0B42" w14:textId="77777777" w:rsidR="0033128B" w:rsidRDefault="0033128B">
      <w:pPr>
        <w:rPr>
          <w:noProof/>
        </w:rPr>
      </w:pPr>
    </w:p>
    <w:p w14:paraId="691C95BB" w14:textId="77777777" w:rsidR="002539FC" w:rsidRPr="00D8106E" w:rsidRDefault="002539FC" w:rsidP="002539FC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D8106E">
        <w:rPr>
          <w:rFonts w:ascii="Arial" w:hAnsi="Arial" w:cs="Arial"/>
          <w:b/>
          <w:bCs/>
          <w:color w:val="000000"/>
          <w:sz w:val="20"/>
          <w:szCs w:val="20"/>
        </w:rPr>
        <w:t>Figure S</w:t>
      </w:r>
      <w:r w:rsidRPr="00D8106E">
        <w:rPr>
          <w:rFonts w:ascii="Arial" w:hAnsi="Arial" w:cs="Arial" w:hint="eastAsia"/>
          <w:b/>
          <w:bCs/>
          <w:color w:val="000000"/>
          <w:sz w:val="20"/>
          <w:szCs w:val="20"/>
        </w:rPr>
        <w:t>1</w:t>
      </w:r>
      <w:r w:rsidRPr="00D8106E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D8106E">
        <w:rPr>
          <w:rFonts w:ascii="Arial" w:hAnsi="Arial" w:cs="Arial"/>
          <w:color w:val="000000"/>
          <w:sz w:val="20"/>
          <w:szCs w:val="20"/>
        </w:rPr>
        <w:t>Stability detection of ICG</w:t>
      </w:r>
      <w:r w:rsidRPr="00D8106E">
        <w:rPr>
          <w:rFonts w:ascii="Arial" w:hAnsi="Arial" w:cs="Arial" w:hint="eastAsia"/>
          <w:color w:val="000000"/>
          <w:sz w:val="20"/>
          <w:szCs w:val="20"/>
        </w:rPr>
        <w:t>-</w:t>
      </w:r>
      <w:r w:rsidRPr="00D8106E">
        <w:rPr>
          <w:rFonts w:ascii="Arial" w:hAnsi="Arial" w:cs="Arial"/>
          <w:color w:val="000000"/>
          <w:sz w:val="20"/>
          <w:szCs w:val="20"/>
        </w:rPr>
        <w:t>NBs and in vitro drug release experiments</w:t>
      </w:r>
      <w:r w:rsidRPr="00D8106E">
        <w:rPr>
          <w:rFonts w:ascii="Arial" w:hAnsi="Arial" w:cs="Arial" w:hint="eastAsia"/>
          <w:color w:val="000000"/>
          <w:sz w:val="20"/>
          <w:szCs w:val="20"/>
        </w:rPr>
        <w:t>.</w:t>
      </w:r>
      <w:r w:rsidRPr="00D8106E">
        <w:rPr>
          <w:rFonts w:ascii="Arial" w:hAnsi="Arial" w:cs="Arial"/>
          <w:color w:val="000000"/>
          <w:sz w:val="20"/>
          <w:szCs w:val="20"/>
        </w:rPr>
        <w:t xml:space="preserve"> </w:t>
      </w:r>
      <w:r w:rsidRPr="00D8106E">
        <w:rPr>
          <w:rFonts w:ascii="Arial" w:hAnsi="Arial" w:cs="Arial"/>
          <w:b/>
          <w:bCs/>
          <w:color w:val="000000"/>
          <w:sz w:val="20"/>
          <w:szCs w:val="20"/>
        </w:rPr>
        <w:t>(A)</w:t>
      </w:r>
      <w:r w:rsidRPr="00D8106E">
        <w:rPr>
          <w:color w:val="000000"/>
        </w:rPr>
        <w:t xml:space="preserve"> </w:t>
      </w:r>
      <w:r w:rsidRPr="00D8106E">
        <w:rPr>
          <w:rFonts w:ascii="Arial" w:hAnsi="Arial" w:cs="Arial"/>
          <w:color w:val="000000"/>
          <w:sz w:val="20"/>
          <w:szCs w:val="20"/>
        </w:rPr>
        <w:t xml:space="preserve">The particle size distribution of ICG-NBs in PBS solution at for 48 h. </w:t>
      </w:r>
      <w:r w:rsidRPr="00D8106E">
        <w:rPr>
          <w:rFonts w:ascii="Arial" w:hAnsi="Arial" w:cs="Arial"/>
          <w:b/>
          <w:bCs/>
          <w:color w:val="000000"/>
          <w:sz w:val="20"/>
          <w:szCs w:val="20"/>
        </w:rPr>
        <w:t xml:space="preserve">(B) </w:t>
      </w:r>
      <w:r w:rsidRPr="00D8106E">
        <w:rPr>
          <w:rFonts w:ascii="Arial" w:hAnsi="Arial" w:cs="Arial"/>
          <w:color w:val="000000"/>
          <w:sz w:val="20"/>
          <w:szCs w:val="20"/>
        </w:rPr>
        <w:t xml:space="preserve">The particle size distribution of ICG-NBs after 48 h in DMEM containing 10% FBS. </w:t>
      </w:r>
      <w:r w:rsidRPr="00D8106E">
        <w:rPr>
          <w:rFonts w:ascii="Arial" w:hAnsi="Arial" w:cs="Arial"/>
          <w:b/>
          <w:bCs/>
          <w:color w:val="000000"/>
          <w:sz w:val="20"/>
          <w:szCs w:val="20"/>
        </w:rPr>
        <w:t>(C)</w:t>
      </w:r>
      <w:r w:rsidRPr="00D8106E">
        <w:rPr>
          <w:rFonts w:ascii="Arial" w:hAnsi="Arial" w:cs="Arial"/>
          <w:color w:val="000000"/>
          <w:sz w:val="20"/>
          <w:szCs w:val="20"/>
        </w:rPr>
        <w:t xml:space="preserve"> In vitro collective release of ICG from ICG-NBs. ****p &lt; 0.0001.</w:t>
      </w:r>
    </w:p>
    <w:p w14:paraId="1C06F754" w14:textId="77777777" w:rsidR="00B600A1" w:rsidRDefault="00B600A1">
      <w:pPr>
        <w:rPr>
          <w:b/>
          <w:bCs/>
          <w:noProof/>
        </w:rPr>
      </w:pPr>
    </w:p>
    <w:p w14:paraId="271EC700" w14:textId="77777777" w:rsidR="00B600A1" w:rsidRDefault="00B600A1">
      <w:pPr>
        <w:rPr>
          <w:b/>
          <w:bCs/>
          <w:noProof/>
        </w:rPr>
      </w:pPr>
    </w:p>
    <w:p w14:paraId="401A7E2A" w14:textId="77777777" w:rsidR="00B600A1" w:rsidRDefault="00B600A1">
      <w:pPr>
        <w:rPr>
          <w:b/>
          <w:bCs/>
          <w:noProof/>
        </w:rPr>
      </w:pPr>
    </w:p>
    <w:p w14:paraId="301EFB31" w14:textId="77777777" w:rsidR="00B600A1" w:rsidRDefault="00B600A1">
      <w:pPr>
        <w:rPr>
          <w:b/>
          <w:bCs/>
          <w:noProof/>
        </w:rPr>
      </w:pPr>
    </w:p>
    <w:p w14:paraId="5CDC2B54" w14:textId="77777777" w:rsidR="00B600A1" w:rsidRDefault="00B600A1">
      <w:pPr>
        <w:rPr>
          <w:b/>
          <w:bCs/>
          <w:noProof/>
        </w:rPr>
      </w:pPr>
    </w:p>
    <w:p w14:paraId="43CB8546" w14:textId="77777777" w:rsidR="00B600A1" w:rsidRDefault="00B600A1">
      <w:pPr>
        <w:rPr>
          <w:b/>
          <w:bCs/>
          <w:noProof/>
        </w:rPr>
      </w:pPr>
    </w:p>
    <w:p w14:paraId="202A943B" w14:textId="77777777" w:rsidR="00B600A1" w:rsidRDefault="00B600A1">
      <w:pPr>
        <w:rPr>
          <w:b/>
          <w:bCs/>
          <w:noProof/>
        </w:rPr>
      </w:pPr>
    </w:p>
    <w:p w14:paraId="464FD758" w14:textId="77777777" w:rsidR="00B600A1" w:rsidRDefault="00B600A1">
      <w:pPr>
        <w:rPr>
          <w:b/>
          <w:bCs/>
          <w:noProof/>
        </w:rPr>
      </w:pPr>
    </w:p>
    <w:p w14:paraId="29399E70" w14:textId="26D423B8" w:rsidR="0033128B" w:rsidRDefault="0033128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323766A" wp14:editId="5C2CB6C2">
            <wp:extent cx="6234113" cy="4647248"/>
            <wp:effectExtent l="0" t="0" r="0" b="1270"/>
            <wp:docPr id="14275689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89" cy="466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EC80F" w14:textId="77777777" w:rsidR="0033128B" w:rsidRDefault="0033128B">
      <w:pPr>
        <w:rPr>
          <w:noProof/>
        </w:rPr>
      </w:pPr>
    </w:p>
    <w:p w14:paraId="71E546A6" w14:textId="77777777" w:rsidR="002539FC" w:rsidRPr="00D8106E" w:rsidRDefault="002539FC" w:rsidP="002539FC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D8106E">
        <w:rPr>
          <w:rFonts w:ascii="Arial" w:hAnsi="Arial" w:cs="Arial"/>
          <w:b/>
          <w:bCs/>
          <w:color w:val="000000"/>
          <w:sz w:val="20"/>
          <w:szCs w:val="20"/>
        </w:rPr>
        <w:t xml:space="preserve">Figure S2 </w:t>
      </w:r>
      <w:r w:rsidRPr="00D8106E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D8106E">
        <w:rPr>
          <w:rFonts w:ascii="Arial" w:hAnsi="Arial" w:cs="Arial" w:hint="eastAsia"/>
          <w:color w:val="000000"/>
          <w:sz w:val="20"/>
          <w:szCs w:val="20"/>
        </w:rPr>
        <w:t>cell</w:t>
      </w:r>
      <w:r w:rsidRPr="00D8106E">
        <w:rPr>
          <w:rFonts w:ascii="Arial" w:hAnsi="Arial" w:cs="Arial"/>
          <w:color w:val="000000"/>
          <w:sz w:val="20"/>
          <w:szCs w:val="20"/>
        </w:rPr>
        <w:t xml:space="preserve"> viability of WRL68 cells treated with different concentrations of ICG.</w:t>
      </w:r>
    </w:p>
    <w:p w14:paraId="10FFB5BA" w14:textId="415ED62C" w:rsidR="0013254D" w:rsidRDefault="0033128B">
      <w:r>
        <w:rPr>
          <w:noProof/>
        </w:rPr>
        <w:lastRenderedPageBreak/>
        <w:drawing>
          <wp:inline distT="0" distB="0" distL="0" distR="0" wp14:anchorId="6409C0CD" wp14:editId="2823B895">
            <wp:extent cx="8904906" cy="1647825"/>
            <wp:effectExtent l="0" t="0" r="0" b="0"/>
            <wp:docPr id="926179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631" cy="166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23105" w14:textId="77777777" w:rsidR="0033128B" w:rsidRDefault="0033128B"/>
    <w:p w14:paraId="7E881860" w14:textId="77777777" w:rsidR="00B600A1" w:rsidRDefault="00B600A1" w:rsidP="0033128B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0B1A753" w14:textId="77777777" w:rsidR="002539FC" w:rsidRPr="00D8106E" w:rsidRDefault="002539FC" w:rsidP="002539FC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D8106E">
        <w:rPr>
          <w:rFonts w:ascii="Arial" w:hAnsi="Arial" w:cs="Arial"/>
          <w:b/>
          <w:bCs/>
          <w:color w:val="000000"/>
          <w:sz w:val="20"/>
          <w:szCs w:val="20"/>
        </w:rPr>
        <w:t>Figure S3</w:t>
      </w:r>
      <w:r w:rsidRPr="00D8106E">
        <w:rPr>
          <w:color w:val="000000"/>
        </w:rPr>
        <w:t xml:space="preserve"> </w:t>
      </w:r>
      <w:r w:rsidRPr="00D8106E">
        <w:rPr>
          <w:rFonts w:ascii="Arial" w:hAnsi="Arial" w:cs="Arial"/>
          <w:color w:val="000000"/>
          <w:sz w:val="20"/>
          <w:szCs w:val="20"/>
        </w:rPr>
        <w:t>Biological distribution of ICG-NBs.</w:t>
      </w:r>
      <w:r w:rsidRPr="00D8106E">
        <w:rPr>
          <w:rFonts w:ascii="Arial" w:hAnsi="Arial" w:cs="Arial"/>
          <w:b/>
          <w:bCs/>
          <w:color w:val="000000"/>
          <w:sz w:val="20"/>
          <w:szCs w:val="20"/>
        </w:rPr>
        <w:t xml:space="preserve"> (A) </w:t>
      </w:r>
      <w:r w:rsidRPr="00D8106E">
        <w:rPr>
          <w:rFonts w:ascii="Arial" w:hAnsi="Arial" w:cs="Arial"/>
          <w:color w:val="000000"/>
          <w:sz w:val="20"/>
          <w:szCs w:val="20"/>
        </w:rPr>
        <w:t>The biodistribution of ICG-NBs in HepG2 tumor-bearing mice at different time points after injection.</w:t>
      </w:r>
      <w:r w:rsidRPr="00D8106E">
        <w:rPr>
          <w:rFonts w:ascii="Arial" w:hAnsi="Arial" w:cs="Arial"/>
          <w:b/>
          <w:bCs/>
          <w:color w:val="000000"/>
          <w:sz w:val="20"/>
          <w:szCs w:val="20"/>
        </w:rPr>
        <w:t xml:space="preserve"> (B)</w:t>
      </w:r>
      <w:r w:rsidRPr="00D8106E">
        <w:rPr>
          <w:rFonts w:ascii="Arial" w:hAnsi="Arial" w:cs="Arial"/>
          <w:color w:val="000000"/>
          <w:sz w:val="20"/>
          <w:szCs w:val="20"/>
        </w:rPr>
        <w:t>The relative fluorescence intensity in organs and tumors 24 h after injection.</w:t>
      </w:r>
    </w:p>
    <w:p w14:paraId="461C0606" w14:textId="77777777" w:rsidR="00B600A1" w:rsidRDefault="00B600A1">
      <w:pPr>
        <w:sectPr w:rsidR="00B600A1" w:rsidSect="00B600A1">
          <w:footerReference w:type="even" r:id="rId9"/>
          <w:footerReference w:type="default" r:id="rId10"/>
          <w:footerReference w:type="first" r:id="rId11"/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14:paraId="6AB18866" w14:textId="77777777" w:rsidR="00B600A1" w:rsidRPr="00D8106E" w:rsidRDefault="00B600A1" w:rsidP="00B600A1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2B1E8AB" w14:textId="77777777" w:rsidR="00B600A1" w:rsidRPr="00D8106E" w:rsidRDefault="00B600A1" w:rsidP="00B600A1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3909791" w14:textId="77777777" w:rsidR="0033128B" w:rsidRPr="00B600A1" w:rsidRDefault="0033128B"/>
    <w:sectPr w:rsidR="0033128B" w:rsidRPr="00B600A1" w:rsidSect="00B600A1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B5C3A" w14:textId="77777777" w:rsidR="00906310" w:rsidRDefault="00906310" w:rsidP="0033128B">
      <w:r>
        <w:separator/>
      </w:r>
    </w:p>
  </w:endnote>
  <w:endnote w:type="continuationSeparator" w:id="0">
    <w:p w14:paraId="10392173" w14:textId="77777777" w:rsidR="00906310" w:rsidRDefault="00906310" w:rsidP="00331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CD35" w14:textId="5E9C0172" w:rsidR="002539FC" w:rsidRDefault="002539F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1F051E0" wp14:editId="1A3757F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544365128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600014" w14:textId="35EFCF71" w:rsidR="002539FC" w:rsidRPr="002539FC" w:rsidRDefault="002539FC" w:rsidP="002539F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539F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F051E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18600014" w14:textId="35EFCF71" w:rsidR="002539FC" w:rsidRPr="002539FC" w:rsidRDefault="002539FC" w:rsidP="002539F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539F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B2AB1" w14:textId="31A44A7C" w:rsidR="002539FC" w:rsidRDefault="002539F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6CA5589" wp14:editId="5D681776">
              <wp:simplePos x="914400" y="678081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71334919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E6949B" w14:textId="02DFD5E7" w:rsidR="002539FC" w:rsidRPr="002539FC" w:rsidRDefault="002539FC" w:rsidP="002539F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539F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CA558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22E6949B" w14:textId="02DFD5E7" w:rsidR="002539FC" w:rsidRPr="002539FC" w:rsidRDefault="002539FC" w:rsidP="002539F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539F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26443" w14:textId="75433295" w:rsidR="002539FC" w:rsidRDefault="002539F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DF86C6D" wp14:editId="4401C93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10534568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8A3ACC" w14:textId="5FFE93E7" w:rsidR="002539FC" w:rsidRPr="002539FC" w:rsidRDefault="002539FC" w:rsidP="002539F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539F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F86C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668A3ACC" w14:textId="5FFE93E7" w:rsidR="002539FC" w:rsidRPr="002539FC" w:rsidRDefault="002539FC" w:rsidP="002539F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539F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D7076" w14:textId="77777777" w:rsidR="00906310" w:rsidRDefault="00906310" w:rsidP="0033128B">
      <w:r>
        <w:separator/>
      </w:r>
    </w:p>
  </w:footnote>
  <w:footnote w:type="continuationSeparator" w:id="0">
    <w:p w14:paraId="33A7B41B" w14:textId="77777777" w:rsidR="00906310" w:rsidRDefault="00906310" w:rsidP="003312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E34"/>
    <w:rsid w:val="0013254D"/>
    <w:rsid w:val="002539FC"/>
    <w:rsid w:val="0033128B"/>
    <w:rsid w:val="004E761E"/>
    <w:rsid w:val="00906310"/>
    <w:rsid w:val="00B600A1"/>
    <w:rsid w:val="00BB4C66"/>
    <w:rsid w:val="00EA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7A534B"/>
  <w15:chartTrackingRefBased/>
  <w15:docId w15:val="{2B652AD4-9E80-433B-A6DE-EC12A240F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0A1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28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3128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312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3128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3128B"/>
    <w:pPr>
      <w:jc w:val="left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128B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3128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97</Words>
  <Characters>557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Huimin Tian</dc:creator>
  <cp:keywords/>
  <dc:description/>
  <cp:lastModifiedBy>Spence, Oliver</cp:lastModifiedBy>
  <cp:revision>5</cp:revision>
  <dcterms:created xsi:type="dcterms:W3CDTF">2023-11-09T05:35:00Z</dcterms:created>
  <dcterms:modified xsi:type="dcterms:W3CDTF">2023-11-09T21:38:00Z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7d7d0698,20725a48,661fa247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2023-11-09T21:38:54Z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ac10c924-53d9-4389-9646-67e867340c02</vt:lpwstr>
  </property>
  <property fmtid="{D5CDD505-2E9C-101B-9397-08002B2CF9AE}" pid="11" name="MSIP_Label_2bbab825-a111-45e4-86a1-18cee0005896_ContentBits">
    <vt:lpwstr>2</vt:lpwstr>
  </property>
</Properties>
</file>