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FB975" w14:textId="77777777" w:rsidR="006A658B" w:rsidRPr="00756DA1" w:rsidRDefault="00756DA1">
      <w:pPr>
        <w:adjustRightInd w:val="0"/>
        <w:snapToGrid w:val="0"/>
        <w:spacing w:line="480" w:lineRule="auto"/>
        <w:jc w:val="center"/>
        <w:rPr>
          <w:rFonts w:cs="Times New Roman"/>
          <w:b/>
          <w:color w:val="000000"/>
          <w:sz w:val="28"/>
          <w:szCs w:val="28"/>
        </w:rPr>
      </w:pPr>
      <w:bookmarkStart w:id="0" w:name="_Toc128556881"/>
      <w:bookmarkStart w:id="1" w:name="_Toc130066027"/>
      <w:r w:rsidRPr="00756DA1">
        <w:rPr>
          <w:rFonts w:cs="Times New Roman" w:hint="eastAsia"/>
          <w:bCs/>
          <w:i/>
          <w:iCs/>
          <w:color w:val="000000"/>
          <w:sz w:val="28"/>
          <w:szCs w:val="28"/>
        </w:rPr>
        <w:t>Supp</w:t>
      </w:r>
      <w:r w:rsidRPr="00756DA1">
        <w:rPr>
          <w:rFonts w:cs="Times New Roman"/>
          <w:bCs/>
          <w:i/>
          <w:iCs/>
          <w:color w:val="000000"/>
          <w:sz w:val="28"/>
          <w:szCs w:val="28"/>
        </w:rPr>
        <w:t>lementary</w:t>
      </w:r>
      <w:r w:rsidRPr="00756DA1">
        <w:rPr>
          <w:rFonts w:cs="Times New Roman" w:hint="eastAsia"/>
          <w:bCs/>
          <w:i/>
          <w:iCs/>
          <w:color w:val="000000"/>
          <w:sz w:val="28"/>
          <w:szCs w:val="28"/>
        </w:rPr>
        <w:t xml:space="preserve"> Information</w:t>
      </w:r>
    </w:p>
    <w:p w14:paraId="147A97DF" w14:textId="77777777" w:rsidR="006A658B" w:rsidRPr="00756DA1" w:rsidRDefault="00756DA1">
      <w:pPr>
        <w:pStyle w:val="Heading1"/>
        <w:rPr>
          <w:rFonts w:ascii="Arial" w:hAnsi="Arial" w:cs="Times New Roman"/>
          <w:color w:val="000000"/>
          <w:sz w:val="16"/>
          <w:szCs w:val="20"/>
          <w:lang w:eastAsia="en-US"/>
        </w:rPr>
      </w:pPr>
      <w:r w:rsidRPr="00756DA1">
        <w:rPr>
          <w:rFonts w:ascii="Arial" w:hAnsi="Arial" w:cs="Arial"/>
          <w:color w:val="000000"/>
          <w:sz w:val="32"/>
          <w:szCs w:val="32"/>
        </w:rPr>
        <w:t xml:space="preserve">Functionalized cerium dioxide </w:t>
      </w:r>
      <w:bookmarkStart w:id="2" w:name="OLE_LINK2"/>
      <w:bookmarkStart w:id="3" w:name="OLE_LINK7"/>
      <w:r w:rsidRPr="00756DA1">
        <w:rPr>
          <w:rFonts w:ascii="Arial" w:hAnsi="Arial" w:cs="Arial"/>
          <w:color w:val="000000"/>
          <w:sz w:val="32"/>
          <w:szCs w:val="32"/>
        </w:rPr>
        <w:t>nanoparticles</w:t>
      </w:r>
      <w:bookmarkEnd w:id="2"/>
      <w:bookmarkEnd w:id="3"/>
      <w:r w:rsidRPr="00756DA1">
        <w:rPr>
          <w:rFonts w:ascii="Arial" w:hAnsi="Arial" w:cs="Arial"/>
          <w:color w:val="000000"/>
          <w:sz w:val="32"/>
          <w:szCs w:val="32"/>
        </w:rPr>
        <w:t xml:space="preserve"> with antioxidative neuroprotection for Alzheimer’s disease</w:t>
      </w:r>
    </w:p>
    <w:p w14:paraId="3E20FBBC" w14:textId="77777777" w:rsidR="006A658B" w:rsidRPr="00756DA1" w:rsidRDefault="00756DA1">
      <w:pPr>
        <w:widowControl/>
        <w:spacing w:line="480" w:lineRule="auto"/>
        <w:rPr>
          <w:rFonts w:ascii="Arial" w:hAnsi="Arial" w:cs="Times New Roman"/>
          <w:color w:val="000000"/>
          <w:sz w:val="20"/>
          <w:vertAlign w:val="superscript"/>
          <w:lang w:eastAsia="en-US"/>
        </w:rPr>
      </w:pPr>
      <w:bookmarkStart w:id="4" w:name="_Hlk127310704"/>
      <w:r w:rsidRPr="00756DA1">
        <w:rPr>
          <w:rFonts w:ascii="Arial" w:hAnsi="Arial" w:cs="Times New Roman" w:hint="eastAsia"/>
          <w:color w:val="000000"/>
          <w:sz w:val="20"/>
          <w:lang w:eastAsia="en-US"/>
        </w:rPr>
        <w:t>Yu Hu</w:t>
      </w:r>
      <w:r w:rsidRPr="00756DA1">
        <w:rPr>
          <w:rFonts w:ascii="Arial" w:hAnsi="Arial" w:cs="Times New Roman"/>
          <w:color w:val="000000"/>
          <w:sz w:val="20"/>
          <w:vertAlign w:val="superscript"/>
          <w:lang w:eastAsia="en-US"/>
        </w:rPr>
        <w:t>1,2,3</w:t>
      </w:r>
      <w:r w:rsidRPr="00756DA1">
        <w:rPr>
          <w:rFonts w:ascii="Arial" w:hAnsi="Arial" w:cs="Times New Roman" w:hint="eastAsia"/>
          <w:color w:val="000000"/>
          <w:sz w:val="20"/>
          <w:lang w:eastAsia="en-US"/>
        </w:rPr>
        <w:t>, Hui Guo</w:t>
      </w:r>
      <w:r w:rsidRPr="00756DA1">
        <w:rPr>
          <w:rFonts w:ascii="Arial" w:hAnsi="Arial" w:cs="Times New Roman"/>
          <w:color w:val="000000"/>
          <w:sz w:val="20"/>
          <w:vertAlign w:val="superscript"/>
          <w:lang w:eastAsia="en-US"/>
        </w:rPr>
        <w:t>1,2,3</w:t>
      </w:r>
      <w:r w:rsidRPr="00756DA1">
        <w:rPr>
          <w:rFonts w:ascii="Arial" w:hAnsi="Arial" w:cs="Times New Roman" w:hint="eastAsia"/>
          <w:color w:val="000000"/>
          <w:sz w:val="20"/>
          <w:lang w:eastAsia="en-US"/>
        </w:rPr>
        <w:t>, Shuai Cheng</w:t>
      </w:r>
      <w:r w:rsidRPr="00756DA1">
        <w:rPr>
          <w:rFonts w:ascii="Arial" w:hAnsi="Arial" w:cs="Times New Roman"/>
          <w:color w:val="000000"/>
          <w:sz w:val="20"/>
          <w:vertAlign w:val="superscript"/>
          <w:lang w:eastAsia="en-US"/>
        </w:rPr>
        <w:t>1,2,3</w:t>
      </w:r>
      <w:r w:rsidRPr="00756DA1">
        <w:rPr>
          <w:rFonts w:ascii="Arial" w:hAnsi="Arial" w:cs="Times New Roman" w:hint="eastAsia"/>
          <w:color w:val="000000"/>
          <w:sz w:val="20"/>
          <w:lang w:eastAsia="en-US"/>
        </w:rPr>
        <w:t>, Junpeng Sun</w:t>
      </w:r>
      <w:r w:rsidRPr="00756DA1">
        <w:rPr>
          <w:rFonts w:ascii="Arial" w:hAnsi="Arial" w:cs="Times New Roman"/>
          <w:color w:val="000000"/>
          <w:sz w:val="20"/>
          <w:vertAlign w:val="superscript"/>
          <w:lang w:eastAsia="en-US"/>
        </w:rPr>
        <w:t>2,4</w:t>
      </w:r>
      <w:r w:rsidRPr="00756DA1">
        <w:rPr>
          <w:rFonts w:ascii="Arial" w:hAnsi="Arial" w:cs="Times New Roman" w:hint="eastAsia"/>
          <w:color w:val="000000"/>
          <w:sz w:val="20"/>
          <w:lang w:eastAsia="en-US"/>
        </w:rPr>
        <w:t>, Jiaqun Du</w:t>
      </w:r>
      <w:r w:rsidRPr="00756DA1">
        <w:rPr>
          <w:rFonts w:ascii="Arial" w:hAnsi="Arial" w:cs="Times New Roman"/>
          <w:color w:val="000000"/>
          <w:sz w:val="20"/>
          <w:vertAlign w:val="superscript"/>
          <w:lang w:eastAsia="en-US"/>
        </w:rPr>
        <w:t>2,4</w:t>
      </w:r>
      <w:r w:rsidRPr="00756DA1">
        <w:rPr>
          <w:rFonts w:ascii="Arial" w:hAnsi="Arial" w:cs="Times New Roman" w:hint="eastAsia"/>
          <w:color w:val="000000"/>
          <w:sz w:val="20"/>
          <w:lang w:eastAsia="en-US"/>
        </w:rPr>
        <w:t>, Xiaobang Liu</w:t>
      </w:r>
      <w:r w:rsidRPr="00756DA1">
        <w:rPr>
          <w:rFonts w:ascii="Arial" w:hAnsi="Arial" w:cs="Times New Roman"/>
          <w:color w:val="000000"/>
          <w:sz w:val="20"/>
          <w:vertAlign w:val="superscript"/>
          <w:lang w:eastAsia="en-US"/>
        </w:rPr>
        <w:t>2,4</w:t>
      </w:r>
      <w:r w:rsidRPr="00756DA1">
        <w:rPr>
          <w:rFonts w:ascii="Arial" w:hAnsi="Arial" w:cs="Times New Roman" w:hint="eastAsia"/>
          <w:color w:val="000000"/>
          <w:sz w:val="20"/>
          <w:lang w:eastAsia="en-US"/>
        </w:rPr>
        <w:t>, Ying Xiong</w:t>
      </w:r>
      <w:r w:rsidRPr="00756DA1">
        <w:rPr>
          <w:rFonts w:ascii="Arial" w:hAnsi="Arial" w:cs="Times New Roman"/>
          <w:color w:val="000000"/>
          <w:sz w:val="20"/>
          <w:vertAlign w:val="superscript"/>
          <w:lang w:eastAsia="en-US"/>
        </w:rPr>
        <w:t>5</w:t>
      </w:r>
      <w:r w:rsidRPr="00756DA1">
        <w:rPr>
          <w:rFonts w:ascii="Arial" w:hAnsi="Arial" w:cs="Times New Roman" w:hint="eastAsia"/>
          <w:color w:val="000000"/>
          <w:sz w:val="20"/>
          <w:lang w:eastAsia="en-US"/>
        </w:rPr>
        <w:t>, Liqing Chen</w:t>
      </w:r>
      <w:r w:rsidRPr="00756DA1">
        <w:rPr>
          <w:rFonts w:ascii="Arial" w:hAnsi="Arial" w:cs="Times New Roman"/>
          <w:color w:val="000000"/>
          <w:sz w:val="20"/>
          <w:vertAlign w:val="superscript"/>
          <w:lang w:eastAsia="en-US"/>
        </w:rPr>
        <w:t>6</w:t>
      </w:r>
      <w:r w:rsidRPr="00756DA1">
        <w:rPr>
          <w:rFonts w:ascii="Arial" w:hAnsi="Arial" w:cs="Times New Roman" w:hint="eastAsia"/>
          <w:color w:val="000000"/>
          <w:sz w:val="20"/>
          <w:lang w:eastAsia="en-US"/>
        </w:rPr>
        <w:t xml:space="preserve">, </w:t>
      </w:r>
      <w:r w:rsidRPr="00756DA1">
        <w:rPr>
          <w:rFonts w:ascii="Arial" w:hAnsi="Arial" w:cs="Times New Roman"/>
          <w:color w:val="000000"/>
          <w:sz w:val="20"/>
          <w:lang w:eastAsia="en-US"/>
        </w:rPr>
        <w:t>Chang Liu</w:t>
      </w:r>
      <w:r w:rsidRPr="00756DA1">
        <w:rPr>
          <w:rFonts w:ascii="Arial" w:hAnsi="Arial" w:cs="Times New Roman"/>
          <w:color w:val="000000"/>
          <w:sz w:val="20"/>
          <w:vertAlign w:val="superscript"/>
          <w:lang w:eastAsia="en-US"/>
        </w:rPr>
        <w:t>3,6</w:t>
      </w:r>
      <w:r w:rsidRPr="00756DA1">
        <w:rPr>
          <w:rFonts w:ascii="Arial" w:hAnsi="Arial" w:cs="Times New Roman"/>
          <w:color w:val="000000"/>
          <w:sz w:val="20"/>
          <w:lang w:eastAsia="en-US"/>
        </w:rPr>
        <w:t>,</w:t>
      </w:r>
      <w:r w:rsidRPr="00756DA1">
        <w:rPr>
          <w:rFonts w:ascii="Arial" w:hAnsi="Arial" w:cs="Times New Roman" w:hint="eastAsia"/>
          <w:color w:val="000000"/>
          <w:sz w:val="20"/>
        </w:rPr>
        <w:t xml:space="preserve"> </w:t>
      </w:r>
      <w:r w:rsidRPr="00756DA1">
        <w:rPr>
          <w:rFonts w:ascii="Arial" w:hAnsi="Arial" w:cs="Times New Roman"/>
          <w:color w:val="000000"/>
          <w:sz w:val="20"/>
          <w:lang w:eastAsia="en-US"/>
        </w:rPr>
        <w:t>Chao Wu</w:t>
      </w:r>
      <w:r w:rsidRPr="00756DA1">
        <w:rPr>
          <w:rFonts w:ascii="Arial" w:hAnsi="Arial" w:cs="Times New Roman"/>
          <w:color w:val="000000"/>
          <w:sz w:val="20"/>
          <w:vertAlign w:val="superscript"/>
          <w:lang w:eastAsia="en-US"/>
        </w:rPr>
        <w:t>2,4</w:t>
      </w:r>
      <w:r w:rsidRPr="00756DA1">
        <w:rPr>
          <w:rFonts w:ascii="Arial" w:hAnsi="Arial" w:cs="Times New Roman"/>
          <w:color w:val="000000"/>
          <w:sz w:val="20"/>
          <w:lang w:eastAsia="en-US"/>
        </w:rPr>
        <w:t>, He Tian</w:t>
      </w:r>
      <w:r w:rsidRPr="00756DA1">
        <w:rPr>
          <w:rFonts w:ascii="Arial" w:hAnsi="Arial" w:cs="Times New Roman"/>
          <w:color w:val="000000"/>
          <w:sz w:val="20"/>
          <w:vertAlign w:val="superscript"/>
          <w:lang w:eastAsia="en-US"/>
        </w:rPr>
        <w:t>1</w:t>
      </w:r>
      <w:r w:rsidRPr="00756DA1">
        <w:rPr>
          <w:rFonts w:ascii="Arial" w:hAnsi="Arial" w:cs="Times New Roman" w:hint="eastAsia"/>
          <w:color w:val="000000"/>
          <w:sz w:val="20"/>
          <w:vertAlign w:val="superscript"/>
          <w:lang w:eastAsia="en-US"/>
        </w:rPr>
        <w:t>,</w:t>
      </w:r>
      <w:r w:rsidRPr="00756DA1">
        <w:rPr>
          <w:rFonts w:ascii="Arial" w:hAnsi="Arial" w:cs="Times New Roman"/>
          <w:color w:val="000000"/>
          <w:sz w:val="20"/>
          <w:vertAlign w:val="superscript"/>
          <w:lang w:eastAsia="en-US"/>
        </w:rPr>
        <w:t>2,3</w:t>
      </w:r>
      <w:bookmarkEnd w:id="4"/>
    </w:p>
    <w:p w14:paraId="12663E35" w14:textId="77777777" w:rsidR="006A658B" w:rsidRPr="00756DA1" w:rsidRDefault="006A658B">
      <w:pPr>
        <w:widowControl/>
        <w:rPr>
          <w:rFonts w:ascii="Arial" w:hAnsi="Arial" w:cs="Times New Roman"/>
          <w:color w:val="000000"/>
          <w:sz w:val="20"/>
          <w:vertAlign w:val="superscript"/>
          <w:lang w:eastAsia="en-US"/>
        </w:rPr>
      </w:pPr>
    </w:p>
    <w:p w14:paraId="776D21BC" w14:textId="77777777" w:rsidR="006A658B" w:rsidRPr="00756DA1" w:rsidRDefault="00756DA1">
      <w:pPr>
        <w:widowControl/>
        <w:spacing w:line="480" w:lineRule="auto"/>
        <w:rPr>
          <w:rFonts w:ascii="Arial" w:hAnsi="Arial" w:cs="Times New Roman"/>
          <w:color w:val="000000"/>
          <w:sz w:val="20"/>
          <w:lang w:eastAsia="en-US"/>
        </w:rPr>
      </w:pPr>
      <w:r w:rsidRPr="00756DA1">
        <w:rPr>
          <w:rFonts w:ascii="Arial" w:hAnsi="Arial" w:cs="Times New Roman"/>
          <w:color w:val="000000"/>
          <w:sz w:val="20"/>
          <w:vertAlign w:val="superscript"/>
          <w:lang w:eastAsia="en-US"/>
        </w:rPr>
        <w:t>1</w:t>
      </w:r>
      <w:r w:rsidRPr="00756DA1">
        <w:rPr>
          <w:rFonts w:ascii="Arial" w:hAnsi="Arial" w:cs="Times New Roman"/>
          <w:color w:val="000000"/>
          <w:sz w:val="20"/>
          <w:lang w:eastAsia="en-US"/>
        </w:rPr>
        <w:t>School of Basic Medicine, Jinzhou Medical University, Jinzhou, Liaoning, 121001, China</w:t>
      </w:r>
    </w:p>
    <w:p w14:paraId="30B42920" w14:textId="77777777" w:rsidR="006A658B" w:rsidRPr="00756DA1" w:rsidRDefault="00756DA1">
      <w:pPr>
        <w:widowControl/>
        <w:spacing w:line="480" w:lineRule="auto"/>
        <w:rPr>
          <w:rFonts w:ascii="Arial" w:hAnsi="Arial" w:cs="Times New Roman"/>
          <w:color w:val="000000"/>
          <w:sz w:val="20"/>
          <w:lang w:eastAsia="en-US"/>
        </w:rPr>
      </w:pPr>
      <w:r w:rsidRPr="00756DA1">
        <w:rPr>
          <w:rFonts w:ascii="Arial" w:hAnsi="Arial" w:cs="Times New Roman"/>
          <w:color w:val="000000"/>
          <w:sz w:val="20"/>
          <w:vertAlign w:val="superscript"/>
          <w:lang w:eastAsia="en-US"/>
        </w:rPr>
        <w:t>2</w:t>
      </w:r>
      <w:r w:rsidRPr="00756DA1">
        <w:rPr>
          <w:rFonts w:ascii="Arial" w:hAnsi="Arial" w:cs="Times New Roman"/>
          <w:color w:val="000000"/>
          <w:sz w:val="20"/>
          <w:lang w:eastAsia="en-US"/>
        </w:rPr>
        <w:t xml:space="preserve">Liaoning Provincial Collaborative Innovation Center for Medical Testing and Drug Research, Jinzhou Medical </w:t>
      </w:r>
      <w:r w:rsidRPr="00756DA1">
        <w:rPr>
          <w:rFonts w:ascii="Arial" w:hAnsi="Arial" w:cs="Times New Roman"/>
          <w:color w:val="000000"/>
          <w:sz w:val="20"/>
          <w:lang w:eastAsia="en-US"/>
        </w:rPr>
        <w:t>University, Jinzhou, Liaoning, 121001, China</w:t>
      </w:r>
    </w:p>
    <w:p w14:paraId="0A9A85F9" w14:textId="77777777" w:rsidR="006A658B" w:rsidRPr="00756DA1" w:rsidRDefault="00756DA1">
      <w:pPr>
        <w:widowControl/>
        <w:spacing w:line="480" w:lineRule="auto"/>
        <w:rPr>
          <w:rFonts w:ascii="Arial" w:hAnsi="Arial" w:cs="Times New Roman"/>
          <w:color w:val="000000"/>
          <w:sz w:val="20"/>
          <w:lang w:eastAsia="en-US"/>
        </w:rPr>
      </w:pPr>
      <w:r w:rsidRPr="00756DA1">
        <w:rPr>
          <w:rFonts w:ascii="Arial" w:hAnsi="Arial" w:cs="Times New Roman"/>
          <w:color w:val="000000"/>
          <w:sz w:val="20"/>
          <w:vertAlign w:val="superscript"/>
          <w:lang w:eastAsia="en-US"/>
        </w:rPr>
        <w:t>3</w:t>
      </w:r>
      <w:r w:rsidRPr="00756DA1">
        <w:rPr>
          <w:rFonts w:ascii="Arial" w:hAnsi="Arial" w:cs="Times New Roman"/>
          <w:color w:val="000000"/>
          <w:sz w:val="20"/>
          <w:lang w:eastAsia="en-US"/>
        </w:rPr>
        <w:t>Key Laboratory of Medical Tissue Engineering of Liaoning Province, Jinzhou Medical University, Jinzhou, Liaoning, 121001, China</w:t>
      </w:r>
    </w:p>
    <w:p w14:paraId="651250A9" w14:textId="77777777" w:rsidR="006A658B" w:rsidRPr="00756DA1" w:rsidRDefault="00756DA1">
      <w:pPr>
        <w:widowControl/>
        <w:spacing w:line="480" w:lineRule="auto"/>
        <w:rPr>
          <w:rFonts w:ascii="Arial" w:hAnsi="Arial" w:cs="Times New Roman"/>
          <w:color w:val="000000"/>
          <w:sz w:val="20"/>
          <w:lang w:eastAsia="en-US"/>
        </w:rPr>
      </w:pPr>
      <w:r w:rsidRPr="00756DA1">
        <w:rPr>
          <w:rFonts w:ascii="Arial" w:hAnsi="Arial" w:cs="Times New Roman"/>
          <w:color w:val="000000"/>
          <w:sz w:val="20"/>
          <w:vertAlign w:val="superscript"/>
          <w:lang w:eastAsia="en-US"/>
        </w:rPr>
        <w:t>4</w:t>
      </w:r>
      <w:r w:rsidRPr="00756DA1">
        <w:rPr>
          <w:rFonts w:ascii="Arial" w:hAnsi="Arial" w:cs="Times New Roman"/>
          <w:color w:val="000000"/>
          <w:sz w:val="20"/>
          <w:lang w:eastAsia="en-US"/>
        </w:rPr>
        <w:t>Pharmacy School, Jinzhou Medical University, Jinzhou, Liaoning, 121001, China</w:t>
      </w:r>
    </w:p>
    <w:p w14:paraId="0AAD4DDF" w14:textId="77777777" w:rsidR="006A658B" w:rsidRPr="00756DA1" w:rsidRDefault="00756DA1">
      <w:pPr>
        <w:widowControl/>
        <w:spacing w:line="480" w:lineRule="auto"/>
        <w:rPr>
          <w:rFonts w:ascii="Arial" w:hAnsi="Arial" w:cs="Times New Roman"/>
          <w:color w:val="000000"/>
          <w:sz w:val="20"/>
          <w:lang w:eastAsia="en-US"/>
        </w:rPr>
      </w:pPr>
      <w:r w:rsidRPr="00756DA1">
        <w:rPr>
          <w:rFonts w:ascii="Arial" w:hAnsi="Arial" w:cs="Times New Roman"/>
          <w:color w:val="000000"/>
          <w:sz w:val="20"/>
          <w:vertAlign w:val="superscript"/>
          <w:lang w:eastAsia="en-US"/>
        </w:rPr>
        <w:t>5</w:t>
      </w:r>
      <w:r w:rsidRPr="00756DA1">
        <w:rPr>
          <w:rFonts w:ascii="Arial" w:hAnsi="Arial" w:cs="Times New Roman" w:hint="eastAsia"/>
          <w:color w:val="000000"/>
          <w:sz w:val="20"/>
          <w:lang w:eastAsia="en-US"/>
        </w:rPr>
        <w:t>Laboratoire Catalyse et Spectrochimie (LCS), Normandie Université, ENSICAEN, UNICAEN, CNRS, 14050, Caen, France</w:t>
      </w:r>
    </w:p>
    <w:p w14:paraId="35911BC2" w14:textId="77777777" w:rsidR="006A658B" w:rsidRPr="00756DA1" w:rsidRDefault="00756DA1">
      <w:pPr>
        <w:widowControl/>
        <w:spacing w:line="480" w:lineRule="auto"/>
        <w:rPr>
          <w:rFonts w:ascii="Arial" w:hAnsi="Arial" w:cs="Times New Roman"/>
          <w:color w:val="000000"/>
          <w:sz w:val="20"/>
          <w:lang w:eastAsia="en-US"/>
        </w:rPr>
      </w:pPr>
      <w:r w:rsidRPr="00756DA1">
        <w:rPr>
          <w:rFonts w:ascii="Arial" w:hAnsi="Arial" w:cs="Times New Roman"/>
          <w:color w:val="000000"/>
          <w:sz w:val="20"/>
          <w:vertAlign w:val="superscript"/>
          <w:lang w:eastAsia="en-US"/>
        </w:rPr>
        <w:t>6</w:t>
      </w:r>
      <w:r w:rsidRPr="00756DA1">
        <w:rPr>
          <w:rFonts w:ascii="Arial" w:hAnsi="Arial" w:cs="Times New Roman" w:hint="eastAsia"/>
          <w:color w:val="000000"/>
          <w:sz w:val="20"/>
          <w:lang w:eastAsia="en-US"/>
        </w:rPr>
        <w:t>Department of Endocrinology, The First Affiliated Hospital of Jinzhou Medical University, Jinzhou, Liaoning, 121</w:t>
      </w:r>
      <w:r w:rsidRPr="00756DA1">
        <w:rPr>
          <w:rFonts w:ascii="Arial" w:hAnsi="Arial" w:cs="Times New Roman"/>
          <w:color w:val="000000"/>
          <w:sz w:val="20"/>
          <w:lang w:eastAsia="en-US"/>
        </w:rPr>
        <w:t>000</w:t>
      </w:r>
      <w:r w:rsidRPr="00756DA1">
        <w:rPr>
          <w:rFonts w:ascii="Arial" w:hAnsi="Arial" w:cs="Times New Roman" w:hint="eastAsia"/>
          <w:color w:val="000000"/>
          <w:sz w:val="20"/>
          <w:lang w:eastAsia="en-US"/>
        </w:rPr>
        <w:t>, China</w:t>
      </w:r>
    </w:p>
    <w:p w14:paraId="1AE2C0B7" w14:textId="77777777" w:rsidR="006A658B" w:rsidRPr="00756DA1" w:rsidRDefault="006A658B">
      <w:pPr>
        <w:rPr>
          <w:color w:val="000000"/>
        </w:rPr>
      </w:pPr>
    </w:p>
    <w:p w14:paraId="0807DACA" w14:textId="77777777" w:rsidR="006A658B" w:rsidRPr="00756DA1" w:rsidRDefault="006A658B">
      <w:pPr>
        <w:rPr>
          <w:color w:val="000000"/>
        </w:rPr>
      </w:pPr>
    </w:p>
    <w:p w14:paraId="3061349A" w14:textId="77777777" w:rsidR="006A658B" w:rsidRPr="00756DA1" w:rsidRDefault="006A658B">
      <w:pPr>
        <w:rPr>
          <w:color w:val="000000"/>
        </w:rPr>
      </w:pPr>
    </w:p>
    <w:p w14:paraId="1C2BBAC9" w14:textId="77777777" w:rsidR="006A658B" w:rsidRPr="00756DA1" w:rsidRDefault="00756DA1">
      <w:pPr>
        <w:widowControl/>
        <w:spacing w:line="360" w:lineRule="auto"/>
        <w:jc w:val="left"/>
        <w:rPr>
          <w:rFonts w:ascii="Arial" w:hAnsi="Arial" w:cs="Times New Roman"/>
          <w:color w:val="000000"/>
          <w:sz w:val="20"/>
          <w:lang w:eastAsia="en-US"/>
        </w:rPr>
      </w:pPr>
      <w:r w:rsidRPr="00756DA1">
        <w:rPr>
          <w:rFonts w:ascii="Arial" w:hAnsi="Arial" w:cs="Times New Roman" w:hint="eastAsia"/>
          <w:color w:val="000000"/>
          <w:sz w:val="20"/>
          <w:lang w:eastAsia="en-US"/>
        </w:rPr>
        <w:t xml:space="preserve">Correspondence: </w:t>
      </w:r>
    </w:p>
    <w:p w14:paraId="54A96565" w14:textId="77777777" w:rsidR="006A658B" w:rsidRPr="00756DA1" w:rsidRDefault="00756DA1">
      <w:pPr>
        <w:widowControl/>
        <w:spacing w:line="360" w:lineRule="auto"/>
        <w:jc w:val="left"/>
        <w:rPr>
          <w:rFonts w:ascii="Arial" w:hAnsi="Arial" w:cs="Times New Roman"/>
          <w:color w:val="000000"/>
          <w:sz w:val="20"/>
        </w:rPr>
      </w:pPr>
      <w:r w:rsidRPr="00756DA1">
        <w:rPr>
          <w:rFonts w:ascii="Arial" w:hAnsi="Arial" w:cs="Times New Roman" w:hint="eastAsia"/>
          <w:color w:val="000000"/>
          <w:sz w:val="20"/>
          <w:lang w:eastAsia="en-US"/>
        </w:rPr>
        <w:t>He Tian</w:t>
      </w:r>
      <w:r w:rsidRPr="00756DA1">
        <w:rPr>
          <w:rFonts w:ascii="Arial" w:hAnsi="Arial" w:cs="Times New Roman" w:hint="eastAsia"/>
          <w:color w:val="000000"/>
          <w:sz w:val="20"/>
        </w:rPr>
        <w:t xml:space="preserve">, </w:t>
      </w:r>
      <w:r w:rsidRPr="00756DA1">
        <w:rPr>
          <w:rFonts w:ascii="Arial" w:hAnsi="Arial" w:cs="Times New Roman" w:hint="eastAsia"/>
          <w:color w:val="000000"/>
          <w:sz w:val="20"/>
          <w:lang w:eastAsia="en-US"/>
        </w:rPr>
        <w:t>tianhe@jzmu.edu.cn</w:t>
      </w:r>
      <w:r w:rsidRPr="00756DA1">
        <w:rPr>
          <w:rFonts w:ascii="Arial" w:hAnsi="Arial" w:cs="Times New Roman" w:hint="eastAsia"/>
          <w:color w:val="000000"/>
          <w:sz w:val="20"/>
        </w:rPr>
        <w:t xml:space="preserve">. </w:t>
      </w:r>
    </w:p>
    <w:p w14:paraId="01A3AC43" w14:textId="77777777" w:rsidR="006A658B" w:rsidRPr="00756DA1" w:rsidRDefault="00756DA1">
      <w:pPr>
        <w:widowControl/>
        <w:spacing w:line="360" w:lineRule="auto"/>
        <w:jc w:val="left"/>
        <w:rPr>
          <w:rFonts w:ascii="Arial" w:hAnsi="Arial" w:cs="Times New Roman"/>
          <w:color w:val="000000"/>
          <w:sz w:val="20"/>
          <w:lang w:eastAsia="en-US"/>
        </w:rPr>
      </w:pPr>
      <w:r w:rsidRPr="00756DA1">
        <w:rPr>
          <w:rFonts w:ascii="Arial" w:hAnsi="Arial" w:cs="Times New Roman" w:hint="eastAsia"/>
          <w:color w:val="000000"/>
          <w:sz w:val="20"/>
          <w:lang w:eastAsia="en-US"/>
        </w:rPr>
        <w:t>Chao Wu</w:t>
      </w:r>
      <w:r w:rsidRPr="00756DA1">
        <w:rPr>
          <w:rFonts w:ascii="Arial" w:hAnsi="Arial" w:cs="Times New Roman" w:hint="eastAsia"/>
          <w:color w:val="000000"/>
          <w:sz w:val="20"/>
        </w:rPr>
        <w:t xml:space="preserve">, </w:t>
      </w:r>
      <w:r w:rsidRPr="00756DA1">
        <w:rPr>
          <w:rFonts w:ascii="Arial" w:hAnsi="Arial" w:cs="Times New Roman" w:hint="eastAsia"/>
          <w:color w:val="000000"/>
          <w:sz w:val="20"/>
          <w:lang w:eastAsia="en-US"/>
        </w:rPr>
        <w:t>wuchao@jzmu.edu.cn.</w:t>
      </w:r>
    </w:p>
    <w:p w14:paraId="7F142E46" w14:textId="77777777" w:rsidR="006A658B" w:rsidRPr="00756DA1" w:rsidRDefault="006A658B">
      <w:pPr>
        <w:widowControl/>
        <w:spacing w:line="360" w:lineRule="auto"/>
        <w:jc w:val="left"/>
        <w:rPr>
          <w:rFonts w:ascii="Arial" w:hAnsi="Arial" w:cs="Times New Roman"/>
          <w:color w:val="000000"/>
          <w:sz w:val="20"/>
          <w:lang w:eastAsia="en-US"/>
        </w:rPr>
      </w:pPr>
    </w:p>
    <w:p w14:paraId="44402C84" w14:textId="77777777" w:rsidR="006A658B" w:rsidRPr="00756DA1" w:rsidRDefault="006A658B">
      <w:pPr>
        <w:widowControl/>
        <w:spacing w:line="360" w:lineRule="auto"/>
        <w:jc w:val="left"/>
        <w:rPr>
          <w:rFonts w:ascii="Arial" w:hAnsi="Arial" w:cs="Times New Roman"/>
          <w:color w:val="000000"/>
          <w:sz w:val="20"/>
          <w:lang w:eastAsia="en-US"/>
        </w:rPr>
      </w:pPr>
    </w:p>
    <w:p w14:paraId="6CF89759" w14:textId="77777777" w:rsidR="006A658B" w:rsidRPr="00756DA1" w:rsidRDefault="00756DA1">
      <w:pPr>
        <w:adjustRightInd w:val="0"/>
        <w:snapToGrid w:val="0"/>
        <w:spacing w:line="480" w:lineRule="auto"/>
        <w:rPr>
          <w:rFonts w:ascii="Arial" w:eastAsia="SimSun" w:hAnsi="Arial" w:cs="Times New Roman"/>
          <w:b/>
          <w:bCs/>
          <w:color w:val="000000"/>
          <w:sz w:val="32"/>
          <w:szCs w:val="32"/>
        </w:rPr>
      </w:pPr>
      <w:r w:rsidRPr="00756DA1">
        <w:rPr>
          <w:rFonts w:ascii="Arial" w:eastAsia="SimSun" w:hAnsi="Arial" w:cs="Times New Roman"/>
          <w:b/>
          <w:bCs/>
          <w:color w:val="000000"/>
          <w:sz w:val="32"/>
          <w:szCs w:val="32"/>
        </w:rPr>
        <w:lastRenderedPageBreak/>
        <w:t xml:space="preserve">Supplementary Material </w:t>
      </w:r>
      <w:r w:rsidRPr="00756DA1">
        <w:rPr>
          <w:rFonts w:ascii="Arial" w:hAnsi="Arial" w:cs="Times New Roman" w:hint="eastAsia"/>
          <w:b/>
          <w:bCs/>
          <w:color w:val="000000"/>
          <w:sz w:val="32"/>
          <w:szCs w:val="32"/>
        </w:rPr>
        <w:t>1</w:t>
      </w:r>
      <w:r w:rsidRPr="00756DA1">
        <w:rPr>
          <w:rFonts w:ascii="Arial" w:eastAsia="SimSun" w:hAnsi="Arial" w:cs="Times New Roman"/>
          <w:b/>
          <w:bCs/>
          <w:color w:val="000000"/>
          <w:sz w:val="32"/>
          <w:szCs w:val="32"/>
        </w:rPr>
        <w:t>:</w:t>
      </w:r>
    </w:p>
    <w:p w14:paraId="17D3118B"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b/>
          <w:bCs/>
          <w:color w:val="000000"/>
          <w:sz w:val="26"/>
          <w:szCs w:val="26"/>
          <w:lang w:eastAsia="en-US"/>
        </w:rPr>
        <w:t xml:space="preserve">Characterization </w:t>
      </w:r>
    </w:p>
    <w:p w14:paraId="1754BDAB" w14:textId="77777777" w:rsidR="006A658B" w:rsidRPr="00756DA1" w:rsidRDefault="00756DA1">
      <w:pPr>
        <w:adjustRightInd w:val="0"/>
        <w:snapToGrid w:val="0"/>
        <w:spacing w:line="480" w:lineRule="auto"/>
        <w:rPr>
          <w:rFonts w:ascii="Arial" w:hAnsi="Arial" w:cs="Arial"/>
          <w:bCs/>
          <w:color w:val="000000"/>
          <w:sz w:val="20"/>
          <w:lang w:eastAsia="en-US"/>
        </w:rPr>
      </w:pPr>
      <w:r w:rsidRPr="00756DA1">
        <w:rPr>
          <w:rFonts w:ascii="Arial" w:hAnsi="Arial" w:cs="Arial"/>
          <w:bCs/>
          <w:color w:val="000000"/>
          <w:sz w:val="20"/>
          <w:lang w:eastAsia="en-US"/>
        </w:rPr>
        <w:t xml:space="preserve">The morphology and structure of the material were determined using transmission electron microscopy (TEM) (Tecnai G2F30, FEI, USA). The zeta </w:t>
      </w:r>
      <w:r w:rsidRPr="00756DA1">
        <w:rPr>
          <w:rFonts w:ascii="Arial" w:hAnsi="Arial" w:cs="Arial"/>
          <w:bCs/>
          <w:color w:val="000000"/>
          <w:sz w:val="20"/>
          <w:lang w:eastAsia="en-US"/>
        </w:rPr>
        <w:t>potential and particle size of the synthesized nanoparticles were determined using a Zetasizer Nano ZS (Malvern Instruments, Malvern, UK). The major elements in the MC were characterized using scanning electron microscopy and energy dispersive X-ray spectroscopy (EDS) as well as X-ray photoelectron spectroscopy (XPS) (Bruker Nano GmbH Berlin</w:t>
      </w:r>
      <w:r w:rsidRPr="00756DA1">
        <w:rPr>
          <w:rFonts w:ascii="Arial" w:hAnsi="Arial" w:cs="Arial"/>
          <w:bCs/>
          <w:color w:val="000000"/>
          <w:sz w:val="20"/>
          <w:lang w:eastAsia="en-US"/>
        </w:rPr>
        <w:t>，</w:t>
      </w:r>
      <w:r w:rsidRPr="00756DA1">
        <w:rPr>
          <w:rFonts w:ascii="Arial" w:hAnsi="Arial" w:cs="Arial"/>
          <w:bCs/>
          <w:color w:val="000000"/>
          <w:sz w:val="20"/>
          <w:lang w:eastAsia="en-US"/>
        </w:rPr>
        <w:t>Germany). The materials and state of the drug in the materials were observed using differential scanning calorimetry (DSC</w:t>
      </w:r>
      <w:r w:rsidRPr="00756DA1">
        <w:rPr>
          <w:rFonts w:ascii="Arial" w:hAnsi="Arial" w:cs="Arial"/>
          <w:bCs/>
          <w:color w:val="000000"/>
          <w:sz w:val="20"/>
          <w:lang w:eastAsia="en-US"/>
        </w:rPr>
        <w:t>，</w:t>
      </w:r>
      <w:r w:rsidRPr="00756DA1">
        <w:rPr>
          <w:rFonts w:ascii="Arial" w:hAnsi="Arial" w:cs="Arial"/>
          <w:bCs/>
          <w:color w:val="000000"/>
          <w:sz w:val="20"/>
          <w:lang w:eastAsia="en-US"/>
        </w:rPr>
        <w:t>Shimadzu</w:t>
      </w:r>
      <w:r w:rsidRPr="00756DA1">
        <w:rPr>
          <w:rFonts w:ascii="Arial" w:hAnsi="Arial" w:cs="Arial"/>
          <w:bCs/>
          <w:color w:val="000000"/>
          <w:sz w:val="20"/>
          <w:lang w:eastAsia="en-US"/>
        </w:rPr>
        <w:t>，</w:t>
      </w:r>
      <w:r w:rsidRPr="00756DA1">
        <w:rPr>
          <w:rFonts w:ascii="Arial" w:hAnsi="Arial" w:cs="Arial"/>
          <w:bCs/>
          <w:color w:val="000000"/>
          <w:sz w:val="20"/>
          <w:lang w:eastAsia="en-US"/>
        </w:rPr>
        <w:t>Inc. Japan) and X-ray diffraction (XR</w:t>
      </w:r>
      <w:r w:rsidRPr="00756DA1">
        <w:rPr>
          <w:rFonts w:ascii="Arial" w:hAnsi="Arial" w:cs="Arial"/>
          <w:bCs/>
          <w:color w:val="000000"/>
          <w:sz w:val="20"/>
          <w:lang w:eastAsia="en-US"/>
        </w:rPr>
        <w:t>D</w:t>
      </w:r>
      <w:r w:rsidRPr="00756DA1">
        <w:rPr>
          <w:rFonts w:ascii="Arial" w:hAnsi="Arial" w:cs="Arial"/>
          <w:bCs/>
          <w:color w:val="000000"/>
          <w:sz w:val="20"/>
          <w:lang w:eastAsia="en-US"/>
        </w:rPr>
        <w:t>，</w:t>
      </w:r>
      <w:r w:rsidRPr="00756DA1">
        <w:rPr>
          <w:rFonts w:ascii="Arial" w:hAnsi="Arial" w:cs="Arial"/>
          <w:bCs/>
          <w:color w:val="000000"/>
          <w:sz w:val="20"/>
          <w:lang w:eastAsia="en-US"/>
        </w:rPr>
        <w:t>Rigaku Denki</w:t>
      </w:r>
      <w:r w:rsidRPr="00756DA1">
        <w:rPr>
          <w:rFonts w:ascii="Arial" w:hAnsi="Arial" w:cs="Arial"/>
          <w:bCs/>
          <w:color w:val="000000"/>
          <w:sz w:val="20"/>
          <w:lang w:eastAsia="en-US"/>
        </w:rPr>
        <w:t>，</w:t>
      </w:r>
      <w:r w:rsidRPr="00756DA1">
        <w:rPr>
          <w:rFonts w:ascii="Arial" w:hAnsi="Arial" w:cs="Arial"/>
          <w:bCs/>
          <w:color w:val="000000"/>
          <w:sz w:val="20"/>
          <w:lang w:eastAsia="en-US"/>
        </w:rPr>
        <w:t>Japan).</w:t>
      </w:r>
    </w:p>
    <w:p w14:paraId="28FCF721"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2</w:t>
      </w:r>
      <w:r w:rsidRPr="00756DA1">
        <w:rPr>
          <w:rFonts w:ascii="Arial" w:eastAsia="SimSun" w:hAnsi="Arial" w:cs="Times New Roman"/>
          <w:b/>
          <w:bCs/>
          <w:color w:val="000000"/>
          <w:sz w:val="32"/>
          <w:szCs w:val="32"/>
        </w:rPr>
        <w:t>:</w:t>
      </w:r>
    </w:p>
    <w:p w14:paraId="0BA174B3"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b/>
          <w:bCs/>
          <w:color w:val="000000"/>
          <w:sz w:val="26"/>
          <w:szCs w:val="26"/>
          <w:lang w:eastAsia="en-US"/>
        </w:rPr>
        <w:t>Pharmacokinetic test</w:t>
      </w:r>
    </w:p>
    <w:p w14:paraId="4C06A3FC"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SD rats (180–220 g) were and injected with LMC-RES and RES suspension (equivalent to 25 mg/kg RES) via the tail vein. After administration, 1 mL of blood was collected from the fundic venous plexus at a predetermined time, and plasma was obtained by centrifugation and stored at -80°C. Plasma was mixed with root cortin internal standard solution (4 mg/mL) and methanol. The mixed solution was spun, shaken for 3 min, and then centrifuged at 10,000 rpm for 10 min at room temperature. The supernatant (20 μL) obt</w:t>
      </w:r>
      <w:r w:rsidRPr="00756DA1">
        <w:rPr>
          <w:rFonts w:ascii="Arial" w:hAnsi="Arial" w:cs="Times New Roman"/>
          <w:bCs/>
          <w:color w:val="000000"/>
          <w:sz w:val="20"/>
          <w:lang w:eastAsia="en-US"/>
        </w:rPr>
        <w:t>ained was analyzed by high performance liquid chromatography. The mobile phase consisted of 40% water and 60% acetonitrile, with a detection wavelength of 306 nm.</w:t>
      </w:r>
    </w:p>
    <w:p w14:paraId="35CDD3CA"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3</w:t>
      </w:r>
      <w:r w:rsidRPr="00756DA1">
        <w:rPr>
          <w:rFonts w:ascii="Arial" w:eastAsia="SimSun" w:hAnsi="Arial" w:cs="Times New Roman"/>
          <w:b/>
          <w:bCs/>
          <w:color w:val="000000"/>
          <w:sz w:val="32"/>
          <w:szCs w:val="32"/>
        </w:rPr>
        <w:t>:</w:t>
      </w:r>
    </w:p>
    <w:p w14:paraId="3442ACAC" w14:textId="77777777" w:rsidR="006A658B" w:rsidRPr="00756DA1" w:rsidRDefault="00756DA1">
      <w:pPr>
        <w:adjustRightInd w:val="0"/>
        <w:snapToGrid w:val="0"/>
        <w:spacing w:line="480" w:lineRule="auto"/>
        <w:rPr>
          <w:rFonts w:cs="Times New Roman"/>
          <w:color w:val="000000"/>
        </w:rPr>
      </w:pPr>
      <w:r w:rsidRPr="00756DA1">
        <w:rPr>
          <w:rFonts w:ascii="Arial" w:hAnsi="Arial"/>
          <w:b/>
          <w:bCs/>
          <w:color w:val="000000"/>
          <w:sz w:val="26"/>
          <w:szCs w:val="26"/>
          <w:lang w:eastAsia="en-US"/>
        </w:rPr>
        <w:t>Hemolysis test</w:t>
      </w:r>
    </w:p>
    <w:p w14:paraId="7CE7167A"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 xml:space="preserve">A hemolysis test was conducted to assess the in vivo safety of MC and LMC. Fresh mouse blood was washed with PBS until the supernatant was not red in color to obtain red blood cells. The red blood cells were </w:t>
      </w:r>
      <w:r w:rsidRPr="00756DA1">
        <w:rPr>
          <w:rFonts w:ascii="Arial" w:hAnsi="Arial" w:cs="Times New Roman"/>
          <w:bCs/>
          <w:color w:val="000000"/>
          <w:sz w:val="20"/>
          <w:lang w:eastAsia="en-US"/>
        </w:rPr>
        <w:t xml:space="preserve">then diluted to 2% (v/v) with PBS. Different concentrations of MC and LMC (200, 400, 600, 800, 1000, 1200, 1400 μg/mL) were mixed with 2% erythrocytes, left for 3 h at room temperature, and then centrifuged at 10,000 r/min for 3 min. Finally, the supernatant </w:t>
      </w:r>
      <w:r w:rsidRPr="00756DA1">
        <w:rPr>
          <w:rFonts w:ascii="Arial" w:hAnsi="Arial" w:cs="Times New Roman"/>
          <w:bCs/>
          <w:color w:val="000000"/>
          <w:sz w:val="20"/>
          <w:lang w:eastAsia="en-US"/>
        </w:rPr>
        <w:lastRenderedPageBreak/>
        <w:t>was transferred to a 96-well plate. The absorbance of the supernatant was measured at 570 nm using a microplate reader, with water and PBS as positive and negative controls, respectively. All experiments were repeated thrice.</w:t>
      </w:r>
    </w:p>
    <w:p w14:paraId="485637E9"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A hemolysis rate greater than 5% was considered as hemolysis.</w:t>
      </w:r>
    </w:p>
    <w:p w14:paraId="2EABCD92" w14:textId="77777777" w:rsidR="006A658B" w:rsidRPr="00756DA1" w:rsidRDefault="00756DA1">
      <w:pPr>
        <w:adjustRightInd w:val="0"/>
        <w:snapToGrid w:val="0"/>
        <w:spacing w:line="480" w:lineRule="auto"/>
        <w:rPr>
          <w:rFonts w:ascii="Arial" w:eastAsia="SimSun" w:hAnsi="Arial" w:cs="Times New Roman"/>
          <w:b/>
          <w:bCs/>
          <w:color w:val="000000"/>
          <w:sz w:val="32"/>
          <w:szCs w:val="32"/>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4</w:t>
      </w:r>
      <w:r w:rsidRPr="00756DA1">
        <w:rPr>
          <w:rFonts w:ascii="Arial" w:eastAsia="SimSun" w:hAnsi="Arial" w:cs="Times New Roman"/>
          <w:b/>
          <w:bCs/>
          <w:color w:val="000000"/>
          <w:sz w:val="32"/>
          <w:szCs w:val="32"/>
        </w:rPr>
        <w:t>:</w:t>
      </w:r>
    </w:p>
    <w:p w14:paraId="0FFA3169" w14:textId="77777777" w:rsidR="006A658B" w:rsidRPr="00756DA1" w:rsidRDefault="00756DA1">
      <w:pPr>
        <w:adjustRightInd w:val="0"/>
        <w:snapToGrid w:val="0"/>
        <w:spacing w:line="480" w:lineRule="auto"/>
        <w:rPr>
          <w:rFonts w:cs="Times New Roman"/>
          <w:b/>
          <w:color w:val="000000"/>
        </w:rPr>
      </w:pPr>
      <w:r w:rsidRPr="00756DA1">
        <w:rPr>
          <w:rFonts w:ascii="Arial" w:hAnsi="Arial"/>
          <w:b/>
          <w:bCs/>
          <w:color w:val="000000"/>
          <w:sz w:val="26"/>
          <w:szCs w:val="26"/>
          <w:lang w:eastAsia="en-US"/>
        </w:rPr>
        <w:t xml:space="preserve">FITC labeling </w:t>
      </w:r>
    </w:p>
    <w:p w14:paraId="0C4634AE" w14:textId="77777777" w:rsidR="006A658B" w:rsidRPr="00756DA1" w:rsidRDefault="00756DA1">
      <w:pPr>
        <w:adjustRightInd w:val="0"/>
        <w:snapToGrid w:val="0"/>
        <w:spacing w:line="480" w:lineRule="auto"/>
        <w:rPr>
          <w:rFonts w:ascii="Arial" w:eastAsia="SimSun" w:hAnsi="Arial" w:cs="Times New Roman"/>
          <w:b/>
          <w:bCs/>
          <w:color w:val="000000"/>
          <w:sz w:val="32"/>
          <w:szCs w:val="32"/>
          <w:lang w:eastAsia="en-US"/>
        </w:rPr>
      </w:pPr>
      <w:r w:rsidRPr="00756DA1">
        <w:rPr>
          <w:rFonts w:ascii="Arial" w:hAnsi="Arial" w:cs="Times New Roman"/>
          <w:bCs/>
          <w:color w:val="000000"/>
          <w:sz w:val="20"/>
          <w:lang w:eastAsia="en-US"/>
        </w:rPr>
        <w:t>MC was amination treated. The carrier was mixed with ethanol solution in a three neck vial and sonicated for 10 min. 2 ml of APTES and 500 mg of dried MC were added to the solution. Samples were stirred at reflux for 10h at 77 °C, centrifuged, and dried to obtain NMC. Next, 100 mg of NMC was dispersed into 1 mg/ml of FITC DMSO solution, centrifuged, and dried to obtain FITC-labeled MC. Then FITC-labeled MC was coated with lactoferrin, centrifuged, and dried to obtain FITC-labeled LMC.</w:t>
      </w:r>
    </w:p>
    <w:p w14:paraId="7C5FBF24"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5</w:t>
      </w:r>
      <w:r w:rsidRPr="00756DA1">
        <w:rPr>
          <w:rFonts w:ascii="Arial" w:eastAsia="SimSun" w:hAnsi="Arial" w:cs="Times New Roman"/>
          <w:b/>
          <w:bCs/>
          <w:color w:val="000000"/>
          <w:sz w:val="32"/>
          <w:szCs w:val="32"/>
        </w:rPr>
        <w:t>:</w:t>
      </w:r>
    </w:p>
    <w:p w14:paraId="0034B04F"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b/>
          <w:bCs/>
          <w:color w:val="000000"/>
          <w:sz w:val="26"/>
          <w:szCs w:val="26"/>
          <w:lang w:eastAsia="en-US"/>
        </w:rPr>
        <w:t>In vitro BBB model and cell uptake</w:t>
      </w:r>
    </w:p>
    <w:p w14:paraId="005C6D4B"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 xml:space="preserve">The uptake of LMC by SH-SY5Y cells was assessed using inverted fluorescence microscopy. We constructed a transwell model to simulate the </w:t>
      </w:r>
      <w:r w:rsidRPr="00756DA1">
        <w:rPr>
          <w:rFonts w:ascii="Arial" w:hAnsi="Arial" w:cs="Times New Roman"/>
          <w:bCs/>
          <w:color w:val="000000"/>
          <w:sz w:val="20"/>
          <w:lang w:eastAsia="en-US"/>
        </w:rPr>
        <w:t>BBB. The bEnd.3 cells were inoculated into the upper chamber to simulate the BBB, and SH-SY5Y cells were placed in a culture dish to simulate brain neurons. FITC-labeled LMC were added to the upper chamber for 12 h of co-culture. Finally, they were examined by inverted fluorescence microscopy.</w:t>
      </w:r>
    </w:p>
    <w:p w14:paraId="74D97843"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6</w:t>
      </w:r>
      <w:r w:rsidRPr="00756DA1">
        <w:rPr>
          <w:rFonts w:ascii="Arial" w:eastAsia="SimSun" w:hAnsi="Arial" w:cs="Times New Roman"/>
          <w:b/>
          <w:bCs/>
          <w:color w:val="000000"/>
          <w:sz w:val="32"/>
          <w:szCs w:val="32"/>
        </w:rPr>
        <w:t>:</w:t>
      </w:r>
    </w:p>
    <w:p w14:paraId="55E79C62" w14:textId="77777777" w:rsidR="006A658B" w:rsidRPr="00756DA1" w:rsidRDefault="00756DA1">
      <w:pPr>
        <w:adjustRightInd w:val="0"/>
        <w:snapToGrid w:val="0"/>
        <w:spacing w:line="480" w:lineRule="auto"/>
        <w:rPr>
          <w:rFonts w:cs="Times New Roman"/>
          <w:b/>
          <w:color w:val="000000"/>
        </w:rPr>
      </w:pPr>
      <w:r w:rsidRPr="00756DA1">
        <w:rPr>
          <w:rFonts w:ascii="Arial" w:hAnsi="Arial"/>
          <w:b/>
          <w:bCs/>
          <w:color w:val="000000"/>
          <w:sz w:val="26"/>
          <w:szCs w:val="26"/>
          <w:lang w:eastAsia="en-US"/>
        </w:rPr>
        <w:t>CCK-8 experiment</w:t>
      </w:r>
    </w:p>
    <w:p w14:paraId="31675210"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cs="Times New Roman"/>
          <w:bCs/>
          <w:color w:val="000000"/>
          <w:sz w:val="20"/>
          <w:lang w:eastAsia="en-US"/>
        </w:rPr>
        <w:t>SH-SY5Y cells were inoculated in 96-well plates until the cell density was about 80%. The cells were incubated with different concentrations of Aβ25-35 for 24h or 48h, respectively. Then LMC at different concentrations was added to co-culture with the cells for 24h. Cell viability was detected with CCK-8.</w:t>
      </w:r>
    </w:p>
    <w:p w14:paraId="63C41051" w14:textId="77777777" w:rsidR="006A658B" w:rsidRPr="00756DA1" w:rsidRDefault="00756DA1">
      <w:pPr>
        <w:adjustRightInd w:val="0"/>
        <w:snapToGrid w:val="0"/>
        <w:spacing w:line="480" w:lineRule="auto"/>
        <w:rPr>
          <w:rFonts w:ascii="Arial" w:eastAsia="SimSun" w:hAnsi="Arial" w:cs="Times New Roman"/>
          <w:b/>
          <w:bCs/>
          <w:color w:val="000000"/>
          <w:sz w:val="32"/>
          <w:szCs w:val="32"/>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7</w:t>
      </w:r>
      <w:r w:rsidRPr="00756DA1">
        <w:rPr>
          <w:rFonts w:ascii="Arial" w:eastAsia="SimSun" w:hAnsi="Arial" w:cs="Times New Roman"/>
          <w:b/>
          <w:bCs/>
          <w:color w:val="000000"/>
          <w:sz w:val="32"/>
          <w:szCs w:val="32"/>
        </w:rPr>
        <w:t>:</w:t>
      </w:r>
    </w:p>
    <w:p w14:paraId="73B2F1D4" w14:textId="77777777" w:rsidR="006A658B" w:rsidRPr="00756DA1" w:rsidRDefault="00756DA1">
      <w:pPr>
        <w:adjustRightInd w:val="0"/>
        <w:snapToGrid w:val="0"/>
        <w:spacing w:line="480" w:lineRule="auto"/>
        <w:rPr>
          <w:rFonts w:cs="Times New Roman"/>
          <w:b/>
          <w:bCs/>
          <w:color w:val="000000"/>
        </w:rPr>
      </w:pPr>
      <w:r w:rsidRPr="00756DA1">
        <w:rPr>
          <w:rFonts w:ascii="Arial" w:hAnsi="Arial"/>
          <w:b/>
          <w:bCs/>
          <w:color w:val="000000"/>
          <w:sz w:val="26"/>
          <w:szCs w:val="26"/>
          <w:lang w:eastAsia="en-US"/>
        </w:rPr>
        <w:t>Preparation of Aβ solution</w:t>
      </w:r>
    </w:p>
    <w:p w14:paraId="32F43C44"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lastRenderedPageBreak/>
        <w:t xml:space="preserve">Solid Aβ peptide was dissolved in cold HFIP and incubated for 2h at </w:t>
      </w:r>
      <w:r w:rsidRPr="00756DA1">
        <w:rPr>
          <w:rFonts w:ascii="Arial" w:hAnsi="Arial" w:cs="Times New Roman"/>
          <w:bCs/>
          <w:color w:val="000000"/>
          <w:sz w:val="20"/>
          <w:lang w:eastAsia="en-US"/>
        </w:rPr>
        <w:t>room temperature. HFIP was removed by evaporation and the resulting film was dissolved in 5 mM DMSO</w:t>
      </w:r>
      <w:r w:rsidRPr="00756DA1">
        <w:rPr>
          <w:rFonts w:ascii="Arial" w:hAnsi="Arial" w:cs="Times New Roman" w:hint="eastAsia"/>
          <w:bCs/>
          <w:color w:val="000000"/>
          <w:sz w:val="20"/>
          <w:lang w:eastAsia="en-US"/>
        </w:rPr>
        <w:t xml:space="preserve"> </w:t>
      </w:r>
      <w:r w:rsidRPr="00756DA1">
        <w:rPr>
          <w:rFonts w:ascii="Arial" w:hAnsi="Arial" w:cs="Times New Roman" w:hint="eastAsia"/>
          <w:bCs/>
          <w:color w:val="000000"/>
          <w:sz w:val="20"/>
          <w:lang w:eastAsia="en-US"/>
        </w:rPr>
        <w:t xml:space="preserve">to obtain the final </w:t>
      </w:r>
      <w:r w:rsidRPr="00756DA1">
        <w:rPr>
          <w:rFonts w:ascii="Arial" w:hAnsi="Arial" w:cs="Times New Roman"/>
          <w:bCs/>
          <w:color w:val="000000"/>
          <w:sz w:val="20"/>
          <w:lang w:eastAsia="en-US"/>
        </w:rPr>
        <w:t xml:space="preserve">Aβ </w:t>
      </w:r>
      <w:r w:rsidRPr="00756DA1">
        <w:rPr>
          <w:rFonts w:ascii="Arial" w:hAnsi="Arial" w:cs="Times New Roman" w:hint="eastAsia"/>
          <w:bCs/>
          <w:color w:val="000000"/>
          <w:sz w:val="20"/>
          <w:lang w:eastAsia="en-US"/>
        </w:rPr>
        <w:t>oligomer for subsequent experiments.</w:t>
      </w:r>
    </w:p>
    <w:p w14:paraId="5EB8C60E"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8</w:t>
      </w:r>
      <w:r w:rsidRPr="00756DA1">
        <w:rPr>
          <w:rFonts w:ascii="Arial" w:eastAsia="SimSun" w:hAnsi="Arial" w:cs="Times New Roman"/>
          <w:b/>
          <w:bCs/>
          <w:color w:val="000000"/>
          <w:sz w:val="32"/>
          <w:szCs w:val="32"/>
        </w:rPr>
        <w:t>:</w:t>
      </w:r>
    </w:p>
    <w:p w14:paraId="7193009E" w14:textId="77777777" w:rsidR="006A658B" w:rsidRPr="00756DA1" w:rsidRDefault="00756DA1">
      <w:pPr>
        <w:adjustRightInd w:val="0"/>
        <w:snapToGrid w:val="0"/>
        <w:spacing w:line="480" w:lineRule="auto"/>
        <w:rPr>
          <w:rFonts w:cs="Times New Roman"/>
          <w:b/>
          <w:color w:val="000000"/>
        </w:rPr>
      </w:pPr>
      <w:r w:rsidRPr="00756DA1">
        <w:rPr>
          <w:rFonts w:ascii="Arial" w:hAnsi="Arial"/>
          <w:b/>
          <w:bCs/>
          <w:color w:val="000000"/>
          <w:sz w:val="26"/>
          <w:szCs w:val="26"/>
          <w:lang w:eastAsia="en-US"/>
        </w:rPr>
        <w:t>Oxidative stress determination</w:t>
      </w:r>
    </w:p>
    <w:p w14:paraId="2F8B9F11"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Cells or mice brain tissue homogenates were prepared in cold PBS. The contents of GSH-Px, SOD and MDA were measured by Kit. Cells were induced with Aβ and reactive oxygen levels were measured by the Reactive Oxygen Species Assay Kit.</w:t>
      </w:r>
    </w:p>
    <w:p w14:paraId="1A6217C9" w14:textId="77777777" w:rsidR="006A658B" w:rsidRPr="00756DA1" w:rsidRDefault="00756DA1">
      <w:pPr>
        <w:adjustRightInd w:val="0"/>
        <w:snapToGrid w:val="0"/>
        <w:spacing w:line="480" w:lineRule="auto"/>
        <w:rPr>
          <w:rFonts w:ascii="Arial" w:eastAsia="SimSun" w:hAnsi="Arial" w:cs="Times New Roman"/>
          <w:b/>
          <w:bCs/>
          <w:color w:val="000000"/>
          <w:sz w:val="32"/>
          <w:szCs w:val="32"/>
        </w:rPr>
      </w:pPr>
      <w:r w:rsidRPr="00756DA1">
        <w:rPr>
          <w:rFonts w:ascii="Arial" w:eastAsia="SimSun" w:hAnsi="Arial" w:cs="Times New Roman"/>
          <w:b/>
          <w:bCs/>
          <w:color w:val="000000"/>
          <w:sz w:val="32"/>
          <w:szCs w:val="32"/>
        </w:rPr>
        <w:t>Supplementary Material</w:t>
      </w:r>
      <w:r w:rsidRPr="00756DA1">
        <w:rPr>
          <w:rFonts w:ascii="Arial" w:hAnsi="Arial" w:cs="Times New Roman" w:hint="eastAsia"/>
          <w:b/>
          <w:bCs/>
          <w:color w:val="000000"/>
          <w:sz w:val="32"/>
          <w:szCs w:val="32"/>
        </w:rPr>
        <w:t xml:space="preserve"> 9</w:t>
      </w:r>
      <w:r w:rsidRPr="00756DA1">
        <w:rPr>
          <w:rFonts w:ascii="Arial" w:eastAsia="SimSun" w:hAnsi="Arial" w:cs="Times New Roman"/>
          <w:b/>
          <w:bCs/>
          <w:color w:val="000000"/>
          <w:sz w:val="32"/>
          <w:szCs w:val="32"/>
        </w:rPr>
        <w:t>:</w:t>
      </w:r>
    </w:p>
    <w:p w14:paraId="40372DDF" w14:textId="77777777" w:rsidR="006A658B" w:rsidRPr="00756DA1" w:rsidRDefault="00756DA1">
      <w:pPr>
        <w:adjustRightInd w:val="0"/>
        <w:snapToGrid w:val="0"/>
        <w:spacing w:line="480" w:lineRule="auto"/>
        <w:rPr>
          <w:rFonts w:cs="Times New Roman"/>
          <w:color w:val="000000"/>
        </w:rPr>
      </w:pPr>
      <w:r w:rsidRPr="00756DA1">
        <w:rPr>
          <w:rFonts w:ascii="Arial" w:hAnsi="Arial"/>
          <w:b/>
          <w:bCs/>
          <w:color w:val="000000"/>
          <w:sz w:val="26"/>
          <w:szCs w:val="26"/>
          <w:lang w:eastAsia="en-US"/>
        </w:rPr>
        <w:t>qRT-PCR</w:t>
      </w:r>
    </w:p>
    <w:p w14:paraId="1FE7922A"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Cells from different treatment groups were collected and total RNA was extracted with TRIzol reagent (Ambion, Foster City, CA, USA), and RNA concentration was determined. cDNA was synthesized by reverse transcription with 1 μg of total RNA (Promega, Fitchburg, WI, USA), and then qRT-PCR was performed with Gentier 96E/96R (Tianlong Technology Co., Ltd.). cDNA samples were amplified at the following conditions: 95°C for 3 min, followed by 95°C for 5 s and 60°C for 30 s, for a total of 40 cycles. The expressio</w:t>
      </w:r>
      <w:r w:rsidRPr="00756DA1">
        <w:rPr>
          <w:rFonts w:ascii="Arial" w:hAnsi="Arial" w:cs="Times New Roman"/>
          <w:bCs/>
          <w:color w:val="000000"/>
          <w:sz w:val="20"/>
          <w:lang w:eastAsia="en-US"/>
        </w:rPr>
        <w:t xml:space="preserve">n levels of target genes were normalized relative to the housekeeping gene ribosomal protein S18, and the (1 + e) ΔΔCT method was used to compare target gene expression. The primer sequences were obtained from Beijing Dingguo Changsheng Biotechnology Co. The primers used in this study are shown in Table </w:t>
      </w:r>
      <w:r w:rsidRPr="00756DA1">
        <w:rPr>
          <w:rFonts w:ascii="Arial" w:hAnsi="Arial" w:cs="Times New Roman"/>
          <w:bCs/>
          <w:color w:val="000000"/>
          <w:sz w:val="20"/>
          <w:lang w:eastAsia="en-US"/>
        </w:rPr>
        <w:t>S1</w:t>
      </w:r>
      <w:r w:rsidRPr="00756DA1">
        <w:rPr>
          <w:rFonts w:ascii="Arial" w:hAnsi="Arial" w:cs="Times New Roman"/>
          <w:bCs/>
          <w:color w:val="000000"/>
          <w:sz w:val="20"/>
          <w:lang w:eastAsia="en-US"/>
        </w:rPr>
        <w:t xml:space="preserve"> (n = 3).</w:t>
      </w:r>
    </w:p>
    <w:p w14:paraId="11DF1A0C"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
          <w:color w:val="000000"/>
          <w:sz w:val="20"/>
          <w:lang w:eastAsia="en-US"/>
        </w:rPr>
        <w:t>Table</w:t>
      </w:r>
      <w:r w:rsidRPr="00756DA1">
        <w:rPr>
          <w:rFonts w:ascii="Arial" w:hAnsi="Arial" w:cs="Times New Roman"/>
          <w:bCs/>
          <w:color w:val="000000"/>
          <w:sz w:val="20"/>
          <w:lang w:eastAsia="en-US"/>
        </w:rPr>
        <w:t xml:space="preserve"> S1 Primer sequences used in qRT-PCR</w:t>
      </w:r>
    </w:p>
    <w:tbl>
      <w:tblPr>
        <w:tblStyle w:val="PlainTable31"/>
        <w:tblW w:w="5758" w:type="dxa"/>
        <w:jc w:val="center"/>
        <w:tblLayout w:type="fixed"/>
        <w:tblLook w:val="04A0" w:firstRow="1" w:lastRow="0" w:firstColumn="1" w:lastColumn="0" w:noHBand="0" w:noVBand="1"/>
      </w:tblPr>
      <w:tblGrid>
        <w:gridCol w:w="960"/>
        <w:gridCol w:w="4798"/>
      </w:tblGrid>
      <w:tr w:rsidR="006A658B" w:rsidRPr="00756DA1" w14:paraId="6B2BA61C" w14:textId="77777777" w:rsidTr="006A658B">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960" w:type="dxa"/>
            <w:noWrap/>
            <w:vAlign w:val="center"/>
          </w:tcPr>
          <w:p w14:paraId="36F6E818" w14:textId="77777777" w:rsidR="006A658B" w:rsidRPr="00756DA1" w:rsidRDefault="00756DA1">
            <w:pPr>
              <w:widowControl/>
              <w:jc w:val="center"/>
              <w:rPr>
                <w:rFonts w:cs="Times New Roman"/>
                <w:b w:val="0"/>
                <w:bCs w:val="0"/>
                <w:caps w:val="0"/>
                <w:color w:val="000000"/>
                <w:szCs w:val="21"/>
              </w:rPr>
            </w:pPr>
            <w:r w:rsidRPr="00756DA1">
              <w:rPr>
                <w:rFonts w:cs="Times New Roman"/>
                <w:color w:val="000000"/>
                <w:szCs w:val="21"/>
              </w:rPr>
              <w:t>Gene</w:t>
            </w:r>
          </w:p>
        </w:tc>
        <w:tc>
          <w:tcPr>
            <w:tcW w:w="4798" w:type="dxa"/>
            <w:noWrap/>
            <w:vAlign w:val="center"/>
          </w:tcPr>
          <w:p w14:paraId="3932C13A" w14:textId="77777777" w:rsidR="006A658B" w:rsidRPr="00756DA1" w:rsidRDefault="00756DA1">
            <w:pPr>
              <w:widowControl/>
              <w:ind w:firstLineChars="200" w:firstLine="420"/>
              <w:jc w:val="center"/>
              <w:cnfStyle w:val="100000000000" w:firstRow="1" w:lastRow="0" w:firstColumn="0" w:lastColumn="0" w:oddVBand="0" w:evenVBand="0" w:oddHBand="0" w:evenHBand="0" w:firstRowFirstColumn="0" w:firstRowLastColumn="0" w:lastRowFirstColumn="0" w:lastRowLastColumn="0"/>
              <w:rPr>
                <w:rFonts w:cs="Times New Roman"/>
                <w:b w:val="0"/>
                <w:bCs w:val="0"/>
                <w:caps w:val="0"/>
                <w:color w:val="000000"/>
                <w:szCs w:val="21"/>
              </w:rPr>
            </w:pPr>
            <w:r w:rsidRPr="00756DA1">
              <w:rPr>
                <w:rFonts w:cs="Times New Roman"/>
                <w:color w:val="000000"/>
                <w:szCs w:val="21"/>
              </w:rPr>
              <w:t xml:space="preserve">Primer sequence </w:t>
            </w:r>
          </w:p>
        </w:tc>
      </w:tr>
      <w:tr w:rsidR="006A658B" w:rsidRPr="00756DA1" w14:paraId="0B1EC608" w14:textId="77777777" w:rsidTr="006A658B">
        <w:trPr>
          <w:trHeight w:val="280"/>
          <w:jc w:val="center"/>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2F2F2" w:themeFill="background1" w:themeFillShade="F2"/>
            <w:noWrap/>
            <w:vAlign w:val="center"/>
          </w:tcPr>
          <w:p w14:paraId="04906A6D" w14:textId="77777777" w:rsidR="006A658B" w:rsidRPr="00756DA1" w:rsidRDefault="00756DA1">
            <w:pPr>
              <w:widowControl/>
              <w:jc w:val="center"/>
              <w:rPr>
                <w:rFonts w:cs="Times New Roman"/>
                <w:b w:val="0"/>
                <w:bCs w:val="0"/>
                <w:caps w:val="0"/>
                <w:color w:val="000000"/>
                <w:szCs w:val="21"/>
              </w:rPr>
            </w:pPr>
            <w:r w:rsidRPr="00756DA1">
              <w:rPr>
                <w:rFonts w:cs="Times New Roman"/>
                <w:color w:val="000000"/>
                <w:szCs w:val="21"/>
              </w:rPr>
              <w:t>Nrf-2</w:t>
            </w:r>
          </w:p>
        </w:tc>
        <w:tc>
          <w:tcPr>
            <w:tcW w:w="4798" w:type="dxa"/>
            <w:shd w:val="clear" w:color="auto" w:fill="F2F2F2" w:themeFill="background1" w:themeFillShade="F2"/>
            <w:noWrap/>
            <w:vAlign w:val="center"/>
          </w:tcPr>
          <w:p w14:paraId="334F7A97" w14:textId="77777777" w:rsidR="006A658B" w:rsidRPr="00756DA1" w:rsidRDefault="00756DA1">
            <w:pPr>
              <w:widowControl/>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756DA1">
              <w:rPr>
                <w:rFonts w:cs="Times New Roman"/>
                <w:color w:val="000000"/>
                <w:szCs w:val="21"/>
              </w:rPr>
              <w:t>Forward primer: CCGGGGAACAGAACAGGAAA</w:t>
            </w:r>
          </w:p>
        </w:tc>
      </w:tr>
      <w:tr w:rsidR="006A658B" w:rsidRPr="00756DA1" w14:paraId="06E06909" w14:textId="77777777" w:rsidTr="006A658B">
        <w:trPr>
          <w:trHeight w:val="280"/>
          <w:jc w:val="center"/>
        </w:trPr>
        <w:tc>
          <w:tcPr>
            <w:cnfStyle w:val="001000000000" w:firstRow="0" w:lastRow="0" w:firstColumn="1" w:lastColumn="0" w:oddVBand="0" w:evenVBand="0" w:oddHBand="0" w:evenHBand="0" w:firstRowFirstColumn="0" w:firstRowLastColumn="0" w:lastRowFirstColumn="0" w:lastRowLastColumn="0"/>
            <w:tcW w:w="960" w:type="dxa"/>
            <w:vMerge/>
            <w:vAlign w:val="center"/>
          </w:tcPr>
          <w:p w14:paraId="369FC5D9" w14:textId="77777777" w:rsidR="006A658B" w:rsidRPr="00756DA1" w:rsidRDefault="006A658B">
            <w:pPr>
              <w:widowControl/>
              <w:jc w:val="center"/>
              <w:rPr>
                <w:rFonts w:cs="Times New Roman"/>
                <w:b w:val="0"/>
                <w:bCs w:val="0"/>
                <w:caps w:val="0"/>
                <w:color w:val="000000"/>
                <w:szCs w:val="21"/>
              </w:rPr>
            </w:pPr>
          </w:p>
        </w:tc>
        <w:tc>
          <w:tcPr>
            <w:tcW w:w="4798" w:type="dxa"/>
            <w:noWrap/>
            <w:vAlign w:val="center"/>
          </w:tcPr>
          <w:p w14:paraId="2A75DE5D" w14:textId="77777777" w:rsidR="006A658B" w:rsidRPr="00756DA1" w:rsidRDefault="00756DA1">
            <w:pPr>
              <w:widowControl/>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756DA1">
              <w:rPr>
                <w:rFonts w:cs="Times New Roman"/>
                <w:color w:val="000000"/>
                <w:szCs w:val="21"/>
              </w:rPr>
              <w:t>Reverse primer: ACGTTGTCCCCATTTTTGCG</w:t>
            </w:r>
          </w:p>
        </w:tc>
      </w:tr>
      <w:tr w:rsidR="006A658B" w:rsidRPr="00756DA1" w14:paraId="2E68D7E2" w14:textId="77777777" w:rsidTr="006A658B">
        <w:trPr>
          <w:trHeight w:val="280"/>
          <w:jc w:val="center"/>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2F2F2" w:themeFill="background1" w:themeFillShade="F2"/>
            <w:noWrap/>
            <w:vAlign w:val="center"/>
          </w:tcPr>
          <w:p w14:paraId="6A2A2A2D" w14:textId="77777777" w:rsidR="006A658B" w:rsidRPr="00756DA1" w:rsidRDefault="00756DA1">
            <w:pPr>
              <w:widowControl/>
              <w:jc w:val="center"/>
              <w:rPr>
                <w:rFonts w:cs="Times New Roman"/>
                <w:b w:val="0"/>
                <w:bCs w:val="0"/>
                <w:caps w:val="0"/>
                <w:color w:val="000000"/>
                <w:szCs w:val="21"/>
              </w:rPr>
            </w:pPr>
            <w:r w:rsidRPr="00756DA1">
              <w:rPr>
                <w:rFonts w:cs="Times New Roman"/>
                <w:color w:val="000000"/>
                <w:szCs w:val="21"/>
              </w:rPr>
              <w:t>HO-1</w:t>
            </w:r>
          </w:p>
        </w:tc>
        <w:tc>
          <w:tcPr>
            <w:tcW w:w="4798" w:type="dxa"/>
            <w:shd w:val="clear" w:color="auto" w:fill="F2F2F2" w:themeFill="background1" w:themeFillShade="F2"/>
            <w:noWrap/>
            <w:vAlign w:val="center"/>
          </w:tcPr>
          <w:p w14:paraId="6EA0EB1E" w14:textId="77777777" w:rsidR="006A658B" w:rsidRPr="00756DA1" w:rsidRDefault="00756DA1">
            <w:pPr>
              <w:widowControl/>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756DA1">
              <w:rPr>
                <w:rFonts w:cs="Times New Roman"/>
                <w:color w:val="000000"/>
                <w:szCs w:val="21"/>
              </w:rPr>
              <w:t xml:space="preserve">Forward primer: </w:t>
            </w:r>
            <w:r w:rsidRPr="00756DA1">
              <w:rPr>
                <w:rFonts w:cs="Times New Roman"/>
                <w:color w:val="000000"/>
                <w:szCs w:val="21"/>
              </w:rPr>
              <w:t>AGGGCAGAAGGGAATTGCTC</w:t>
            </w:r>
          </w:p>
        </w:tc>
      </w:tr>
      <w:tr w:rsidR="006A658B" w:rsidRPr="00756DA1" w14:paraId="616DE147" w14:textId="77777777" w:rsidTr="006A658B">
        <w:trPr>
          <w:trHeight w:val="280"/>
          <w:jc w:val="center"/>
        </w:trPr>
        <w:tc>
          <w:tcPr>
            <w:cnfStyle w:val="001000000000" w:firstRow="0" w:lastRow="0" w:firstColumn="1" w:lastColumn="0" w:oddVBand="0" w:evenVBand="0" w:oddHBand="0" w:evenHBand="0" w:firstRowFirstColumn="0" w:firstRowLastColumn="0" w:lastRowFirstColumn="0" w:lastRowLastColumn="0"/>
            <w:tcW w:w="960" w:type="dxa"/>
            <w:vMerge/>
            <w:vAlign w:val="center"/>
          </w:tcPr>
          <w:p w14:paraId="072EC7DB" w14:textId="77777777" w:rsidR="006A658B" w:rsidRPr="00756DA1" w:rsidRDefault="006A658B">
            <w:pPr>
              <w:widowControl/>
              <w:jc w:val="center"/>
              <w:rPr>
                <w:rFonts w:cs="Times New Roman"/>
                <w:b w:val="0"/>
                <w:bCs w:val="0"/>
                <w:caps w:val="0"/>
                <w:color w:val="000000"/>
                <w:szCs w:val="21"/>
              </w:rPr>
            </w:pPr>
          </w:p>
        </w:tc>
        <w:tc>
          <w:tcPr>
            <w:tcW w:w="4798" w:type="dxa"/>
            <w:noWrap/>
            <w:vAlign w:val="center"/>
          </w:tcPr>
          <w:p w14:paraId="28B5CC5D" w14:textId="77777777" w:rsidR="006A658B" w:rsidRPr="00756DA1" w:rsidRDefault="00756DA1">
            <w:pPr>
              <w:widowControl/>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756DA1">
              <w:rPr>
                <w:rFonts w:cs="Times New Roman"/>
                <w:color w:val="000000"/>
                <w:szCs w:val="21"/>
              </w:rPr>
              <w:t>Reverse primer: AAAGAGCTGGAGAGCCAACC</w:t>
            </w:r>
          </w:p>
        </w:tc>
      </w:tr>
      <w:tr w:rsidR="006A658B" w:rsidRPr="00756DA1" w14:paraId="1C4D8BF8" w14:textId="77777777" w:rsidTr="006A658B">
        <w:trPr>
          <w:trHeight w:val="280"/>
          <w:jc w:val="center"/>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2F2F2" w:themeFill="background1" w:themeFillShade="F2"/>
            <w:noWrap/>
            <w:vAlign w:val="center"/>
          </w:tcPr>
          <w:p w14:paraId="4F68444C" w14:textId="77777777" w:rsidR="006A658B" w:rsidRPr="00756DA1" w:rsidRDefault="00756DA1">
            <w:pPr>
              <w:widowControl/>
              <w:jc w:val="center"/>
              <w:rPr>
                <w:rFonts w:cs="Times New Roman"/>
                <w:b w:val="0"/>
                <w:bCs w:val="0"/>
                <w:caps w:val="0"/>
                <w:color w:val="000000"/>
                <w:szCs w:val="21"/>
              </w:rPr>
            </w:pPr>
            <w:r w:rsidRPr="00756DA1">
              <w:rPr>
                <w:rFonts w:cs="Times New Roman"/>
                <w:color w:val="000000"/>
                <w:szCs w:val="21"/>
              </w:rPr>
              <w:t>RPS18</w:t>
            </w:r>
          </w:p>
        </w:tc>
        <w:tc>
          <w:tcPr>
            <w:tcW w:w="4798" w:type="dxa"/>
            <w:shd w:val="clear" w:color="auto" w:fill="F2F2F2" w:themeFill="background1" w:themeFillShade="F2"/>
            <w:noWrap/>
            <w:vAlign w:val="center"/>
          </w:tcPr>
          <w:p w14:paraId="6E10F9D6" w14:textId="77777777" w:rsidR="006A658B" w:rsidRPr="00756DA1" w:rsidRDefault="00756DA1">
            <w:pPr>
              <w:widowControl/>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756DA1">
              <w:rPr>
                <w:rFonts w:cs="Times New Roman"/>
                <w:color w:val="000000"/>
                <w:szCs w:val="21"/>
              </w:rPr>
              <w:t>Forward primer: AACTCACGGAGGATGAGGTG</w:t>
            </w:r>
          </w:p>
        </w:tc>
      </w:tr>
      <w:tr w:rsidR="006A658B" w:rsidRPr="00756DA1" w14:paraId="4019BFB2" w14:textId="77777777" w:rsidTr="006A658B">
        <w:trPr>
          <w:trHeight w:val="280"/>
          <w:jc w:val="center"/>
        </w:trPr>
        <w:tc>
          <w:tcPr>
            <w:cnfStyle w:val="001000000000" w:firstRow="0" w:lastRow="0" w:firstColumn="1" w:lastColumn="0" w:oddVBand="0" w:evenVBand="0" w:oddHBand="0" w:evenHBand="0" w:firstRowFirstColumn="0" w:firstRowLastColumn="0" w:lastRowFirstColumn="0" w:lastRowLastColumn="0"/>
            <w:tcW w:w="960" w:type="dxa"/>
            <w:vMerge/>
            <w:vAlign w:val="center"/>
          </w:tcPr>
          <w:p w14:paraId="65FF5B12" w14:textId="77777777" w:rsidR="006A658B" w:rsidRPr="00756DA1" w:rsidRDefault="006A658B">
            <w:pPr>
              <w:widowControl/>
              <w:jc w:val="center"/>
              <w:rPr>
                <w:rFonts w:cs="Times New Roman"/>
                <w:b w:val="0"/>
                <w:bCs w:val="0"/>
                <w:caps w:val="0"/>
                <w:color w:val="000000"/>
                <w:szCs w:val="21"/>
              </w:rPr>
            </w:pPr>
          </w:p>
        </w:tc>
        <w:tc>
          <w:tcPr>
            <w:tcW w:w="4798" w:type="dxa"/>
            <w:noWrap/>
            <w:vAlign w:val="center"/>
          </w:tcPr>
          <w:p w14:paraId="1055A14D" w14:textId="77777777" w:rsidR="006A658B" w:rsidRPr="00756DA1" w:rsidRDefault="00756DA1">
            <w:pPr>
              <w:widowControl/>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756DA1">
              <w:rPr>
                <w:rFonts w:cs="Times New Roman"/>
                <w:color w:val="000000"/>
                <w:szCs w:val="21"/>
              </w:rPr>
              <w:t>Reverse primer: AGAACCTGGCTGTACTTCCC</w:t>
            </w:r>
          </w:p>
        </w:tc>
      </w:tr>
    </w:tbl>
    <w:p w14:paraId="36DBD666" w14:textId="77777777" w:rsidR="006A658B" w:rsidRPr="00756DA1" w:rsidRDefault="006A658B">
      <w:pPr>
        <w:adjustRightInd w:val="0"/>
        <w:snapToGrid w:val="0"/>
        <w:spacing w:line="480" w:lineRule="auto"/>
        <w:rPr>
          <w:rFonts w:ascii="Arial" w:eastAsia="SimSun" w:hAnsi="Arial" w:cs="Times New Roman"/>
          <w:b/>
          <w:bCs/>
          <w:color w:val="000000"/>
          <w:sz w:val="32"/>
          <w:szCs w:val="32"/>
        </w:rPr>
      </w:pPr>
    </w:p>
    <w:p w14:paraId="2ABCCC84"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10</w:t>
      </w:r>
      <w:r w:rsidRPr="00756DA1">
        <w:rPr>
          <w:rFonts w:ascii="Arial" w:eastAsia="SimSun" w:hAnsi="Arial" w:cs="Times New Roman"/>
          <w:b/>
          <w:bCs/>
          <w:color w:val="000000"/>
          <w:sz w:val="32"/>
          <w:szCs w:val="32"/>
        </w:rPr>
        <w:t>:</w:t>
      </w:r>
    </w:p>
    <w:p w14:paraId="27FEA60B"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b/>
          <w:bCs/>
          <w:color w:val="000000"/>
          <w:sz w:val="26"/>
          <w:szCs w:val="26"/>
          <w:lang w:eastAsia="en-US"/>
        </w:rPr>
        <w:t>In vivo targeting effect</w:t>
      </w:r>
    </w:p>
    <w:p w14:paraId="6F34AF69"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cs="Times New Roman"/>
          <w:bCs/>
          <w:color w:val="000000"/>
          <w:sz w:val="20"/>
          <w:lang w:eastAsia="en-US"/>
        </w:rPr>
        <w:t xml:space="preserve">To verify the targeting effect of LMC, MC were used as a </w:t>
      </w:r>
      <w:r w:rsidRPr="00756DA1">
        <w:rPr>
          <w:rFonts w:ascii="Arial" w:hAnsi="Arial" w:cs="Times New Roman"/>
          <w:bCs/>
          <w:color w:val="000000"/>
          <w:sz w:val="20"/>
          <w:lang w:eastAsia="en-US"/>
        </w:rPr>
        <w:t>control to verify the effect of the ability of lactoferrin to penetrate the BBB. FITC-labeled LMC (5 mg/kg) and MC (5 mg/kg) were injected into the tail veins of mice. The mice were executed after 3, 6, 9, 12, and 24 h, after which the brain and organs were removed, and fluorescence distribution images of LMC and MC were tracked using Bruker In-vivo FX Pro.</w:t>
      </w:r>
    </w:p>
    <w:p w14:paraId="533A50EB" w14:textId="77777777" w:rsidR="006A658B" w:rsidRPr="00756DA1" w:rsidRDefault="00756DA1">
      <w:pPr>
        <w:adjustRightInd w:val="0"/>
        <w:snapToGrid w:val="0"/>
        <w:spacing w:line="480" w:lineRule="auto"/>
        <w:rPr>
          <w:rFonts w:ascii="Arial" w:eastAsia="SimSun" w:hAnsi="Arial" w:cs="Times New Roman"/>
          <w:b/>
          <w:bCs/>
          <w:color w:val="000000"/>
          <w:sz w:val="32"/>
          <w:szCs w:val="32"/>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11</w:t>
      </w:r>
      <w:r w:rsidRPr="00756DA1">
        <w:rPr>
          <w:rFonts w:ascii="Arial" w:eastAsia="SimSun" w:hAnsi="Arial" w:cs="Times New Roman"/>
          <w:b/>
          <w:bCs/>
          <w:color w:val="000000"/>
          <w:sz w:val="32"/>
          <w:szCs w:val="32"/>
        </w:rPr>
        <w:t>:</w:t>
      </w:r>
    </w:p>
    <w:p w14:paraId="7F3F3849"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b/>
          <w:bCs/>
          <w:color w:val="000000"/>
          <w:sz w:val="26"/>
          <w:szCs w:val="26"/>
          <w:lang w:eastAsia="en-US"/>
        </w:rPr>
        <w:t>In vivo uptake experiments</w:t>
      </w:r>
    </w:p>
    <w:p w14:paraId="375F3E75"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hAnsi="Arial" w:cs="Times New Roman"/>
          <w:bCs/>
          <w:color w:val="000000"/>
          <w:sz w:val="20"/>
          <w:lang w:eastAsia="en-US"/>
        </w:rPr>
        <w:t>FITC-labeled LMC and MC were injected into 5xFAD mice via the tail vein. Sections of brain tissues extracted 12 h later were frozen. Neurons, vascular endothelial cells, microglia, and astrocytes were labeled with NeuN, CD31, IBA-1, and GFAP, respectively. The uptake of LMC and MC in brain tissue was analyzed by immunofluorescence.</w:t>
      </w:r>
    </w:p>
    <w:p w14:paraId="5BEBE4BF"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12</w:t>
      </w:r>
      <w:r w:rsidRPr="00756DA1">
        <w:rPr>
          <w:rFonts w:ascii="Arial" w:eastAsia="SimSun" w:hAnsi="Arial" w:cs="Times New Roman"/>
          <w:b/>
          <w:bCs/>
          <w:color w:val="000000"/>
          <w:sz w:val="32"/>
          <w:szCs w:val="32"/>
        </w:rPr>
        <w:t>:</w:t>
      </w:r>
    </w:p>
    <w:p w14:paraId="03B34FDA" w14:textId="77777777" w:rsidR="006A658B" w:rsidRPr="00756DA1" w:rsidRDefault="00756DA1">
      <w:pPr>
        <w:adjustRightInd w:val="0"/>
        <w:snapToGrid w:val="0"/>
        <w:spacing w:line="480" w:lineRule="auto"/>
        <w:rPr>
          <w:rFonts w:cs="Times New Roman"/>
          <w:b/>
          <w:color w:val="000000"/>
        </w:rPr>
      </w:pPr>
      <w:r w:rsidRPr="00756DA1">
        <w:rPr>
          <w:rFonts w:ascii="Arial" w:hAnsi="Arial"/>
          <w:b/>
          <w:bCs/>
          <w:color w:val="000000"/>
          <w:sz w:val="26"/>
          <w:szCs w:val="26"/>
          <w:lang w:eastAsia="en-US"/>
        </w:rPr>
        <w:t>Immunofluorescent staining</w:t>
      </w:r>
    </w:p>
    <w:p w14:paraId="110B1738"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The frozen sections of brain tissue were incubated with Triton X-100 (0.3%) for 30 min at 37°C, followed by incubation with goat serum (5%) for 2 h. The sections were incubated with primary antibodies for 16 h at 4°C. The next day, the sections were washed with PBS and then incubated with secondary antibodies for 2 h at room temperature. The nuclei were stained with DAPI. All slides were observed under a fluorescence microscope. The optical density of the fluorescence was analyzed using ImageJ2x software.</w:t>
      </w:r>
    </w:p>
    <w:p w14:paraId="71867B95" w14:textId="77777777" w:rsidR="006A658B" w:rsidRPr="00756DA1" w:rsidRDefault="00756DA1">
      <w:pPr>
        <w:adjustRightInd w:val="0"/>
        <w:snapToGrid w:val="0"/>
        <w:spacing w:line="480" w:lineRule="auto"/>
        <w:rPr>
          <w:rFonts w:ascii="Arial" w:hAnsi="Arial"/>
          <w:b/>
          <w:bCs/>
          <w:color w:val="000000"/>
          <w:sz w:val="26"/>
          <w:szCs w:val="26"/>
          <w:lang w:eastAsia="en-US"/>
        </w:rPr>
      </w:pPr>
      <w:r w:rsidRPr="00756DA1">
        <w:rPr>
          <w:rFonts w:ascii="Arial" w:eastAsia="SimSun" w:hAnsi="Arial" w:cs="Times New Roman"/>
          <w:b/>
          <w:bCs/>
          <w:color w:val="000000"/>
          <w:sz w:val="32"/>
          <w:szCs w:val="32"/>
        </w:rPr>
        <w:t xml:space="preserve">Supplementary Material </w:t>
      </w:r>
      <w:r w:rsidRPr="00756DA1">
        <w:rPr>
          <w:rFonts w:ascii="Arial" w:hAnsi="Arial" w:cs="Times New Roman" w:hint="eastAsia"/>
          <w:b/>
          <w:bCs/>
          <w:color w:val="000000"/>
          <w:sz w:val="32"/>
          <w:szCs w:val="32"/>
        </w:rPr>
        <w:t>13</w:t>
      </w:r>
      <w:r w:rsidRPr="00756DA1">
        <w:rPr>
          <w:rFonts w:ascii="Arial" w:eastAsia="SimSun" w:hAnsi="Arial" w:cs="Times New Roman"/>
          <w:b/>
          <w:bCs/>
          <w:color w:val="000000"/>
          <w:sz w:val="32"/>
          <w:szCs w:val="32"/>
        </w:rPr>
        <w:t>:</w:t>
      </w:r>
    </w:p>
    <w:p w14:paraId="4F4004D4" w14:textId="77777777" w:rsidR="006A658B" w:rsidRPr="00756DA1" w:rsidRDefault="00756DA1">
      <w:pPr>
        <w:adjustRightInd w:val="0"/>
        <w:snapToGrid w:val="0"/>
        <w:spacing w:line="480" w:lineRule="auto"/>
        <w:rPr>
          <w:rFonts w:cs="Times New Roman"/>
          <w:b/>
          <w:color w:val="000000"/>
        </w:rPr>
      </w:pPr>
      <w:r w:rsidRPr="00756DA1">
        <w:rPr>
          <w:rFonts w:ascii="Arial" w:hAnsi="Arial"/>
          <w:b/>
          <w:bCs/>
          <w:color w:val="000000"/>
          <w:sz w:val="26"/>
          <w:szCs w:val="26"/>
          <w:lang w:eastAsia="en-US"/>
        </w:rPr>
        <w:t>Nissl and HE staining</w:t>
      </w:r>
    </w:p>
    <w:p w14:paraId="6606230A"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Cs/>
          <w:color w:val="000000"/>
          <w:sz w:val="20"/>
          <w:lang w:eastAsia="en-US"/>
        </w:rPr>
        <w:t>Nissl staining: The sections were stained by methylene blue staining solution for 10 min, divided by Nissl differentiation solution for 3 min and observed under the microscope until the Nissl bodies were clear. Then the sections were treated with ammonium molybdate solution for 5 min, rapidly rinsed in distilled water, dehydrated in anhydrous ethanol and transparent in xylene. Finally, nissl stained images of cortical and hippocampal regions were taken by neutral gel fixation and light microscopy.</w:t>
      </w:r>
    </w:p>
    <w:p w14:paraId="147B114D" w14:textId="77777777" w:rsidR="006A658B" w:rsidRPr="00756DA1" w:rsidRDefault="00756DA1">
      <w:pPr>
        <w:adjustRightInd w:val="0"/>
        <w:snapToGrid w:val="0"/>
        <w:spacing w:line="480" w:lineRule="auto"/>
        <w:rPr>
          <w:rFonts w:cs="Times New Roman"/>
          <w:color w:val="000000"/>
        </w:rPr>
      </w:pPr>
      <w:r w:rsidRPr="00756DA1">
        <w:rPr>
          <w:rFonts w:ascii="Arial" w:hAnsi="Arial" w:cs="Times New Roman"/>
          <w:bCs/>
          <w:color w:val="000000"/>
          <w:sz w:val="20"/>
          <w:lang w:eastAsia="en-US"/>
        </w:rPr>
        <w:t>HE staining: Brain, heart, liver, spleen, lung and kidney paraffin sections were dewaxed in water and stained with hematoxylin and eosin for 10 min. After which they were dehydrated in ethanol, clear in xylene and sealed with neutral glue. Finally, HE images were observed with microscope.</w:t>
      </w:r>
    </w:p>
    <w:p w14:paraId="50536235" w14:textId="77777777" w:rsidR="006A658B" w:rsidRPr="00756DA1" w:rsidRDefault="00756DA1">
      <w:pPr>
        <w:adjustRightInd w:val="0"/>
        <w:spacing w:line="480" w:lineRule="auto"/>
        <w:textAlignment w:val="baseline"/>
        <w:outlineLvl w:val="0"/>
        <w:rPr>
          <w:rFonts w:ascii="Arial" w:eastAsia="SimSun" w:hAnsi="Arial" w:cs="Times New Roman"/>
          <w:b/>
          <w:bCs/>
          <w:color w:val="000000"/>
          <w:sz w:val="32"/>
          <w:szCs w:val="32"/>
        </w:rPr>
      </w:pPr>
      <w:r w:rsidRPr="00756DA1">
        <w:rPr>
          <w:rFonts w:ascii="Arial" w:eastAsia="SimSun" w:hAnsi="Arial" w:cs="Times New Roman"/>
          <w:b/>
          <w:bCs/>
          <w:color w:val="000000"/>
          <w:sz w:val="32"/>
          <w:szCs w:val="32"/>
        </w:rPr>
        <w:t>Figures:</w:t>
      </w:r>
    </w:p>
    <w:p w14:paraId="29EB5DAD" w14:textId="77777777" w:rsidR="006A658B" w:rsidRPr="00756DA1" w:rsidRDefault="00756DA1">
      <w:pPr>
        <w:adjustRightInd w:val="0"/>
        <w:snapToGrid w:val="0"/>
        <w:spacing w:line="480" w:lineRule="auto"/>
        <w:jc w:val="center"/>
        <w:rPr>
          <w:b/>
          <w:bCs/>
          <w:color w:val="000000"/>
        </w:rPr>
      </w:pPr>
      <w:r w:rsidRPr="00756DA1">
        <w:rPr>
          <w:b/>
          <w:bCs/>
          <w:color w:val="000000"/>
        </w:rPr>
        <w:drawing>
          <wp:inline distT="0" distB="0" distL="114300" distR="114300" wp14:anchorId="02A43C6D" wp14:editId="71AEDEA9">
            <wp:extent cx="2391410" cy="3074670"/>
            <wp:effectExtent l="0" t="0" r="8890" b="1143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8"/>
                    <a:stretch>
                      <a:fillRect/>
                    </a:stretch>
                  </pic:blipFill>
                  <pic:spPr>
                    <a:xfrm>
                      <a:off x="0" y="0"/>
                      <a:ext cx="2391410" cy="3074670"/>
                    </a:xfrm>
                    <a:prstGeom prst="rect">
                      <a:avLst/>
                    </a:prstGeom>
                  </pic:spPr>
                </pic:pic>
              </a:graphicData>
            </a:graphic>
          </wp:inline>
        </w:drawing>
      </w:r>
    </w:p>
    <w:p w14:paraId="45758832" w14:textId="77777777" w:rsidR="006A658B" w:rsidRPr="00756DA1" w:rsidRDefault="00756DA1">
      <w:pPr>
        <w:jc w:val="center"/>
        <w:rPr>
          <w:rFonts w:ascii="Arial" w:hAnsi="Arial" w:cs="Times New Roman"/>
          <w:bCs/>
          <w:color w:val="000000"/>
          <w:sz w:val="20"/>
          <w:lang w:eastAsia="en-US"/>
        </w:rPr>
      </w:pPr>
      <w:r w:rsidRPr="00756DA1">
        <w:rPr>
          <w:rFonts w:ascii="Arial" w:hAnsi="Arial" w:cs="Times New Roman" w:hint="eastAsia"/>
          <w:b/>
          <w:color w:val="000000"/>
          <w:sz w:val="20"/>
          <w:lang w:eastAsia="en-US"/>
        </w:rPr>
        <w:t>Fig</w:t>
      </w:r>
      <w:r w:rsidRPr="00756DA1">
        <w:rPr>
          <w:rFonts w:ascii="Arial" w:hAnsi="Arial" w:cs="Times New Roman"/>
          <w:b/>
          <w:color w:val="000000"/>
          <w:sz w:val="20"/>
          <w:lang w:eastAsia="en-US"/>
        </w:rPr>
        <w:t xml:space="preserve">ure </w:t>
      </w:r>
      <w:r w:rsidRPr="00756DA1">
        <w:rPr>
          <w:rFonts w:ascii="Arial" w:hAnsi="Arial" w:cs="Times New Roman" w:hint="eastAsia"/>
          <w:b/>
          <w:color w:val="000000"/>
          <w:sz w:val="20"/>
          <w:lang w:eastAsia="en-US"/>
        </w:rPr>
        <w:t>S1</w:t>
      </w:r>
      <w:r w:rsidRPr="00756DA1">
        <w:rPr>
          <w:rFonts w:ascii="Arial" w:hAnsi="Arial" w:cs="Times New Roman" w:hint="eastAsia"/>
          <w:bCs/>
          <w:color w:val="000000"/>
          <w:sz w:val="20"/>
          <w:lang w:eastAsia="en-US"/>
        </w:rPr>
        <w:t xml:space="preserve"> SDS gel electrophoresis band positions of lactoferrin and LMC.</w:t>
      </w:r>
    </w:p>
    <w:p w14:paraId="48F6B18B" w14:textId="77777777" w:rsidR="006A658B" w:rsidRPr="00756DA1" w:rsidRDefault="006A658B">
      <w:pPr>
        <w:jc w:val="center"/>
        <w:rPr>
          <w:color w:val="000000"/>
        </w:rPr>
      </w:pPr>
    </w:p>
    <w:p w14:paraId="3B05F0FF" w14:textId="77777777" w:rsidR="006A658B" w:rsidRPr="00756DA1" w:rsidRDefault="00756DA1">
      <w:pPr>
        <w:jc w:val="center"/>
        <w:rPr>
          <w:color w:val="000000"/>
        </w:rPr>
      </w:pPr>
      <w:r w:rsidRPr="00756DA1">
        <w:rPr>
          <w:color w:val="000000"/>
        </w:rPr>
        <w:drawing>
          <wp:inline distT="0" distB="0" distL="0" distR="0" wp14:anchorId="5CA0FB05" wp14:editId="5D2970B8">
            <wp:extent cx="3367405" cy="2762250"/>
            <wp:effectExtent l="0" t="0" r="10795" b="6350"/>
            <wp:docPr id="619695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95075" name="图片 1"/>
                    <pic:cNvPicPr>
                      <a:picLocks noChangeAspect="1"/>
                    </pic:cNvPicPr>
                  </pic:nvPicPr>
                  <pic:blipFill>
                    <a:blip r:embed="rId9" cstate="print">
                      <a:extLst>
                        <a:ext uri="{28A0092B-C50C-407E-A947-70E740481C1C}">
                          <a14:useLocalDpi xmlns:a14="http://schemas.microsoft.com/office/drawing/2010/main" val="0"/>
                        </a:ext>
                      </a:extLst>
                    </a:blip>
                    <a:srcRect l="9381" t="7564" r="9571" b="5574"/>
                    <a:stretch>
                      <a:fillRect/>
                    </a:stretch>
                  </pic:blipFill>
                  <pic:spPr>
                    <a:xfrm>
                      <a:off x="0" y="0"/>
                      <a:ext cx="3367405" cy="2762250"/>
                    </a:xfrm>
                    <a:prstGeom prst="rect">
                      <a:avLst/>
                    </a:prstGeom>
                    <a:ln>
                      <a:noFill/>
                    </a:ln>
                  </pic:spPr>
                </pic:pic>
              </a:graphicData>
            </a:graphic>
          </wp:inline>
        </w:drawing>
      </w:r>
    </w:p>
    <w:p w14:paraId="6DFB35C2" w14:textId="77777777" w:rsidR="006A658B" w:rsidRPr="00756DA1" w:rsidRDefault="006A658B">
      <w:pPr>
        <w:jc w:val="center"/>
        <w:rPr>
          <w:color w:val="000000"/>
        </w:rPr>
      </w:pPr>
    </w:p>
    <w:p w14:paraId="594A4C7C" w14:textId="77777777" w:rsidR="006A658B" w:rsidRPr="00756DA1" w:rsidRDefault="00756DA1">
      <w:pPr>
        <w:jc w:val="center"/>
        <w:rPr>
          <w:rFonts w:ascii="Arial" w:hAnsi="Arial" w:cs="Times New Roman"/>
          <w:bCs/>
          <w:color w:val="000000"/>
          <w:sz w:val="20"/>
          <w:lang w:eastAsia="en-US"/>
        </w:rPr>
      </w:pPr>
      <w:r w:rsidRPr="00756DA1">
        <w:rPr>
          <w:rFonts w:ascii="Arial" w:hAnsi="Arial" w:cs="Times New Roman" w:hint="eastAsia"/>
          <w:b/>
          <w:color w:val="000000"/>
          <w:sz w:val="20"/>
          <w:lang w:eastAsia="en-US"/>
        </w:rPr>
        <w:t>Fig</w:t>
      </w:r>
      <w:r w:rsidRPr="00756DA1">
        <w:rPr>
          <w:rFonts w:ascii="Arial" w:hAnsi="Arial" w:cs="Times New Roman"/>
          <w:b/>
          <w:color w:val="000000"/>
          <w:sz w:val="20"/>
          <w:lang w:eastAsia="en-US"/>
        </w:rPr>
        <w:t xml:space="preserve">ure </w:t>
      </w:r>
      <w:r w:rsidRPr="00756DA1">
        <w:rPr>
          <w:rFonts w:ascii="Arial" w:hAnsi="Arial" w:cs="Times New Roman" w:hint="eastAsia"/>
          <w:b/>
          <w:color w:val="000000"/>
          <w:sz w:val="20"/>
          <w:lang w:eastAsia="en-US"/>
        </w:rPr>
        <w:t>S2</w:t>
      </w:r>
      <w:r w:rsidRPr="00756DA1">
        <w:rPr>
          <w:rFonts w:ascii="Arial" w:hAnsi="Arial" w:cs="Times New Roman" w:hint="eastAsia"/>
          <w:bCs/>
          <w:color w:val="000000"/>
          <w:sz w:val="20"/>
          <w:lang w:eastAsia="en-US"/>
        </w:rPr>
        <w:t xml:space="preserve"> </w:t>
      </w:r>
      <w:r w:rsidRPr="00756DA1">
        <w:rPr>
          <w:rFonts w:ascii="Arial" w:hAnsi="Arial" w:cs="Times New Roman"/>
          <w:bCs/>
          <w:color w:val="000000"/>
          <w:sz w:val="20"/>
          <w:lang w:eastAsia="en-US"/>
        </w:rPr>
        <w:t xml:space="preserve">The </w:t>
      </w:r>
      <w:r w:rsidRPr="00756DA1">
        <w:rPr>
          <w:rFonts w:ascii="Arial" w:hAnsi="Arial" w:cs="Times New Roman" w:hint="eastAsia"/>
          <w:bCs/>
          <w:color w:val="000000"/>
          <w:sz w:val="20"/>
          <w:lang w:eastAsia="en-US"/>
        </w:rPr>
        <w:t>X</w:t>
      </w:r>
      <w:r w:rsidRPr="00756DA1">
        <w:rPr>
          <w:rFonts w:ascii="Arial" w:hAnsi="Arial" w:cs="Times New Roman"/>
          <w:bCs/>
          <w:color w:val="000000"/>
          <w:sz w:val="20"/>
          <w:lang w:eastAsia="en-US"/>
        </w:rPr>
        <w:t>PS</w:t>
      </w:r>
      <w:r w:rsidRPr="00756DA1">
        <w:rPr>
          <w:rFonts w:ascii="Arial" w:hAnsi="Arial" w:cs="Times New Roman" w:hint="eastAsia"/>
          <w:bCs/>
          <w:color w:val="000000"/>
          <w:sz w:val="20"/>
          <w:lang w:eastAsia="en-US"/>
        </w:rPr>
        <w:t xml:space="preserve"> analysis of MC.</w:t>
      </w:r>
    </w:p>
    <w:p w14:paraId="12651860" w14:textId="77777777" w:rsidR="006A658B" w:rsidRPr="00756DA1" w:rsidRDefault="006A658B">
      <w:pPr>
        <w:jc w:val="center"/>
        <w:rPr>
          <w:color w:val="000000"/>
        </w:rPr>
      </w:pPr>
    </w:p>
    <w:p w14:paraId="4B64E0DC" w14:textId="77777777" w:rsidR="006A658B" w:rsidRPr="00756DA1" w:rsidRDefault="006A658B">
      <w:pPr>
        <w:jc w:val="center"/>
        <w:rPr>
          <w:color w:val="000000"/>
        </w:rPr>
      </w:pPr>
    </w:p>
    <w:p w14:paraId="7813246C" w14:textId="77777777" w:rsidR="006A658B" w:rsidRPr="00756DA1" w:rsidRDefault="00756DA1">
      <w:pPr>
        <w:adjustRightInd w:val="0"/>
        <w:snapToGrid w:val="0"/>
        <w:spacing w:line="480" w:lineRule="auto"/>
        <w:jc w:val="center"/>
        <w:rPr>
          <w:b/>
          <w:bCs/>
          <w:color w:val="000000"/>
        </w:rPr>
      </w:pPr>
      <w:r w:rsidRPr="00756DA1">
        <w:rPr>
          <w:b/>
          <w:bCs/>
          <w:color w:val="000000"/>
        </w:rPr>
        <w:drawing>
          <wp:inline distT="0" distB="0" distL="114300" distR="114300" wp14:anchorId="5154AF18" wp14:editId="38CDFDC4">
            <wp:extent cx="3234055" cy="2311400"/>
            <wp:effectExtent l="0" t="0" r="4445" b="0"/>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10"/>
                    <a:stretch>
                      <a:fillRect/>
                    </a:stretch>
                  </pic:blipFill>
                  <pic:spPr>
                    <a:xfrm>
                      <a:off x="0" y="0"/>
                      <a:ext cx="3234055" cy="2311400"/>
                    </a:xfrm>
                    <a:prstGeom prst="rect">
                      <a:avLst/>
                    </a:prstGeom>
                  </pic:spPr>
                </pic:pic>
              </a:graphicData>
            </a:graphic>
          </wp:inline>
        </w:drawing>
      </w:r>
    </w:p>
    <w:p w14:paraId="11692E89" w14:textId="77777777" w:rsidR="006A658B" w:rsidRPr="00756DA1" w:rsidRDefault="00756DA1">
      <w:pPr>
        <w:jc w:val="center"/>
        <w:rPr>
          <w:rFonts w:ascii="Arial" w:hAnsi="Arial" w:cs="Times New Roman"/>
          <w:bCs/>
          <w:color w:val="000000"/>
          <w:sz w:val="20"/>
          <w:lang w:eastAsia="en-US"/>
        </w:rPr>
      </w:pPr>
      <w:r w:rsidRPr="00756DA1">
        <w:rPr>
          <w:rFonts w:ascii="Arial" w:hAnsi="Arial" w:cs="Times New Roman" w:hint="eastAsia"/>
          <w:b/>
          <w:color w:val="000000"/>
          <w:sz w:val="20"/>
          <w:lang w:eastAsia="en-US"/>
        </w:rPr>
        <w:t>Fig</w:t>
      </w:r>
      <w:r w:rsidRPr="00756DA1">
        <w:rPr>
          <w:rFonts w:ascii="Arial" w:hAnsi="Arial" w:cs="Times New Roman"/>
          <w:b/>
          <w:color w:val="000000"/>
          <w:sz w:val="20"/>
          <w:lang w:eastAsia="en-US"/>
        </w:rPr>
        <w:t xml:space="preserve">ure </w:t>
      </w:r>
      <w:r w:rsidRPr="00756DA1">
        <w:rPr>
          <w:rFonts w:ascii="Arial" w:hAnsi="Arial" w:cs="Times New Roman" w:hint="eastAsia"/>
          <w:b/>
          <w:color w:val="000000"/>
          <w:sz w:val="20"/>
          <w:lang w:eastAsia="en-US"/>
        </w:rPr>
        <w:t>S</w:t>
      </w:r>
      <w:r w:rsidRPr="00756DA1">
        <w:rPr>
          <w:rFonts w:ascii="Arial" w:hAnsi="Arial" w:cs="Times New Roman"/>
          <w:b/>
          <w:color w:val="000000"/>
          <w:sz w:val="20"/>
          <w:lang w:eastAsia="en-US"/>
        </w:rPr>
        <w:t>3</w:t>
      </w:r>
      <w:r w:rsidRPr="00756DA1">
        <w:rPr>
          <w:rFonts w:ascii="Arial" w:hAnsi="Arial" w:cs="Times New Roman" w:hint="eastAsia"/>
          <w:bCs/>
          <w:color w:val="000000"/>
          <w:sz w:val="20"/>
          <w:lang w:eastAsia="en-US"/>
        </w:rPr>
        <w:t xml:space="preserve"> The cell viability of SH-SY5Y cells incubated with MC and LMC.</w:t>
      </w:r>
    </w:p>
    <w:p w14:paraId="0B2AF572" w14:textId="77777777" w:rsidR="006A658B" w:rsidRPr="00756DA1" w:rsidRDefault="006A658B">
      <w:pPr>
        <w:jc w:val="center"/>
        <w:rPr>
          <w:color w:val="000000"/>
        </w:rPr>
      </w:pPr>
    </w:p>
    <w:p w14:paraId="0A16C852" w14:textId="77777777" w:rsidR="006A658B" w:rsidRPr="00756DA1" w:rsidRDefault="00756DA1">
      <w:pPr>
        <w:jc w:val="center"/>
        <w:rPr>
          <w:color w:val="000000"/>
        </w:rPr>
      </w:pPr>
      <w:r w:rsidRPr="00756DA1">
        <w:rPr>
          <w:rFonts w:hint="eastAsia"/>
          <w:color w:val="000000"/>
        </w:rPr>
        <w:drawing>
          <wp:inline distT="0" distB="0" distL="114300" distR="114300" wp14:anchorId="518D1E12" wp14:editId="2DC77886">
            <wp:extent cx="4728845" cy="2389505"/>
            <wp:effectExtent l="0" t="0" r="8255" b="10795"/>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11"/>
                    <a:stretch>
                      <a:fillRect/>
                    </a:stretch>
                  </pic:blipFill>
                  <pic:spPr>
                    <a:xfrm>
                      <a:off x="0" y="0"/>
                      <a:ext cx="4728845" cy="2389505"/>
                    </a:xfrm>
                    <a:prstGeom prst="rect">
                      <a:avLst/>
                    </a:prstGeom>
                  </pic:spPr>
                </pic:pic>
              </a:graphicData>
            </a:graphic>
          </wp:inline>
        </w:drawing>
      </w:r>
    </w:p>
    <w:p w14:paraId="270FA438" w14:textId="77777777" w:rsidR="006A658B" w:rsidRPr="00756DA1" w:rsidRDefault="006A658B">
      <w:pPr>
        <w:jc w:val="center"/>
        <w:rPr>
          <w:color w:val="000000"/>
        </w:rPr>
      </w:pPr>
    </w:p>
    <w:p w14:paraId="1E1BB530" w14:textId="77777777" w:rsidR="006A658B" w:rsidRPr="00756DA1" w:rsidRDefault="00756DA1">
      <w:pPr>
        <w:jc w:val="center"/>
        <w:rPr>
          <w:rFonts w:ascii="Arial" w:hAnsi="Arial" w:cs="Times New Roman"/>
          <w:bCs/>
          <w:color w:val="000000"/>
          <w:sz w:val="20"/>
          <w:lang w:eastAsia="en-US"/>
        </w:rPr>
      </w:pPr>
      <w:r w:rsidRPr="00756DA1">
        <w:rPr>
          <w:rFonts w:ascii="Arial" w:hAnsi="Arial" w:cs="Times New Roman" w:hint="eastAsia"/>
          <w:b/>
          <w:color w:val="000000"/>
          <w:sz w:val="20"/>
          <w:lang w:eastAsia="en-US"/>
        </w:rPr>
        <w:t>Fig</w:t>
      </w:r>
      <w:r w:rsidRPr="00756DA1">
        <w:rPr>
          <w:rFonts w:ascii="Arial" w:hAnsi="Arial" w:cs="Times New Roman"/>
          <w:b/>
          <w:color w:val="000000"/>
          <w:sz w:val="20"/>
          <w:lang w:eastAsia="en-US"/>
        </w:rPr>
        <w:t xml:space="preserve">ure </w:t>
      </w:r>
      <w:r w:rsidRPr="00756DA1">
        <w:rPr>
          <w:rFonts w:ascii="Arial" w:hAnsi="Arial" w:cs="Times New Roman" w:hint="eastAsia"/>
          <w:b/>
          <w:color w:val="000000"/>
          <w:sz w:val="20"/>
          <w:lang w:eastAsia="en-US"/>
        </w:rPr>
        <w:t>S</w:t>
      </w:r>
      <w:r w:rsidRPr="00756DA1">
        <w:rPr>
          <w:rFonts w:ascii="Arial" w:hAnsi="Arial" w:cs="Times New Roman"/>
          <w:b/>
          <w:color w:val="000000"/>
          <w:sz w:val="20"/>
          <w:lang w:eastAsia="en-US"/>
        </w:rPr>
        <w:t>4</w:t>
      </w:r>
      <w:r w:rsidRPr="00756DA1">
        <w:rPr>
          <w:rFonts w:ascii="Arial" w:hAnsi="Arial" w:cs="Times New Roman" w:hint="eastAsia"/>
          <w:bCs/>
          <w:color w:val="000000"/>
          <w:sz w:val="20"/>
          <w:lang w:eastAsia="en-US"/>
        </w:rPr>
        <w:t xml:space="preserve"> H&amp;E staining of heart, liver, spleen, lung and kidney sections in each group.</w:t>
      </w:r>
    </w:p>
    <w:p w14:paraId="2802B8CC" w14:textId="77777777" w:rsidR="006A658B" w:rsidRPr="00756DA1" w:rsidRDefault="006A658B">
      <w:pPr>
        <w:jc w:val="center"/>
        <w:rPr>
          <w:rFonts w:ascii="Arial" w:hAnsi="Arial" w:cs="Times New Roman"/>
          <w:bCs/>
          <w:color w:val="000000"/>
          <w:sz w:val="20"/>
          <w:lang w:eastAsia="en-US"/>
        </w:rPr>
      </w:pPr>
    </w:p>
    <w:p w14:paraId="0B783318" w14:textId="77777777" w:rsidR="006A658B" w:rsidRPr="00756DA1" w:rsidRDefault="00756DA1">
      <w:pPr>
        <w:jc w:val="center"/>
        <w:rPr>
          <w:rFonts w:ascii="Arial" w:hAnsi="Arial" w:cs="Times New Roman"/>
          <w:bCs/>
          <w:color w:val="000000"/>
          <w:sz w:val="20"/>
        </w:rPr>
      </w:pPr>
      <w:r w:rsidRPr="00756DA1">
        <w:rPr>
          <w:rFonts w:ascii="Arial" w:hAnsi="Arial" w:cs="Times New Roman" w:hint="eastAsia"/>
          <w:bCs/>
          <w:color w:val="000000"/>
          <w:sz w:val="20"/>
        </w:rPr>
        <w:drawing>
          <wp:inline distT="0" distB="0" distL="114300" distR="114300" wp14:anchorId="58677A4E" wp14:editId="14CBE312">
            <wp:extent cx="1746885" cy="1310005"/>
            <wp:effectExtent l="0" t="0" r="5715" b="10795"/>
            <wp:docPr id="4" name="图片 4" descr="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11)"/>
                    <pic:cNvPicPr>
                      <a:picLocks noChangeAspect="1"/>
                    </pic:cNvPicPr>
                  </pic:nvPicPr>
                  <pic:blipFill>
                    <a:blip r:embed="rId12"/>
                    <a:stretch>
                      <a:fillRect/>
                    </a:stretch>
                  </pic:blipFill>
                  <pic:spPr>
                    <a:xfrm>
                      <a:off x="0" y="0"/>
                      <a:ext cx="1746885" cy="1310005"/>
                    </a:xfrm>
                    <a:prstGeom prst="rect">
                      <a:avLst/>
                    </a:prstGeom>
                  </pic:spPr>
                </pic:pic>
              </a:graphicData>
            </a:graphic>
          </wp:inline>
        </w:drawing>
      </w:r>
    </w:p>
    <w:p w14:paraId="1D4CD00D" w14:textId="77777777" w:rsidR="006A658B" w:rsidRPr="00756DA1" w:rsidRDefault="006A658B">
      <w:pPr>
        <w:jc w:val="center"/>
        <w:rPr>
          <w:rFonts w:ascii="Arial" w:hAnsi="Arial" w:cs="Times New Roman"/>
          <w:bCs/>
          <w:color w:val="000000"/>
          <w:sz w:val="20"/>
        </w:rPr>
      </w:pPr>
    </w:p>
    <w:p w14:paraId="26D63C45" w14:textId="77777777" w:rsidR="006A658B" w:rsidRPr="00756DA1" w:rsidRDefault="00756DA1">
      <w:pPr>
        <w:jc w:val="center"/>
        <w:rPr>
          <w:rFonts w:ascii="Arial" w:hAnsi="Arial" w:cs="Times New Roman"/>
          <w:bCs/>
          <w:color w:val="000000"/>
          <w:sz w:val="20"/>
          <w:lang w:eastAsia="en-US"/>
        </w:rPr>
      </w:pPr>
      <w:r w:rsidRPr="00756DA1">
        <w:rPr>
          <w:rFonts w:ascii="Arial" w:hAnsi="Arial" w:cs="Times New Roman" w:hint="eastAsia"/>
          <w:b/>
          <w:color w:val="000000"/>
          <w:sz w:val="20"/>
          <w:lang w:eastAsia="en-US"/>
        </w:rPr>
        <w:t>Fig</w:t>
      </w:r>
      <w:r w:rsidRPr="00756DA1">
        <w:rPr>
          <w:rFonts w:ascii="Arial" w:hAnsi="Arial" w:cs="Times New Roman"/>
          <w:b/>
          <w:color w:val="000000"/>
          <w:sz w:val="20"/>
          <w:lang w:eastAsia="en-US"/>
        </w:rPr>
        <w:t xml:space="preserve">ure </w:t>
      </w:r>
      <w:r w:rsidRPr="00756DA1">
        <w:rPr>
          <w:rFonts w:ascii="Arial" w:hAnsi="Arial" w:cs="Times New Roman" w:hint="eastAsia"/>
          <w:b/>
          <w:color w:val="000000"/>
          <w:sz w:val="20"/>
          <w:lang w:eastAsia="en-US"/>
        </w:rPr>
        <w:t>S</w:t>
      </w:r>
      <w:r w:rsidRPr="00756DA1">
        <w:rPr>
          <w:rFonts w:ascii="Arial" w:hAnsi="Arial" w:cs="Times New Roman" w:hint="eastAsia"/>
          <w:b/>
          <w:color w:val="000000"/>
          <w:sz w:val="20"/>
        </w:rPr>
        <w:t>5</w:t>
      </w:r>
      <w:r w:rsidRPr="00756DA1">
        <w:rPr>
          <w:rFonts w:ascii="Arial" w:hAnsi="Arial" w:cs="Times New Roman" w:hint="eastAsia"/>
          <w:bCs/>
          <w:color w:val="000000"/>
          <w:sz w:val="20"/>
          <w:lang w:eastAsia="en-US"/>
        </w:rPr>
        <w:t xml:space="preserve"> TEM images of A</w:t>
      </w:r>
      <w:r w:rsidRPr="00756DA1">
        <w:rPr>
          <w:rFonts w:ascii="Arial" w:hAnsi="Arial" w:cs="Arial"/>
          <w:bCs/>
          <w:color w:val="000000"/>
          <w:sz w:val="20"/>
          <w:lang w:eastAsia="en-US"/>
        </w:rPr>
        <w:t>β</w:t>
      </w:r>
      <w:r w:rsidRPr="00756DA1">
        <w:rPr>
          <w:rFonts w:ascii="Arial" w:hAnsi="Arial" w:cs="Times New Roman" w:hint="eastAsia"/>
          <w:bCs/>
          <w:color w:val="000000"/>
          <w:sz w:val="20"/>
          <w:lang w:eastAsia="en-US"/>
        </w:rPr>
        <w:t xml:space="preserve"> fibers.</w:t>
      </w:r>
    </w:p>
    <w:p w14:paraId="03D2E9BA" w14:textId="77777777" w:rsidR="006A658B" w:rsidRPr="00756DA1" w:rsidRDefault="006A658B">
      <w:pPr>
        <w:rPr>
          <w:rFonts w:cs="Times New Roman"/>
          <w:color w:val="000000"/>
        </w:rPr>
      </w:pPr>
    </w:p>
    <w:p w14:paraId="4D5D430F" w14:textId="77777777" w:rsidR="006A658B" w:rsidRPr="00756DA1" w:rsidRDefault="00756DA1">
      <w:pPr>
        <w:jc w:val="center"/>
        <w:rPr>
          <w:color w:val="000000"/>
        </w:rPr>
      </w:pPr>
      <w:r w:rsidRPr="00756DA1">
        <w:rPr>
          <w:rFonts w:hint="eastAsia"/>
          <w:color w:val="000000"/>
        </w:rPr>
        <w:drawing>
          <wp:inline distT="0" distB="0" distL="0" distR="0" wp14:anchorId="6CD2F01E" wp14:editId="7352B325">
            <wp:extent cx="5327650" cy="1830705"/>
            <wp:effectExtent l="0" t="0" r="6350" b="10795"/>
            <wp:docPr id="20159007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0771"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7650" cy="1830705"/>
                    </a:xfrm>
                    <a:prstGeom prst="rect">
                      <a:avLst/>
                    </a:prstGeom>
                  </pic:spPr>
                </pic:pic>
              </a:graphicData>
            </a:graphic>
          </wp:inline>
        </w:drawing>
      </w:r>
    </w:p>
    <w:p w14:paraId="0DE28306"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
          <w:color w:val="000000"/>
          <w:sz w:val="20"/>
          <w:lang w:eastAsia="en-US"/>
        </w:rPr>
        <w:t>Figure S</w:t>
      </w:r>
      <w:r w:rsidRPr="00756DA1">
        <w:rPr>
          <w:rFonts w:ascii="Arial" w:hAnsi="Arial" w:cs="Times New Roman" w:hint="eastAsia"/>
          <w:b/>
          <w:color w:val="000000"/>
          <w:sz w:val="20"/>
        </w:rPr>
        <w:t>6</w:t>
      </w:r>
      <w:r w:rsidRPr="00756DA1">
        <w:rPr>
          <w:rFonts w:ascii="Arial" w:hAnsi="Arial" w:cs="Times New Roman"/>
          <w:bCs/>
          <w:color w:val="000000"/>
          <w:sz w:val="20"/>
          <w:lang w:eastAsia="en-US"/>
        </w:rPr>
        <w:t xml:space="preserve"> MDA and SOD concentrations and GSH activity of SH-SY5Y cells in different groups. All data are mean ± SD (n=3). *P &lt; 0.05, **P &lt; 0.01, ***P &lt; 0.001, ****P &lt; 0.00</w:t>
      </w:r>
      <w:r w:rsidRPr="00756DA1">
        <w:rPr>
          <w:rFonts w:ascii="Arial" w:hAnsi="Arial" w:cs="Times New Roman" w:hint="eastAsia"/>
          <w:bCs/>
          <w:color w:val="000000"/>
          <w:sz w:val="20"/>
        </w:rPr>
        <w:t>0</w:t>
      </w:r>
      <w:r w:rsidRPr="00756DA1">
        <w:rPr>
          <w:rFonts w:ascii="Arial" w:hAnsi="Arial" w:cs="Times New Roman"/>
          <w:bCs/>
          <w:color w:val="000000"/>
          <w:sz w:val="20"/>
          <w:lang w:eastAsia="en-US"/>
        </w:rPr>
        <w:t>1.</w:t>
      </w:r>
    </w:p>
    <w:p w14:paraId="45C93839" w14:textId="77777777" w:rsidR="006A658B" w:rsidRPr="00756DA1" w:rsidRDefault="00756DA1">
      <w:pPr>
        <w:adjustRightInd w:val="0"/>
        <w:snapToGrid w:val="0"/>
        <w:spacing w:line="480" w:lineRule="auto"/>
        <w:rPr>
          <w:rFonts w:cs="Times New Roman"/>
          <w:color w:val="000000"/>
        </w:rPr>
      </w:pPr>
      <w:r w:rsidRPr="00756DA1">
        <w:rPr>
          <w:rFonts w:cs="Times New Roman"/>
          <w:color w:val="000000"/>
        </w:rPr>
        <w:drawing>
          <wp:inline distT="0" distB="0" distL="0" distR="0" wp14:anchorId="46AF8335" wp14:editId="2119283D">
            <wp:extent cx="4862195" cy="280352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2195" cy="2803525"/>
                    </a:xfrm>
                    <a:prstGeom prst="rect">
                      <a:avLst/>
                    </a:prstGeom>
                  </pic:spPr>
                </pic:pic>
              </a:graphicData>
            </a:graphic>
          </wp:inline>
        </w:drawing>
      </w:r>
    </w:p>
    <w:p w14:paraId="537EC1A4" w14:textId="77777777" w:rsidR="006A658B" w:rsidRPr="00756DA1" w:rsidRDefault="00756DA1">
      <w:pPr>
        <w:adjustRightInd w:val="0"/>
        <w:snapToGrid w:val="0"/>
        <w:spacing w:line="480" w:lineRule="auto"/>
        <w:jc w:val="center"/>
        <w:rPr>
          <w:rFonts w:ascii="Arial" w:hAnsi="Arial" w:cs="Times New Roman"/>
          <w:bCs/>
          <w:color w:val="000000"/>
          <w:sz w:val="20"/>
          <w:lang w:eastAsia="en-US"/>
        </w:rPr>
      </w:pPr>
      <w:r w:rsidRPr="00756DA1">
        <w:rPr>
          <w:rFonts w:ascii="Arial" w:hAnsi="Arial" w:cs="Times New Roman" w:hint="eastAsia"/>
          <w:b/>
          <w:color w:val="000000"/>
          <w:sz w:val="20"/>
          <w:lang w:eastAsia="en-US"/>
        </w:rPr>
        <w:t>Fig</w:t>
      </w:r>
      <w:r w:rsidRPr="00756DA1">
        <w:rPr>
          <w:rFonts w:ascii="Arial" w:hAnsi="Arial" w:cs="Times New Roman"/>
          <w:b/>
          <w:color w:val="000000"/>
          <w:sz w:val="20"/>
          <w:lang w:eastAsia="en-US"/>
        </w:rPr>
        <w:t xml:space="preserve">ure </w:t>
      </w:r>
      <w:r w:rsidRPr="00756DA1">
        <w:rPr>
          <w:rFonts w:ascii="Arial" w:hAnsi="Arial" w:cs="Times New Roman" w:hint="eastAsia"/>
          <w:b/>
          <w:color w:val="000000"/>
          <w:sz w:val="20"/>
          <w:lang w:eastAsia="en-US"/>
        </w:rPr>
        <w:t>S</w:t>
      </w:r>
      <w:r w:rsidRPr="00756DA1">
        <w:rPr>
          <w:rFonts w:ascii="Arial" w:hAnsi="Arial" w:cs="Times New Roman" w:hint="eastAsia"/>
          <w:b/>
          <w:color w:val="000000"/>
          <w:sz w:val="20"/>
        </w:rPr>
        <w:t xml:space="preserve">7 </w:t>
      </w:r>
      <w:r w:rsidRPr="00756DA1">
        <w:rPr>
          <w:rFonts w:ascii="Arial" w:hAnsi="Arial" w:cs="Times New Roman" w:hint="eastAsia"/>
          <w:bCs/>
          <w:color w:val="000000"/>
          <w:sz w:val="20"/>
          <w:lang w:eastAsia="en-US"/>
        </w:rPr>
        <w:t>Fluorescence images of Nrf-2 in different groups of SH</w:t>
      </w:r>
      <w:r w:rsidRPr="00756DA1">
        <w:rPr>
          <w:rFonts w:ascii="Arial" w:hAnsi="Arial" w:cs="Times New Roman"/>
          <w:bCs/>
          <w:color w:val="000000"/>
          <w:sz w:val="20"/>
          <w:lang w:eastAsia="en-US"/>
        </w:rPr>
        <w:t>-</w:t>
      </w:r>
      <w:r w:rsidRPr="00756DA1">
        <w:rPr>
          <w:rFonts w:ascii="Arial" w:hAnsi="Arial" w:cs="Times New Roman" w:hint="eastAsia"/>
          <w:bCs/>
          <w:color w:val="000000"/>
          <w:sz w:val="20"/>
          <w:lang w:eastAsia="en-US"/>
        </w:rPr>
        <w:t>SY5Y cells.</w:t>
      </w:r>
    </w:p>
    <w:p w14:paraId="40D78FBD" w14:textId="77777777" w:rsidR="006A658B" w:rsidRPr="00756DA1" w:rsidRDefault="006A658B">
      <w:pPr>
        <w:adjustRightInd w:val="0"/>
        <w:snapToGrid w:val="0"/>
        <w:spacing w:line="480" w:lineRule="auto"/>
        <w:ind w:leftChars="100" w:left="210"/>
        <w:rPr>
          <w:color w:val="000000"/>
        </w:rPr>
      </w:pPr>
    </w:p>
    <w:p w14:paraId="28B2135D" w14:textId="77777777" w:rsidR="006A658B" w:rsidRPr="00756DA1" w:rsidRDefault="00756DA1">
      <w:pPr>
        <w:adjustRightInd w:val="0"/>
        <w:snapToGrid w:val="0"/>
        <w:spacing w:line="480" w:lineRule="auto"/>
        <w:ind w:leftChars="100" w:left="210"/>
        <w:jc w:val="center"/>
        <w:rPr>
          <w:color w:val="000000"/>
        </w:rPr>
      </w:pPr>
      <w:r w:rsidRPr="00756DA1">
        <w:rPr>
          <w:rFonts w:hint="eastAsia"/>
          <w:color w:val="000000"/>
        </w:rPr>
        <w:drawing>
          <wp:inline distT="0" distB="0" distL="114300" distR="114300" wp14:anchorId="5A672BD1" wp14:editId="4308E0F2">
            <wp:extent cx="2159635" cy="2225040"/>
            <wp:effectExtent l="0" t="0" r="12065" b="10160"/>
            <wp:docPr id="7" name="图片 7"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6"/>
                    <pic:cNvPicPr>
                      <a:picLocks noChangeAspect="1"/>
                    </pic:cNvPicPr>
                  </pic:nvPicPr>
                  <pic:blipFill>
                    <a:blip r:embed="rId15"/>
                    <a:stretch>
                      <a:fillRect/>
                    </a:stretch>
                  </pic:blipFill>
                  <pic:spPr>
                    <a:xfrm>
                      <a:off x="0" y="0"/>
                      <a:ext cx="2160000" cy="2225515"/>
                    </a:xfrm>
                    <a:prstGeom prst="rect">
                      <a:avLst/>
                    </a:prstGeom>
                  </pic:spPr>
                </pic:pic>
              </a:graphicData>
            </a:graphic>
          </wp:inline>
        </w:drawing>
      </w:r>
    </w:p>
    <w:p w14:paraId="529D981F" w14:textId="77777777" w:rsidR="006A658B" w:rsidRPr="00756DA1" w:rsidRDefault="00756DA1">
      <w:pPr>
        <w:adjustRightInd w:val="0"/>
        <w:snapToGrid w:val="0"/>
        <w:spacing w:line="480" w:lineRule="auto"/>
        <w:rPr>
          <w:rFonts w:ascii="Arial" w:hAnsi="Arial" w:cs="Times New Roman"/>
          <w:bCs/>
          <w:color w:val="000000"/>
          <w:sz w:val="20"/>
          <w:lang w:eastAsia="en-US"/>
        </w:rPr>
      </w:pPr>
      <w:r w:rsidRPr="00756DA1">
        <w:rPr>
          <w:rFonts w:ascii="Arial" w:hAnsi="Arial" w:cs="Times New Roman"/>
          <w:b/>
          <w:color w:val="000000"/>
          <w:sz w:val="20"/>
          <w:lang w:eastAsia="en-US"/>
        </w:rPr>
        <w:t>Figure S</w:t>
      </w:r>
      <w:r w:rsidRPr="00756DA1">
        <w:rPr>
          <w:rFonts w:ascii="Arial" w:hAnsi="Arial" w:cs="Times New Roman" w:hint="eastAsia"/>
          <w:b/>
          <w:color w:val="000000"/>
          <w:sz w:val="20"/>
        </w:rPr>
        <w:t>8</w:t>
      </w:r>
      <w:r w:rsidRPr="00756DA1">
        <w:rPr>
          <w:rFonts w:ascii="Arial" w:hAnsi="Arial" w:cs="Times New Roman"/>
          <w:bCs/>
          <w:color w:val="000000"/>
          <w:sz w:val="20"/>
          <w:lang w:eastAsia="en-US"/>
        </w:rPr>
        <w:t xml:space="preserve"> The quantitative analysis of the mean fluorescence intensity of Nrf-2 in different groups of SH-SY5Y cells. All data are mean ± SD (n=3). ****P &lt; 0.00</w:t>
      </w:r>
      <w:r w:rsidRPr="00756DA1">
        <w:rPr>
          <w:rFonts w:ascii="Arial" w:hAnsi="Arial" w:cs="Times New Roman" w:hint="eastAsia"/>
          <w:bCs/>
          <w:color w:val="000000"/>
          <w:sz w:val="20"/>
        </w:rPr>
        <w:t>0</w:t>
      </w:r>
      <w:r w:rsidRPr="00756DA1">
        <w:rPr>
          <w:rFonts w:ascii="Arial" w:hAnsi="Arial" w:cs="Times New Roman"/>
          <w:bCs/>
          <w:color w:val="000000"/>
          <w:sz w:val="20"/>
          <w:lang w:eastAsia="en-US"/>
        </w:rPr>
        <w:t>1.</w:t>
      </w:r>
    </w:p>
    <w:p w14:paraId="02E1C617" w14:textId="77777777" w:rsidR="006A658B" w:rsidRPr="00756DA1" w:rsidRDefault="00756DA1">
      <w:pPr>
        <w:adjustRightInd w:val="0"/>
        <w:snapToGrid w:val="0"/>
        <w:spacing w:line="480" w:lineRule="auto"/>
        <w:jc w:val="center"/>
        <w:rPr>
          <w:color w:val="000000"/>
        </w:rPr>
      </w:pPr>
      <w:r w:rsidRPr="00756DA1">
        <w:rPr>
          <w:rFonts w:hint="eastAsia"/>
          <w:color w:val="000000"/>
        </w:rPr>
        <w:drawing>
          <wp:inline distT="0" distB="0" distL="0" distR="0" wp14:anchorId="46AA6C98" wp14:editId="1314E467">
            <wp:extent cx="2159635" cy="2355215"/>
            <wp:effectExtent l="0" t="0" r="12065" b="6985"/>
            <wp:docPr id="2681177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17738"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355762"/>
                    </a:xfrm>
                    <a:prstGeom prst="rect">
                      <a:avLst/>
                    </a:prstGeom>
                  </pic:spPr>
                </pic:pic>
              </a:graphicData>
            </a:graphic>
          </wp:inline>
        </w:drawing>
      </w:r>
    </w:p>
    <w:p w14:paraId="2A791841" w14:textId="77777777" w:rsidR="006A658B" w:rsidRPr="00756DA1" w:rsidRDefault="00756DA1">
      <w:pPr>
        <w:adjustRightInd w:val="0"/>
        <w:snapToGrid w:val="0"/>
        <w:spacing w:line="480" w:lineRule="auto"/>
        <w:rPr>
          <w:rFonts w:ascii="Arial" w:eastAsia="SimSun" w:hAnsi="Arial" w:cs="Times New Roman"/>
          <w:color w:val="000000"/>
          <w:kern w:val="0"/>
          <w:sz w:val="20"/>
        </w:rPr>
      </w:pPr>
      <w:r w:rsidRPr="00756DA1">
        <w:rPr>
          <w:rFonts w:ascii="Arial" w:hAnsi="Arial" w:cs="Times New Roman"/>
          <w:b/>
          <w:color w:val="000000"/>
          <w:sz w:val="20"/>
          <w:lang w:eastAsia="en-US"/>
        </w:rPr>
        <w:t>Figure S</w:t>
      </w:r>
      <w:r w:rsidRPr="00756DA1">
        <w:rPr>
          <w:rFonts w:ascii="Arial" w:hAnsi="Arial" w:cs="Times New Roman" w:hint="eastAsia"/>
          <w:b/>
          <w:color w:val="000000"/>
          <w:sz w:val="20"/>
        </w:rPr>
        <w:t>9</w:t>
      </w:r>
      <w:r w:rsidRPr="00756DA1">
        <w:rPr>
          <w:rFonts w:ascii="Arial" w:hAnsi="Arial" w:cs="Times New Roman"/>
          <w:b/>
          <w:color w:val="000000"/>
          <w:sz w:val="20"/>
          <w:lang w:eastAsia="en-US"/>
        </w:rPr>
        <w:t xml:space="preserve"> </w:t>
      </w:r>
      <w:r w:rsidRPr="00756DA1">
        <w:rPr>
          <w:rFonts w:ascii="Arial" w:hAnsi="Arial" w:cs="Times New Roman"/>
          <w:bCs/>
          <w:color w:val="000000"/>
          <w:sz w:val="20"/>
          <w:lang w:eastAsia="en-US"/>
        </w:rPr>
        <w:t xml:space="preserve">The quantitative analysis of the mean fluorescence intensity of HO-1 in </w:t>
      </w:r>
      <w:r w:rsidRPr="00756DA1">
        <w:rPr>
          <w:rFonts w:ascii="Arial" w:hAnsi="Arial" w:cs="Times New Roman"/>
          <w:bCs/>
          <w:color w:val="000000"/>
          <w:sz w:val="20"/>
          <w:lang w:eastAsia="en-US"/>
        </w:rPr>
        <w:t>different groups of SH-SY5Y cells. All data are mean ± SD (n=3). **P &lt; 0.01, ***P &lt; 0.001.</w:t>
      </w:r>
      <w:bookmarkEnd w:id="0"/>
      <w:bookmarkEnd w:id="1"/>
    </w:p>
    <w:sectPr w:rsidR="006A658B" w:rsidRPr="00756DA1">
      <w:footerReference w:type="default" r:id="rId17"/>
      <w:pgSz w:w="11906" w:h="16838"/>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3CBA" w14:textId="77777777" w:rsidR="00756DA1" w:rsidRDefault="00756DA1">
      <w:r>
        <w:separator/>
      </w:r>
    </w:p>
  </w:endnote>
  <w:endnote w:type="continuationSeparator" w:id="0">
    <w:p w14:paraId="055E231B" w14:textId="77777777" w:rsidR="00756DA1" w:rsidRDefault="0075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7397" w14:textId="77777777" w:rsidR="006A658B" w:rsidRDefault="00756DA1">
    <w:pPr>
      <w:pStyle w:val="Footer"/>
      <w:jc w:val="center"/>
    </w:pPr>
    <w:r>
      <w:rPr>
        <w:noProof/>
      </w:rPr>
      <mc:AlternateContent>
        <mc:Choice Requires="wps">
          <w:drawing>
            <wp:anchor distT="0" distB="0" distL="0" distR="0" simplePos="0" relativeHeight="251659264" behindDoc="0" locked="0" layoutInCell="1" allowOverlap="1" wp14:anchorId="0AB09E5E" wp14:editId="34B821FD">
              <wp:simplePos x="0" y="0"/>
              <wp:positionH relativeFrom="page">
                <wp:align>left</wp:align>
              </wp:positionH>
              <wp:positionV relativeFrom="page">
                <wp:align>bottom</wp:align>
              </wp:positionV>
              <wp:extent cx="443865" cy="443865"/>
              <wp:effectExtent l="0" t="0" r="18415" b="0"/>
              <wp:wrapNone/>
              <wp:docPr id="193672888" name="Text Box 3"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CB656" w14:textId="77777777" w:rsidR="006A658B" w:rsidRDefault="00756DA1">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AB09E5E" id="_x0000_t202" coordsize="21600,21600" o:spt="202" path="m,l,21600r21600,l21600,xe">
              <v:stroke joinstyle="miter"/>
              <v:path gradientshapeok="t" o:connecttype="rect"/>
            </v:shapetype>
            <v:shape id="Text Box 3" o:spid="_x0000_s1026" type="#_x0000_t202" alt="Information Classification: General"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16FCB656" w14:textId="77777777" w:rsidR="006A658B" w:rsidRDefault="00756DA1">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sdt>
      <w:sdtPr>
        <w:id w:val="-1316328341"/>
        <w:docPartObj>
          <w:docPartGallery w:val="AutoText"/>
        </w:docPartObj>
      </w:sdtPr>
      <w:sdtEndPr/>
      <w:sdtContent>
        <w:r>
          <w:fldChar w:fldCharType="begin"/>
        </w:r>
        <w:r>
          <w:instrText>PAGE   \* MERGEFORMAT</w:instrText>
        </w:r>
        <w:r>
          <w:fldChar w:fldCharType="separate"/>
        </w:r>
        <w:r>
          <w:rPr>
            <w:lang w:val="zh-CN"/>
          </w:rPr>
          <w:t>2</w:t>
        </w:r>
        <w:r>
          <w:fldChar w:fldCharType="end"/>
        </w:r>
      </w:sdtContent>
    </w:sdt>
  </w:p>
  <w:p w14:paraId="79974596" w14:textId="77777777" w:rsidR="006A658B" w:rsidRDefault="006A6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0D73" w14:textId="77777777" w:rsidR="00756DA1" w:rsidRDefault="00756DA1">
      <w:r>
        <w:separator/>
      </w:r>
    </w:p>
  </w:footnote>
  <w:footnote w:type="continuationSeparator" w:id="0">
    <w:p w14:paraId="2CDCF8C4" w14:textId="77777777" w:rsidR="00756DA1" w:rsidRDefault="00756D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Formatting/>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k5ODM0YmMxOWJiYWQyNDU4MGIzYWRmYTA0ZmI5NDcifQ=="/>
  </w:docVars>
  <w:rsids>
    <w:rsidRoot w:val="003E041A"/>
    <w:rsid w:val="00000074"/>
    <w:rsid w:val="00003882"/>
    <w:rsid w:val="00004448"/>
    <w:rsid w:val="000145D0"/>
    <w:rsid w:val="000147D2"/>
    <w:rsid w:val="000160F8"/>
    <w:rsid w:val="0002721E"/>
    <w:rsid w:val="00031B60"/>
    <w:rsid w:val="00032FEE"/>
    <w:rsid w:val="00035B8C"/>
    <w:rsid w:val="00037191"/>
    <w:rsid w:val="000375B2"/>
    <w:rsid w:val="00044955"/>
    <w:rsid w:val="00046329"/>
    <w:rsid w:val="00051821"/>
    <w:rsid w:val="0005542A"/>
    <w:rsid w:val="0005583F"/>
    <w:rsid w:val="00055D33"/>
    <w:rsid w:val="0006209C"/>
    <w:rsid w:val="00062D42"/>
    <w:rsid w:val="000631E9"/>
    <w:rsid w:val="00063223"/>
    <w:rsid w:val="00064F25"/>
    <w:rsid w:val="00066A2C"/>
    <w:rsid w:val="0007180E"/>
    <w:rsid w:val="00072C2A"/>
    <w:rsid w:val="000742C9"/>
    <w:rsid w:val="000743AC"/>
    <w:rsid w:val="000761CC"/>
    <w:rsid w:val="00081AC7"/>
    <w:rsid w:val="000827B9"/>
    <w:rsid w:val="000900AD"/>
    <w:rsid w:val="00092507"/>
    <w:rsid w:val="00092E1F"/>
    <w:rsid w:val="00095A23"/>
    <w:rsid w:val="000A0EE9"/>
    <w:rsid w:val="000A55EC"/>
    <w:rsid w:val="000A702F"/>
    <w:rsid w:val="000A7D73"/>
    <w:rsid w:val="000B667A"/>
    <w:rsid w:val="000D06D3"/>
    <w:rsid w:val="000D0FF7"/>
    <w:rsid w:val="000D1EDB"/>
    <w:rsid w:val="000D2F48"/>
    <w:rsid w:val="000D5B60"/>
    <w:rsid w:val="000E1A52"/>
    <w:rsid w:val="000E624E"/>
    <w:rsid w:val="000F0AF9"/>
    <w:rsid w:val="000F3538"/>
    <w:rsid w:val="000F424B"/>
    <w:rsid w:val="000F5C04"/>
    <w:rsid w:val="000F5E9F"/>
    <w:rsid w:val="000F7AD9"/>
    <w:rsid w:val="001044D9"/>
    <w:rsid w:val="0011154F"/>
    <w:rsid w:val="001120EA"/>
    <w:rsid w:val="00113E04"/>
    <w:rsid w:val="00114FEF"/>
    <w:rsid w:val="0011554D"/>
    <w:rsid w:val="00115986"/>
    <w:rsid w:val="00117650"/>
    <w:rsid w:val="001206E4"/>
    <w:rsid w:val="00130DC3"/>
    <w:rsid w:val="00132A85"/>
    <w:rsid w:val="00133BC8"/>
    <w:rsid w:val="00133C7B"/>
    <w:rsid w:val="001409B3"/>
    <w:rsid w:val="00146124"/>
    <w:rsid w:val="001473DB"/>
    <w:rsid w:val="00150EAE"/>
    <w:rsid w:val="0016089F"/>
    <w:rsid w:val="00160C02"/>
    <w:rsid w:val="0016179D"/>
    <w:rsid w:val="0016728E"/>
    <w:rsid w:val="00174CD8"/>
    <w:rsid w:val="00174D9E"/>
    <w:rsid w:val="001762D0"/>
    <w:rsid w:val="001865B0"/>
    <w:rsid w:val="001929DF"/>
    <w:rsid w:val="00194A4F"/>
    <w:rsid w:val="001953FD"/>
    <w:rsid w:val="001A4477"/>
    <w:rsid w:val="001B6950"/>
    <w:rsid w:val="001C2633"/>
    <w:rsid w:val="001C68B1"/>
    <w:rsid w:val="001C74AC"/>
    <w:rsid w:val="001D4B31"/>
    <w:rsid w:val="001D7CFB"/>
    <w:rsid w:val="001D7F83"/>
    <w:rsid w:val="001E24EA"/>
    <w:rsid w:val="001E507D"/>
    <w:rsid w:val="001E534E"/>
    <w:rsid w:val="001E7DC9"/>
    <w:rsid w:val="001F0653"/>
    <w:rsid w:val="001F23A2"/>
    <w:rsid w:val="00201B91"/>
    <w:rsid w:val="00202713"/>
    <w:rsid w:val="0020318C"/>
    <w:rsid w:val="00204461"/>
    <w:rsid w:val="0020675F"/>
    <w:rsid w:val="002135C9"/>
    <w:rsid w:val="00220341"/>
    <w:rsid w:val="002215A9"/>
    <w:rsid w:val="002256EB"/>
    <w:rsid w:val="00230330"/>
    <w:rsid w:val="00231F8D"/>
    <w:rsid w:val="00232A73"/>
    <w:rsid w:val="00232B97"/>
    <w:rsid w:val="00234DC0"/>
    <w:rsid w:val="00234EDA"/>
    <w:rsid w:val="00237C7B"/>
    <w:rsid w:val="00241B72"/>
    <w:rsid w:val="00241DFF"/>
    <w:rsid w:val="00243159"/>
    <w:rsid w:val="002448CC"/>
    <w:rsid w:val="00252C7C"/>
    <w:rsid w:val="00255F78"/>
    <w:rsid w:val="00260BE9"/>
    <w:rsid w:val="002639A9"/>
    <w:rsid w:val="00266687"/>
    <w:rsid w:val="00277154"/>
    <w:rsid w:val="002811BC"/>
    <w:rsid w:val="00291756"/>
    <w:rsid w:val="00291FF8"/>
    <w:rsid w:val="00292E55"/>
    <w:rsid w:val="00293B0B"/>
    <w:rsid w:val="002971FE"/>
    <w:rsid w:val="002979FD"/>
    <w:rsid w:val="002A17B7"/>
    <w:rsid w:val="002A52EF"/>
    <w:rsid w:val="002A571F"/>
    <w:rsid w:val="002A72E8"/>
    <w:rsid w:val="002A79B9"/>
    <w:rsid w:val="002A7C94"/>
    <w:rsid w:val="002A7E64"/>
    <w:rsid w:val="002B1A19"/>
    <w:rsid w:val="002B35E9"/>
    <w:rsid w:val="002B5079"/>
    <w:rsid w:val="002B5F1D"/>
    <w:rsid w:val="002C7677"/>
    <w:rsid w:val="002D2068"/>
    <w:rsid w:val="002E3BA6"/>
    <w:rsid w:val="002E701D"/>
    <w:rsid w:val="002E76B8"/>
    <w:rsid w:val="002F0FC4"/>
    <w:rsid w:val="00303150"/>
    <w:rsid w:val="00304F34"/>
    <w:rsid w:val="003058C7"/>
    <w:rsid w:val="00312223"/>
    <w:rsid w:val="00313516"/>
    <w:rsid w:val="00313658"/>
    <w:rsid w:val="00317211"/>
    <w:rsid w:val="00320649"/>
    <w:rsid w:val="00321725"/>
    <w:rsid w:val="00324FF3"/>
    <w:rsid w:val="00332EC8"/>
    <w:rsid w:val="00334BB1"/>
    <w:rsid w:val="003437B4"/>
    <w:rsid w:val="0034414B"/>
    <w:rsid w:val="00344E9C"/>
    <w:rsid w:val="00350531"/>
    <w:rsid w:val="00351FBE"/>
    <w:rsid w:val="00355D70"/>
    <w:rsid w:val="0036330A"/>
    <w:rsid w:val="003642CA"/>
    <w:rsid w:val="00365D90"/>
    <w:rsid w:val="00366B1F"/>
    <w:rsid w:val="00367D56"/>
    <w:rsid w:val="00372CAB"/>
    <w:rsid w:val="003731AB"/>
    <w:rsid w:val="00373B22"/>
    <w:rsid w:val="00382CAD"/>
    <w:rsid w:val="00383E05"/>
    <w:rsid w:val="0039101E"/>
    <w:rsid w:val="0039574F"/>
    <w:rsid w:val="00395C54"/>
    <w:rsid w:val="003A1049"/>
    <w:rsid w:val="003A1842"/>
    <w:rsid w:val="003B1D87"/>
    <w:rsid w:val="003B48DC"/>
    <w:rsid w:val="003B507C"/>
    <w:rsid w:val="003C2BE9"/>
    <w:rsid w:val="003C30ED"/>
    <w:rsid w:val="003C50DA"/>
    <w:rsid w:val="003C55BB"/>
    <w:rsid w:val="003C7D78"/>
    <w:rsid w:val="003D1257"/>
    <w:rsid w:val="003D4C1A"/>
    <w:rsid w:val="003D7625"/>
    <w:rsid w:val="003E041A"/>
    <w:rsid w:val="003E0569"/>
    <w:rsid w:val="003E2970"/>
    <w:rsid w:val="003E3E69"/>
    <w:rsid w:val="003F0F85"/>
    <w:rsid w:val="003F56D9"/>
    <w:rsid w:val="00402007"/>
    <w:rsid w:val="00406D92"/>
    <w:rsid w:val="0041352C"/>
    <w:rsid w:val="00414936"/>
    <w:rsid w:val="004271C9"/>
    <w:rsid w:val="00430B77"/>
    <w:rsid w:val="00431AD9"/>
    <w:rsid w:val="00431FFA"/>
    <w:rsid w:val="004361BB"/>
    <w:rsid w:val="00436FC6"/>
    <w:rsid w:val="00440C73"/>
    <w:rsid w:val="00441832"/>
    <w:rsid w:val="00442633"/>
    <w:rsid w:val="004432A3"/>
    <w:rsid w:val="0044550F"/>
    <w:rsid w:val="004535FD"/>
    <w:rsid w:val="0046251F"/>
    <w:rsid w:val="0046512A"/>
    <w:rsid w:val="004665EC"/>
    <w:rsid w:val="004665FB"/>
    <w:rsid w:val="00470929"/>
    <w:rsid w:val="004749D4"/>
    <w:rsid w:val="004749F3"/>
    <w:rsid w:val="00481944"/>
    <w:rsid w:val="00481B45"/>
    <w:rsid w:val="00485793"/>
    <w:rsid w:val="00485C40"/>
    <w:rsid w:val="00491D85"/>
    <w:rsid w:val="00492401"/>
    <w:rsid w:val="0049288B"/>
    <w:rsid w:val="00492F0F"/>
    <w:rsid w:val="0049516B"/>
    <w:rsid w:val="004A0BCB"/>
    <w:rsid w:val="004A1FA8"/>
    <w:rsid w:val="004A26C5"/>
    <w:rsid w:val="004A3D01"/>
    <w:rsid w:val="004B0285"/>
    <w:rsid w:val="004B155D"/>
    <w:rsid w:val="004B3248"/>
    <w:rsid w:val="004C43E9"/>
    <w:rsid w:val="004C4588"/>
    <w:rsid w:val="004D0D8D"/>
    <w:rsid w:val="004D733B"/>
    <w:rsid w:val="004E0E78"/>
    <w:rsid w:val="004E401D"/>
    <w:rsid w:val="004E48C0"/>
    <w:rsid w:val="004E4BB8"/>
    <w:rsid w:val="004E6E9B"/>
    <w:rsid w:val="004F0543"/>
    <w:rsid w:val="004F0942"/>
    <w:rsid w:val="004F33A9"/>
    <w:rsid w:val="004F5390"/>
    <w:rsid w:val="004F558D"/>
    <w:rsid w:val="00500268"/>
    <w:rsid w:val="00502490"/>
    <w:rsid w:val="0050436D"/>
    <w:rsid w:val="005050D5"/>
    <w:rsid w:val="0050663B"/>
    <w:rsid w:val="00507AA2"/>
    <w:rsid w:val="00510EDC"/>
    <w:rsid w:val="00511CE5"/>
    <w:rsid w:val="0051640C"/>
    <w:rsid w:val="00516631"/>
    <w:rsid w:val="005167AB"/>
    <w:rsid w:val="00517B9D"/>
    <w:rsid w:val="00520700"/>
    <w:rsid w:val="00531081"/>
    <w:rsid w:val="00531168"/>
    <w:rsid w:val="00536FDD"/>
    <w:rsid w:val="00541B57"/>
    <w:rsid w:val="0054253E"/>
    <w:rsid w:val="00543632"/>
    <w:rsid w:val="005447EB"/>
    <w:rsid w:val="00546048"/>
    <w:rsid w:val="005460C4"/>
    <w:rsid w:val="00551641"/>
    <w:rsid w:val="005528E6"/>
    <w:rsid w:val="00553DAF"/>
    <w:rsid w:val="005633F7"/>
    <w:rsid w:val="00565FA6"/>
    <w:rsid w:val="00570749"/>
    <w:rsid w:val="005743B4"/>
    <w:rsid w:val="0057573A"/>
    <w:rsid w:val="00582AE7"/>
    <w:rsid w:val="00584476"/>
    <w:rsid w:val="00585D96"/>
    <w:rsid w:val="00591E72"/>
    <w:rsid w:val="005969BF"/>
    <w:rsid w:val="005974DC"/>
    <w:rsid w:val="005A4DFB"/>
    <w:rsid w:val="005A7462"/>
    <w:rsid w:val="005A7886"/>
    <w:rsid w:val="005B3691"/>
    <w:rsid w:val="005B5D5B"/>
    <w:rsid w:val="005C175B"/>
    <w:rsid w:val="005C25CE"/>
    <w:rsid w:val="005C75E3"/>
    <w:rsid w:val="005D0229"/>
    <w:rsid w:val="005D5A7C"/>
    <w:rsid w:val="005D5E6F"/>
    <w:rsid w:val="005D690C"/>
    <w:rsid w:val="005D6F95"/>
    <w:rsid w:val="005D7066"/>
    <w:rsid w:val="005E09A4"/>
    <w:rsid w:val="005E37F2"/>
    <w:rsid w:val="00600D94"/>
    <w:rsid w:val="00601B11"/>
    <w:rsid w:val="006021A4"/>
    <w:rsid w:val="006057C9"/>
    <w:rsid w:val="006140E0"/>
    <w:rsid w:val="00620B2B"/>
    <w:rsid w:val="0062133D"/>
    <w:rsid w:val="00622749"/>
    <w:rsid w:val="00632488"/>
    <w:rsid w:val="00636A58"/>
    <w:rsid w:val="006374CE"/>
    <w:rsid w:val="006432F2"/>
    <w:rsid w:val="006504BA"/>
    <w:rsid w:val="006527D8"/>
    <w:rsid w:val="00652BDD"/>
    <w:rsid w:val="00652E13"/>
    <w:rsid w:val="006530C7"/>
    <w:rsid w:val="00653F4F"/>
    <w:rsid w:val="0065648C"/>
    <w:rsid w:val="00672036"/>
    <w:rsid w:val="0067526A"/>
    <w:rsid w:val="00675A4C"/>
    <w:rsid w:val="006832A2"/>
    <w:rsid w:val="00684F32"/>
    <w:rsid w:val="00687447"/>
    <w:rsid w:val="00692FD5"/>
    <w:rsid w:val="006A034F"/>
    <w:rsid w:val="006A0CA7"/>
    <w:rsid w:val="006A658B"/>
    <w:rsid w:val="006A7D6A"/>
    <w:rsid w:val="006B00C8"/>
    <w:rsid w:val="006B4151"/>
    <w:rsid w:val="006B668C"/>
    <w:rsid w:val="006C14D8"/>
    <w:rsid w:val="006C1624"/>
    <w:rsid w:val="006C3250"/>
    <w:rsid w:val="006C50EE"/>
    <w:rsid w:val="006C6E17"/>
    <w:rsid w:val="006C7C3D"/>
    <w:rsid w:val="006E608A"/>
    <w:rsid w:val="006E6AA5"/>
    <w:rsid w:val="006F37CD"/>
    <w:rsid w:val="00700795"/>
    <w:rsid w:val="00705F1B"/>
    <w:rsid w:val="007116EA"/>
    <w:rsid w:val="00712FC6"/>
    <w:rsid w:val="00714660"/>
    <w:rsid w:val="00716551"/>
    <w:rsid w:val="007174E1"/>
    <w:rsid w:val="007239C2"/>
    <w:rsid w:val="00726CD2"/>
    <w:rsid w:val="0073095D"/>
    <w:rsid w:val="00730E17"/>
    <w:rsid w:val="00730E79"/>
    <w:rsid w:val="007326AA"/>
    <w:rsid w:val="007333C4"/>
    <w:rsid w:val="00733D09"/>
    <w:rsid w:val="007379CA"/>
    <w:rsid w:val="00737F98"/>
    <w:rsid w:val="007401DE"/>
    <w:rsid w:val="00741886"/>
    <w:rsid w:val="00742390"/>
    <w:rsid w:val="00747D2E"/>
    <w:rsid w:val="007529BF"/>
    <w:rsid w:val="00756D1E"/>
    <w:rsid w:val="00756DA1"/>
    <w:rsid w:val="00761A1D"/>
    <w:rsid w:val="00761B98"/>
    <w:rsid w:val="00762D70"/>
    <w:rsid w:val="0076367A"/>
    <w:rsid w:val="00764D3D"/>
    <w:rsid w:val="0077285B"/>
    <w:rsid w:val="00772AAB"/>
    <w:rsid w:val="00774CAC"/>
    <w:rsid w:val="00780D76"/>
    <w:rsid w:val="00782D67"/>
    <w:rsid w:val="00786BA8"/>
    <w:rsid w:val="00791BC6"/>
    <w:rsid w:val="0079484C"/>
    <w:rsid w:val="007A1025"/>
    <w:rsid w:val="007A1690"/>
    <w:rsid w:val="007A1695"/>
    <w:rsid w:val="007A1F1D"/>
    <w:rsid w:val="007A2FAC"/>
    <w:rsid w:val="007A524E"/>
    <w:rsid w:val="007C11A5"/>
    <w:rsid w:val="007C12F2"/>
    <w:rsid w:val="007C4E3E"/>
    <w:rsid w:val="007D1DF6"/>
    <w:rsid w:val="007D3165"/>
    <w:rsid w:val="007E390C"/>
    <w:rsid w:val="007E6C6C"/>
    <w:rsid w:val="007E6D08"/>
    <w:rsid w:val="007F03E5"/>
    <w:rsid w:val="007F2D7F"/>
    <w:rsid w:val="00800236"/>
    <w:rsid w:val="00805854"/>
    <w:rsid w:val="008073FA"/>
    <w:rsid w:val="00813D1C"/>
    <w:rsid w:val="0081455F"/>
    <w:rsid w:val="0081533F"/>
    <w:rsid w:val="00815353"/>
    <w:rsid w:val="008153EE"/>
    <w:rsid w:val="0082064B"/>
    <w:rsid w:val="00820C59"/>
    <w:rsid w:val="00821FAA"/>
    <w:rsid w:val="00826C6E"/>
    <w:rsid w:val="00826ED5"/>
    <w:rsid w:val="00832460"/>
    <w:rsid w:val="00833E07"/>
    <w:rsid w:val="0083553B"/>
    <w:rsid w:val="008456A6"/>
    <w:rsid w:val="0085647A"/>
    <w:rsid w:val="0085699D"/>
    <w:rsid w:val="00862E74"/>
    <w:rsid w:val="00865C82"/>
    <w:rsid w:val="00866E6D"/>
    <w:rsid w:val="00870AEA"/>
    <w:rsid w:val="008712E9"/>
    <w:rsid w:val="00876141"/>
    <w:rsid w:val="00876F1F"/>
    <w:rsid w:val="00882AB6"/>
    <w:rsid w:val="00885788"/>
    <w:rsid w:val="008858A9"/>
    <w:rsid w:val="0088594A"/>
    <w:rsid w:val="00886135"/>
    <w:rsid w:val="00890C0E"/>
    <w:rsid w:val="00897434"/>
    <w:rsid w:val="008A28A7"/>
    <w:rsid w:val="008A2948"/>
    <w:rsid w:val="008B0648"/>
    <w:rsid w:val="008B072E"/>
    <w:rsid w:val="008B0A88"/>
    <w:rsid w:val="008B0B53"/>
    <w:rsid w:val="008B111A"/>
    <w:rsid w:val="008B11B8"/>
    <w:rsid w:val="008B27CF"/>
    <w:rsid w:val="008B3E90"/>
    <w:rsid w:val="008B491A"/>
    <w:rsid w:val="008B4D7D"/>
    <w:rsid w:val="008B5907"/>
    <w:rsid w:val="008B5B82"/>
    <w:rsid w:val="008B70C5"/>
    <w:rsid w:val="008B746F"/>
    <w:rsid w:val="008C0F93"/>
    <w:rsid w:val="008C26BA"/>
    <w:rsid w:val="008C7EA0"/>
    <w:rsid w:val="008D189B"/>
    <w:rsid w:val="008D1F51"/>
    <w:rsid w:val="008D39F9"/>
    <w:rsid w:val="008D3B55"/>
    <w:rsid w:val="008D4C1D"/>
    <w:rsid w:val="008D75D2"/>
    <w:rsid w:val="008E300B"/>
    <w:rsid w:val="008E45EB"/>
    <w:rsid w:val="008E5A84"/>
    <w:rsid w:val="008E748F"/>
    <w:rsid w:val="008E78D9"/>
    <w:rsid w:val="008F1665"/>
    <w:rsid w:val="008F6727"/>
    <w:rsid w:val="008F7F08"/>
    <w:rsid w:val="00900B0F"/>
    <w:rsid w:val="00901D63"/>
    <w:rsid w:val="00905464"/>
    <w:rsid w:val="0090630B"/>
    <w:rsid w:val="00906D8F"/>
    <w:rsid w:val="0091131D"/>
    <w:rsid w:val="00917A98"/>
    <w:rsid w:val="00922609"/>
    <w:rsid w:val="00922C21"/>
    <w:rsid w:val="0092543A"/>
    <w:rsid w:val="009254E1"/>
    <w:rsid w:val="009345AF"/>
    <w:rsid w:val="00937FFA"/>
    <w:rsid w:val="009429C9"/>
    <w:rsid w:val="00944B6E"/>
    <w:rsid w:val="00945122"/>
    <w:rsid w:val="009458E1"/>
    <w:rsid w:val="00945CB9"/>
    <w:rsid w:val="00946B51"/>
    <w:rsid w:val="00947D8E"/>
    <w:rsid w:val="00950009"/>
    <w:rsid w:val="00952267"/>
    <w:rsid w:val="009524EE"/>
    <w:rsid w:val="00952628"/>
    <w:rsid w:val="00952916"/>
    <w:rsid w:val="00953575"/>
    <w:rsid w:val="00955F4A"/>
    <w:rsid w:val="009573C4"/>
    <w:rsid w:val="00960D79"/>
    <w:rsid w:val="00961539"/>
    <w:rsid w:val="00962631"/>
    <w:rsid w:val="009642D2"/>
    <w:rsid w:val="0097041A"/>
    <w:rsid w:val="009708E0"/>
    <w:rsid w:val="0097213F"/>
    <w:rsid w:val="00974DEC"/>
    <w:rsid w:val="00984C86"/>
    <w:rsid w:val="0099060C"/>
    <w:rsid w:val="00990803"/>
    <w:rsid w:val="00991249"/>
    <w:rsid w:val="009917F2"/>
    <w:rsid w:val="00992324"/>
    <w:rsid w:val="0099253A"/>
    <w:rsid w:val="0099468B"/>
    <w:rsid w:val="00995D98"/>
    <w:rsid w:val="009A10F8"/>
    <w:rsid w:val="009A2426"/>
    <w:rsid w:val="009A3120"/>
    <w:rsid w:val="009A557F"/>
    <w:rsid w:val="009B7537"/>
    <w:rsid w:val="009C01B6"/>
    <w:rsid w:val="009C0FF0"/>
    <w:rsid w:val="009C5562"/>
    <w:rsid w:val="009D24B1"/>
    <w:rsid w:val="009D41D1"/>
    <w:rsid w:val="009D4B83"/>
    <w:rsid w:val="009D6697"/>
    <w:rsid w:val="009D7244"/>
    <w:rsid w:val="009E340A"/>
    <w:rsid w:val="009E376E"/>
    <w:rsid w:val="009F28C2"/>
    <w:rsid w:val="009F493A"/>
    <w:rsid w:val="009F720E"/>
    <w:rsid w:val="00A01085"/>
    <w:rsid w:val="00A04E74"/>
    <w:rsid w:val="00A123AC"/>
    <w:rsid w:val="00A126FF"/>
    <w:rsid w:val="00A15781"/>
    <w:rsid w:val="00A17904"/>
    <w:rsid w:val="00A201BA"/>
    <w:rsid w:val="00A219F7"/>
    <w:rsid w:val="00A2558F"/>
    <w:rsid w:val="00A26A0E"/>
    <w:rsid w:val="00A3175E"/>
    <w:rsid w:val="00A3557B"/>
    <w:rsid w:val="00A428A8"/>
    <w:rsid w:val="00A432A5"/>
    <w:rsid w:val="00A45970"/>
    <w:rsid w:val="00A53E27"/>
    <w:rsid w:val="00A57BAD"/>
    <w:rsid w:val="00A61721"/>
    <w:rsid w:val="00A729C0"/>
    <w:rsid w:val="00A77D63"/>
    <w:rsid w:val="00A821C8"/>
    <w:rsid w:val="00A821D1"/>
    <w:rsid w:val="00A87847"/>
    <w:rsid w:val="00A92238"/>
    <w:rsid w:val="00A95BFD"/>
    <w:rsid w:val="00AA41B8"/>
    <w:rsid w:val="00AB210E"/>
    <w:rsid w:val="00AB2E79"/>
    <w:rsid w:val="00AB7202"/>
    <w:rsid w:val="00AB7939"/>
    <w:rsid w:val="00AB79B6"/>
    <w:rsid w:val="00AC06BE"/>
    <w:rsid w:val="00AC06E6"/>
    <w:rsid w:val="00AC077C"/>
    <w:rsid w:val="00AC30E3"/>
    <w:rsid w:val="00AC5D2F"/>
    <w:rsid w:val="00AC68B5"/>
    <w:rsid w:val="00AD094B"/>
    <w:rsid w:val="00AD11E1"/>
    <w:rsid w:val="00AD17DE"/>
    <w:rsid w:val="00AD203A"/>
    <w:rsid w:val="00AE0211"/>
    <w:rsid w:val="00AE1A0E"/>
    <w:rsid w:val="00AE4C4A"/>
    <w:rsid w:val="00AE4D98"/>
    <w:rsid w:val="00AE72EE"/>
    <w:rsid w:val="00AF32AA"/>
    <w:rsid w:val="00AF65D4"/>
    <w:rsid w:val="00AF66D0"/>
    <w:rsid w:val="00B12988"/>
    <w:rsid w:val="00B12FE2"/>
    <w:rsid w:val="00B141C8"/>
    <w:rsid w:val="00B15CB5"/>
    <w:rsid w:val="00B16463"/>
    <w:rsid w:val="00B172DA"/>
    <w:rsid w:val="00B205FB"/>
    <w:rsid w:val="00B22E8C"/>
    <w:rsid w:val="00B32668"/>
    <w:rsid w:val="00B32873"/>
    <w:rsid w:val="00B33B82"/>
    <w:rsid w:val="00B34D7E"/>
    <w:rsid w:val="00B409F0"/>
    <w:rsid w:val="00B41C1C"/>
    <w:rsid w:val="00B470D2"/>
    <w:rsid w:val="00B475DE"/>
    <w:rsid w:val="00B50FA1"/>
    <w:rsid w:val="00B5213A"/>
    <w:rsid w:val="00B53BC3"/>
    <w:rsid w:val="00B542DD"/>
    <w:rsid w:val="00B54425"/>
    <w:rsid w:val="00B559DB"/>
    <w:rsid w:val="00B56779"/>
    <w:rsid w:val="00B61289"/>
    <w:rsid w:val="00B63B42"/>
    <w:rsid w:val="00B662D3"/>
    <w:rsid w:val="00B7082D"/>
    <w:rsid w:val="00B716F2"/>
    <w:rsid w:val="00B74FB1"/>
    <w:rsid w:val="00B90104"/>
    <w:rsid w:val="00B9205E"/>
    <w:rsid w:val="00B93FB6"/>
    <w:rsid w:val="00B9698A"/>
    <w:rsid w:val="00B972A2"/>
    <w:rsid w:val="00B9762C"/>
    <w:rsid w:val="00BA0C60"/>
    <w:rsid w:val="00BA2E5A"/>
    <w:rsid w:val="00BA6F69"/>
    <w:rsid w:val="00BB00F2"/>
    <w:rsid w:val="00BB067C"/>
    <w:rsid w:val="00BB1530"/>
    <w:rsid w:val="00BB324C"/>
    <w:rsid w:val="00BB3F3C"/>
    <w:rsid w:val="00BB55EA"/>
    <w:rsid w:val="00BC171D"/>
    <w:rsid w:val="00BC2DCD"/>
    <w:rsid w:val="00BC5D8F"/>
    <w:rsid w:val="00BD0BC2"/>
    <w:rsid w:val="00BD1274"/>
    <w:rsid w:val="00BD183E"/>
    <w:rsid w:val="00BD2018"/>
    <w:rsid w:val="00BD4230"/>
    <w:rsid w:val="00BD42AA"/>
    <w:rsid w:val="00BD4C25"/>
    <w:rsid w:val="00BD507C"/>
    <w:rsid w:val="00BD6D5E"/>
    <w:rsid w:val="00BE38EE"/>
    <w:rsid w:val="00BE4B84"/>
    <w:rsid w:val="00BE58FA"/>
    <w:rsid w:val="00BE6910"/>
    <w:rsid w:val="00BE7AA8"/>
    <w:rsid w:val="00BF24C4"/>
    <w:rsid w:val="00BF4998"/>
    <w:rsid w:val="00BF6757"/>
    <w:rsid w:val="00BF6F6B"/>
    <w:rsid w:val="00C03753"/>
    <w:rsid w:val="00C0499A"/>
    <w:rsid w:val="00C04EA9"/>
    <w:rsid w:val="00C11A88"/>
    <w:rsid w:val="00C142BE"/>
    <w:rsid w:val="00C163C0"/>
    <w:rsid w:val="00C16769"/>
    <w:rsid w:val="00C178AB"/>
    <w:rsid w:val="00C22198"/>
    <w:rsid w:val="00C22C45"/>
    <w:rsid w:val="00C25869"/>
    <w:rsid w:val="00C313BC"/>
    <w:rsid w:val="00C32CD7"/>
    <w:rsid w:val="00C3503D"/>
    <w:rsid w:val="00C36258"/>
    <w:rsid w:val="00C37DAC"/>
    <w:rsid w:val="00C45AF3"/>
    <w:rsid w:val="00C4772A"/>
    <w:rsid w:val="00C51285"/>
    <w:rsid w:val="00C579B1"/>
    <w:rsid w:val="00C61223"/>
    <w:rsid w:val="00C61B57"/>
    <w:rsid w:val="00C6302B"/>
    <w:rsid w:val="00C645D2"/>
    <w:rsid w:val="00C64607"/>
    <w:rsid w:val="00C64B69"/>
    <w:rsid w:val="00C7569F"/>
    <w:rsid w:val="00C776C6"/>
    <w:rsid w:val="00C818CF"/>
    <w:rsid w:val="00C82EBE"/>
    <w:rsid w:val="00C834E2"/>
    <w:rsid w:val="00C83A42"/>
    <w:rsid w:val="00C84259"/>
    <w:rsid w:val="00C864BC"/>
    <w:rsid w:val="00C9000A"/>
    <w:rsid w:val="00C92F34"/>
    <w:rsid w:val="00C932BC"/>
    <w:rsid w:val="00C95B0E"/>
    <w:rsid w:val="00C95DE9"/>
    <w:rsid w:val="00C96B95"/>
    <w:rsid w:val="00CA58AA"/>
    <w:rsid w:val="00CB0A2E"/>
    <w:rsid w:val="00CB3EA7"/>
    <w:rsid w:val="00CB737E"/>
    <w:rsid w:val="00CB77CF"/>
    <w:rsid w:val="00CC005B"/>
    <w:rsid w:val="00CD1DFC"/>
    <w:rsid w:val="00CE3CF1"/>
    <w:rsid w:val="00CE57E2"/>
    <w:rsid w:val="00CE7091"/>
    <w:rsid w:val="00CF164D"/>
    <w:rsid w:val="00CF1C7F"/>
    <w:rsid w:val="00CF39E9"/>
    <w:rsid w:val="00CF49D1"/>
    <w:rsid w:val="00CF4BF7"/>
    <w:rsid w:val="00CF67E3"/>
    <w:rsid w:val="00D03905"/>
    <w:rsid w:val="00D05479"/>
    <w:rsid w:val="00D07DB4"/>
    <w:rsid w:val="00D10FFB"/>
    <w:rsid w:val="00D1767F"/>
    <w:rsid w:val="00D2216D"/>
    <w:rsid w:val="00D2545D"/>
    <w:rsid w:val="00D25870"/>
    <w:rsid w:val="00D35D18"/>
    <w:rsid w:val="00D363E5"/>
    <w:rsid w:val="00D3683B"/>
    <w:rsid w:val="00D370E3"/>
    <w:rsid w:val="00D43E2A"/>
    <w:rsid w:val="00D46943"/>
    <w:rsid w:val="00D47EB6"/>
    <w:rsid w:val="00D50E73"/>
    <w:rsid w:val="00D53471"/>
    <w:rsid w:val="00D67A5B"/>
    <w:rsid w:val="00D67E47"/>
    <w:rsid w:val="00D74FB3"/>
    <w:rsid w:val="00D77DAB"/>
    <w:rsid w:val="00D805F0"/>
    <w:rsid w:val="00D812D5"/>
    <w:rsid w:val="00D85E02"/>
    <w:rsid w:val="00D863A3"/>
    <w:rsid w:val="00D86BBC"/>
    <w:rsid w:val="00D87916"/>
    <w:rsid w:val="00D9378A"/>
    <w:rsid w:val="00D93D14"/>
    <w:rsid w:val="00D93E32"/>
    <w:rsid w:val="00D94FDF"/>
    <w:rsid w:val="00D966E1"/>
    <w:rsid w:val="00D9775E"/>
    <w:rsid w:val="00DA2DCE"/>
    <w:rsid w:val="00DA7462"/>
    <w:rsid w:val="00DA757A"/>
    <w:rsid w:val="00DA7FCB"/>
    <w:rsid w:val="00DB2465"/>
    <w:rsid w:val="00DB3DD9"/>
    <w:rsid w:val="00DB678F"/>
    <w:rsid w:val="00DC157E"/>
    <w:rsid w:val="00DC2922"/>
    <w:rsid w:val="00DC2FCF"/>
    <w:rsid w:val="00DC4C68"/>
    <w:rsid w:val="00DC585B"/>
    <w:rsid w:val="00DC6963"/>
    <w:rsid w:val="00DD5E90"/>
    <w:rsid w:val="00DE0870"/>
    <w:rsid w:val="00DE1B65"/>
    <w:rsid w:val="00DF235F"/>
    <w:rsid w:val="00DF7FA5"/>
    <w:rsid w:val="00E00090"/>
    <w:rsid w:val="00E01509"/>
    <w:rsid w:val="00E01A11"/>
    <w:rsid w:val="00E0303C"/>
    <w:rsid w:val="00E0531E"/>
    <w:rsid w:val="00E14ED5"/>
    <w:rsid w:val="00E167CD"/>
    <w:rsid w:val="00E16F25"/>
    <w:rsid w:val="00E16FF3"/>
    <w:rsid w:val="00E1707F"/>
    <w:rsid w:val="00E21AB3"/>
    <w:rsid w:val="00E275C0"/>
    <w:rsid w:val="00E313CC"/>
    <w:rsid w:val="00E32C50"/>
    <w:rsid w:val="00E334FB"/>
    <w:rsid w:val="00E35E24"/>
    <w:rsid w:val="00E52608"/>
    <w:rsid w:val="00E53F2C"/>
    <w:rsid w:val="00E55A93"/>
    <w:rsid w:val="00E578A6"/>
    <w:rsid w:val="00E600F1"/>
    <w:rsid w:val="00E62014"/>
    <w:rsid w:val="00E64200"/>
    <w:rsid w:val="00E643E0"/>
    <w:rsid w:val="00E673E1"/>
    <w:rsid w:val="00E67B97"/>
    <w:rsid w:val="00E70DE1"/>
    <w:rsid w:val="00E77354"/>
    <w:rsid w:val="00E816E0"/>
    <w:rsid w:val="00E8213F"/>
    <w:rsid w:val="00E8546E"/>
    <w:rsid w:val="00E9169B"/>
    <w:rsid w:val="00E92874"/>
    <w:rsid w:val="00E9321A"/>
    <w:rsid w:val="00E95477"/>
    <w:rsid w:val="00E97C83"/>
    <w:rsid w:val="00E97DEC"/>
    <w:rsid w:val="00EA24B0"/>
    <w:rsid w:val="00EA44C0"/>
    <w:rsid w:val="00EB1DB8"/>
    <w:rsid w:val="00EB3031"/>
    <w:rsid w:val="00EC05A0"/>
    <w:rsid w:val="00EC1BFD"/>
    <w:rsid w:val="00EC1E37"/>
    <w:rsid w:val="00EC7F91"/>
    <w:rsid w:val="00ED6AC9"/>
    <w:rsid w:val="00ED6F4B"/>
    <w:rsid w:val="00EE4F96"/>
    <w:rsid w:val="00EE7266"/>
    <w:rsid w:val="00EF0E42"/>
    <w:rsid w:val="00EF1714"/>
    <w:rsid w:val="00EF2114"/>
    <w:rsid w:val="00EF2D8D"/>
    <w:rsid w:val="00EF2F1A"/>
    <w:rsid w:val="00F05309"/>
    <w:rsid w:val="00F10056"/>
    <w:rsid w:val="00F110FB"/>
    <w:rsid w:val="00F141D6"/>
    <w:rsid w:val="00F15233"/>
    <w:rsid w:val="00F15B8F"/>
    <w:rsid w:val="00F2367A"/>
    <w:rsid w:val="00F2519E"/>
    <w:rsid w:val="00F30089"/>
    <w:rsid w:val="00F32352"/>
    <w:rsid w:val="00F3256F"/>
    <w:rsid w:val="00F33B81"/>
    <w:rsid w:val="00F344F1"/>
    <w:rsid w:val="00F35F89"/>
    <w:rsid w:val="00F37686"/>
    <w:rsid w:val="00F41E26"/>
    <w:rsid w:val="00F4760E"/>
    <w:rsid w:val="00F5608C"/>
    <w:rsid w:val="00F60153"/>
    <w:rsid w:val="00F60CB3"/>
    <w:rsid w:val="00F623C2"/>
    <w:rsid w:val="00F77059"/>
    <w:rsid w:val="00F80BBD"/>
    <w:rsid w:val="00F81803"/>
    <w:rsid w:val="00F83A4D"/>
    <w:rsid w:val="00F85D2A"/>
    <w:rsid w:val="00F9005F"/>
    <w:rsid w:val="00FA001E"/>
    <w:rsid w:val="00FA190E"/>
    <w:rsid w:val="00FA432F"/>
    <w:rsid w:val="00FB0359"/>
    <w:rsid w:val="00FB4757"/>
    <w:rsid w:val="00FB5140"/>
    <w:rsid w:val="00FC6C62"/>
    <w:rsid w:val="00FC7217"/>
    <w:rsid w:val="00FD0C58"/>
    <w:rsid w:val="00FD7F06"/>
    <w:rsid w:val="00FD7F29"/>
    <w:rsid w:val="00FE18FD"/>
    <w:rsid w:val="00FE390E"/>
    <w:rsid w:val="00FE3C89"/>
    <w:rsid w:val="00FF0CDF"/>
    <w:rsid w:val="00FF117D"/>
    <w:rsid w:val="00FF6FDD"/>
    <w:rsid w:val="0DA4732C"/>
    <w:rsid w:val="1384588B"/>
    <w:rsid w:val="1F0E2740"/>
    <w:rsid w:val="25B81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BBAE5"/>
  <w15:docId w15:val="{951966F7-49E5-47AA-96C0-629137F83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260" w:after="260" w:line="413" w:lineRule="auto"/>
      <w:outlineLvl w:val="1"/>
    </w:pPr>
    <w:rPr>
      <w:rFonts w:ascii="Arial" w:eastAsia="SimHei" w:hAnsi="Arial"/>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style>
  <w:style w:type="paragraph" w:styleId="BodyTextIndent">
    <w:name w:val="Body Text Indent"/>
    <w:basedOn w:val="Normal"/>
    <w:link w:val="BodyTextIndentChar"/>
    <w:qFormat/>
    <w:pPr>
      <w:adjustRightInd w:val="0"/>
      <w:spacing w:line="312" w:lineRule="atLeast"/>
      <w:ind w:firstLine="420"/>
      <w:textAlignment w:val="baseline"/>
    </w:pPr>
    <w:rPr>
      <w:rFonts w:ascii="Times New Roman" w:eastAsia="SimSun" w:hAnsi="Times New Roman" w:cs="Times New Roman"/>
      <w:kern w:val="0"/>
      <w:sz w:val="24"/>
      <w:szCs w:val="20"/>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character" w:styleId="Strong">
    <w:name w:val="Strong"/>
    <w:basedOn w:val="DefaultParagraphFont"/>
    <w:uiPriority w:val="22"/>
    <w:qFormat/>
    <w:rPr>
      <w:b/>
      <w:color w:val="DD4B39"/>
    </w:rPr>
  </w:style>
  <w:style w:type="character" w:styleId="LineNumber">
    <w:name w:val="line number"/>
    <w:basedOn w:val="DefaultParagraphFont"/>
    <w:uiPriority w:val="99"/>
    <w:semiHidden/>
    <w:unhideWhenUsed/>
    <w:qFormat/>
  </w:style>
  <w:style w:type="character" w:styleId="CommentReference">
    <w:name w:val="annotation reference"/>
    <w:basedOn w:val="DefaultParagraphFont"/>
    <w:uiPriority w:val="99"/>
    <w:semiHidden/>
    <w:unhideWhenUsed/>
    <w:qFormat/>
    <w:rPr>
      <w:sz w:val="21"/>
      <w:szCs w:val="21"/>
    </w:rPr>
  </w:style>
  <w:style w:type="character" w:customStyle="1" w:styleId="CommentTextChar">
    <w:name w:val="Comment Text Char"/>
    <w:basedOn w:val="DefaultParagraphFont"/>
    <w:link w:val="CommentText"/>
    <w:uiPriority w:val="99"/>
    <w:qFormat/>
  </w:style>
  <w:style w:type="paragraph" w:customStyle="1" w:styleId="2">
    <w:name w:val="样式2"/>
    <w:basedOn w:val="Normal"/>
    <w:link w:val="20"/>
    <w:qFormat/>
    <w:pPr>
      <w:spacing w:line="360" w:lineRule="auto"/>
    </w:pPr>
    <w:rPr>
      <w:rFonts w:ascii="Times New Roman" w:hAnsi="Times New Roman" w:cs="Times New Roman"/>
      <w:b/>
      <w:bCs/>
      <w:sz w:val="22"/>
      <w:szCs w:val="28"/>
    </w:rPr>
  </w:style>
  <w:style w:type="character" w:customStyle="1" w:styleId="20">
    <w:name w:val="样式2 字符"/>
    <w:basedOn w:val="DefaultParagraphFont"/>
    <w:link w:val="2"/>
    <w:qFormat/>
    <w:rPr>
      <w:rFonts w:ascii="Times New Roman" w:hAnsi="Times New Roman" w:cs="Times New Roman"/>
      <w:b/>
      <w:bCs/>
      <w:sz w:val="22"/>
      <w:szCs w:val="28"/>
    </w:rPr>
  </w:style>
  <w:style w:type="character" w:customStyle="1" w:styleId="CommentSubjectChar">
    <w:name w:val="Comment Subject Char"/>
    <w:basedOn w:val="CommentTextChar"/>
    <w:link w:val="CommentSubject"/>
    <w:uiPriority w:val="99"/>
    <w:semiHidden/>
    <w:qFormat/>
    <w:rPr>
      <w:b/>
      <w:bCs/>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a">
    <w:name w:val="二级标题"/>
    <w:basedOn w:val="Normal"/>
    <w:link w:val="a0"/>
    <w:qFormat/>
    <w:pPr>
      <w:adjustRightInd w:val="0"/>
      <w:snapToGrid w:val="0"/>
      <w:spacing w:line="360" w:lineRule="auto"/>
      <w:outlineLvl w:val="1"/>
    </w:pPr>
    <w:rPr>
      <w:rFonts w:ascii="Times New Roman" w:hAnsi="Times New Roman"/>
      <w:b/>
      <w:bCs/>
      <w:color w:val="000000" w:themeColor="text1"/>
      <w:sz w:val="22"/>
    </w:rPr>
  </w:style>
  <w:style w:type="character" w:customStyle="1" w:styleId="a0">
    <w:name w:val="二级标题 字符"/>
    <w:basedOn w:val="DefaultParagraphFont"/>
    <w:link w:val="a"/>
    <w:qFormat/>
    <w:rPr>
      <w:rFonts w:ascii="Times New Roman" w:hAnsi="Times New Roman"/>
      <w:b/>
      <w:bCs/>
      <w:color w:val="000000" w:themeColor="text1"/>
      <w:sz w:val="22"/>
    </w:rPr>
  </w:style>
  <w:style w:type="paragraph" w:styleId="ListParagraph">
    <w:name w:val="List Paragraph"/>
    <w:basedOn w:val="Normal"/>
    <w:uiPriority w:val="34"/>
    <w:qFormat/>
    <w:pPr>
      <w:ind w:firstLineChars="200" w:firstLine="420"/>
    </w:pPr>
  </w:style>
  <w:style w:type="paragraph" w:customStyle="1" w:styleId="a1">
    <w:name w:val="一级标题"/>
    <w:basedOn w:val="Normal"/>
    <w:link w:val="a2"/>
    <w:qFormat/>
    <w:pPr>
      <w:adjustRightInd w:val="0"/>
      <w:snapToGrid w:val="0"/>
      <w:spacing w:line="360" w:lineRule="auto"/>
      <w:outlineLvl w:val="0"/>
    </w:pPr>
    <w:rPr>
      <w:rFonts w:ascii="Times New Roman" w:hAnsi="Times New Roman"/>
      <w:b/>
      <w:bCs/>
      <w:color w:val="000000" w:themeColor="text1"/>
      <w:sz w:val="22"/>
    </w:rPr>
  </w:style>
  <w:style w:type="character" w:customStyle="1" w:styleId="a2">
    <w:name w:val="一级标题 字符"/>
    <w:basedOn w:val="DefaultParagraphFont"/>
    <w:link w:val="a1"/>
    <w:qFormat/>
    <w:rPr>
      <w:rFonts w:ascii="Times New Roman" w:hAnsi="Times New Roman"/>
      <w:b/>
      <w:bCs/>
      <w:color w:val="000000" w:themeColor="text1"/>
      <w:sz w:val="22"/>
    </w:rPr>
  </w:style>
  <w:style w:type="paragraph" w:customStyle="1" w:styleId="Revision1">
    <w:name w:val="Revision1"/>
    <w:hidden/>
    <w:uiPriority w:val="99"/>
    <w:semiHidden/>
    <w:rPr>
      <w:kern w:val="2"/>
      <w:sz w:val="21"/>
      <w:szCs w:val="22"/>
      <w:lang w:val="en-US" w:eastAsia="zh-CN"/>
    </w:rPr>
  </w:style>
  <w:style w:type="character" w:customStyle="1" w:styleId="Heading2Char">
    <w:name w:val="Heading 2 Char"/>
    <w:basedOn w:val="DefaultParagraphFont"/>
    <w:link w:val="Heading2"/>
    <w:qFormat/>
    <w:rPr>
      <w:rFonts w:ascii="Arial" w:eastAsia="SimHei" w:hAnsi="Arial"/>
      <w:b/>
      <w:sz w:val="32"/>
      <w:szCs w:val="24"/>
    </w:rPr>
  </w:style>
  <w:style w:type="character" w:customStyle="1" w:styleId="Heading1Char">
    <w:name w:val="Heading 1 Char"/>
    <w:basedOn w:val="DefaultParagraphFont"/>
    <w:link w:val="Heading1"/>
    <w:uiPriority w:val="9"/>
    <w:qFormat/>
    <w:rPr>
      <w:b/>
      <w:bCs/>
      <w:kern w:val="44"/>
      <w:sz w:val="44"/>
      <w:szCs w:val="44"/>
    </w:rPr>
  </w:style>
  <w:style w:type="character" w:customStyle="1" w:styleId="BodyTextIndentChar">
    <w:name w:val="Body Text Indent Char"/>
    <w:basedOn w:val="DefaultParagraphFont"/>
    <w:link w:val="BodyTextIndent"/>
    <w:qFormat/>
    <w:rPr>
      <w:rFonts w:ascii="Times New Roman" w:eastAsia="SimSun" w:hAnsi="Times New Roman" w:cs="Times New Roman"/>
      <w:kern w:val="0"/>
      <w:sz w:val="24"/>
      <w:szCs w:val="20"/>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86053-F792-4E89-B73F-E17D0FD4DB9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1434</Words>
  <Characters>8174</Characters>
  <Application>Microsoft Office Word</Application>
  <DocSecurity>0</DocSecurity>
  <Lines>68</Lines>
  <Paragraphs>19</Paragraphs>
  <ScaleCrop>false</ScaleCrop>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 hu</dc:creator>
  <cp:lastModifiedBy>Khanapur, Soumya</cp:lastModifiedBy>
  <cp:revision>2</cp:revision>
  <cp:lastPrinted>2023-06-10T07:53:00Z</cp:lastPrinted>
  <dcterms:created xsi:type="dcterms:W3CDTF">2023-11-07T19:37:00Z</dcterms:created>
  <dcterms:modified xsi:type="dcterms:W3CDTF">2023-11-07T19:37:00Z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21ab1cc6003c9e508a768eef3939c7f56c85df4e1c2bc6f44bb1e36075db5be4</vt:lpwstr>
  </property>
  <property fmtid="{D5CDD505-2E9C-101B-9397-08002B2CF9AE}" pid="3" name="ClassificationContentMarkingFooterShapeIds">
    <vt:lpwstr>34174f84,4acddbb4,b8b36b8</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2023-09-27T23:37:56Z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68d6e02f-3f52-422f-96b9-f45862d1ba77</vt:lpwstr>
  </property>
  <property fmtid="{D5CDD505-2E9C-101B-9397-08002B2CF9AE}" pid="12" name="MSIP_Label_2bbab825-a111-45e4-86a1-18cee0005896_ContentBits">
    <vt:lpwstr>2</vt:lpwstr>
  </property>
  <property fmtid="{D5CDD505-2E9C-101B-9397-08002B2CF9AE}" pid="13" name="KSOProductBuildVer">
    <vt:lpwstr>2052-12.1.0.15712</vt:lpwstr>
  </property>
  <property fmtid="{D5CDD505-2E9C-101B-9397-08002B2CF9AE}" pid="14" name="ICV">
    <vt:lpwstr>2E4D991FEF8E4DB890BC08CCB38082B8_13</vt:lpwstr>
  </property>
</Properties>
</file>