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spacing w:line="360" w:lineRule="auto"/>
        <w:jc w:val="left"/>
        <w:rPr>
          <w:rFonts w:ascii="Times New Roman" w:hAnsi="Times New Roman" w:eastAsia="宋体" w:cs="Times New Roman"/>
          <w:color w:val="000000"/>
          <w:sz w:val="24"/>
          <w:szCs w:val="24"/>
        </w:rPr>
      </w:pPr>
    </w:p>
    <w:p>
      <w:pPr>
        <w:autoSpaceDE w:val="0"/>
        <w:autoSpaceDN w:val="0"/>
        <w:adjustRightInd w:val="0"/>
        <w:spacing w:line="360" w:lineRule="auto"/>
        <w:jc w:val="left"/>
        <w:rPr>
          <w:rFonts w:ascii="Times New Roman" w:hAnsi="Times New Roman" w:eastAsia="宋体" w:cs="Times New Roman"/>
          <w:color w:val="000000"/>
          <w:sz w:val="24"/>
          <w:szCs w:val="24"/>
        </w:rPr>
      </w:pPr>
    </w:p>
    <w:p>
      <w:pPr>
        <w:autoSpaceDE w:val="0"/>
        <w:autoSpaceDN w:val="0"/>
        <w:adjustRightInd w:val="0"/>
        <w:spacing w:line="360" w:lineRule="auto"/>
        <w:jc w:val="left"/>
        <w:rPr>
          <w:rFonts w:ascii="Times New Roman" w:hAnsi="Times New Roman" w:eastAsia="宋体" w:cs="Times New Roman"/>
          <w:color w:val="000000"/>
          <w:sz w:val="24"/>
          <w:szCs w:val="24"/>
        </w:rPr>
      </w:pPr>
      <w:r>
        <w:rPr>
          <w:rFonts w:hint="eastAsia" w:ascii="Times New Roman" w:hAnsi="Times New Roman" w:eastAsia="宋体" w:cs="Times New Roman"/>
          <w:color w:val="000000"/>
          <w:sz w:val="24"/>
          <w:szCs w:val="24"/>
        </w:rPr>
        <w:t>Supplementary Figure 1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 xml:space="preserve"> Distribution characteristics of IgM autoantibodies in peripheral blood of TOPD patients. (A) Volcano and Venn diagram.(B) up-regulated IgM autoantibody GO and KEGG results.(C) down-regulated IgM autoantibody GO and KEGG results.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ascii="Times New Roman" w:hAnsi="Times New Roman" w:eastAsia="宋体" w:cs="Times New Roman"/>
          <w:color w:val="000000"/>
          <w:sz w:val="24"/>
          <w:szCs w:val="24"/>
        </w:rPr>
      </w:pPr>
    </w:p>
    <w:p>
      <w:pPr>
        <w:autoSpaceDE w:val="0"/>
        <w:autoSpaceDN w:val="0"/>
        <w:adjustRightInd w:val="0"/>
        <w:spacing w:line="360" w:lineRule="auto"/>
        <w:jc w:val="left"/>
        <w:rPr>
          <w:rFonts w:ascii="Times New Roman" w:hAnsi="Times New Roman" w:eastAsia="宋体" w:cs="Times New Roman"/>
          <w:color w:val="000000"/>
          <w:sz w:val="24"/>
          <w:szCs w:val="24"/>
        </w:rPr>
      </w:pPr>
      <w:r>
        <w:rPr>
          <w:rFonts w:hint="eastAsia" w:ascii="Times New Roman" w:hAnsi="Times New Roman" w:eastAsia="宋体" w:cs="Times New Roman"/>
          <w:color w:val="000000"/>
          <w:sz w:val="24"/>
          <w:szCs w:val="24"/>
        </w:rPr>
        <w:t xml:space="preserve">Supplementary Figure </w:t>
      </w:r>
      <w:r>
        <w:rPr>
          <w:rFonts w:hint="eastAsia" w:ascii="Times New Roman" w:hAnsi="Times New Roman" w:eastAsia="宋体" w:cs="Times New Roman"/>
          <w:color w:val="000000"/>
          <w:sz w:val="24"/>
          <w:szCs w:val="24"/>
          <w:lang w:val="en-US" w:eastAsia="zh-CN"/>
        </w:rPr>
        <w:t xml:space="preserve">2 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Distribution characteristics of immune-related IgM antibodies. (A) Heat maps of differentially expressed IgM autoantibodies.(B) Venn diagram, GO and KEGG results of up-regulated IgM autoantibodies, (C) Venn diagram, GO and KEGG results of down-regulated IgM autoantibodies.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ascii="Times New Roman" w:hAnsi="Times New Roman" w:eastAsia="宋体" w:cs="Times New Roman"/>
          <w:bCs/>
          <w:color w:val="000000"/>
          <w:sz w:val="24"/>
          <w:szCs w:val="24"/>
        </w:rPr>
      </w:pPr>
    </w:p>
    <w:p>
      <w:pPr>
        <w:autoSpaceDE w:val="0"/>
        <w:autoSpaceDN w:val="0"/>
        <w:adjustRightInd w:val="0"/>
        <w:spacing w:line="360" w:lineRule="auto"/>
        <w:jc w:val="left"/>
        <w:rPr>
          <w:rFonts w:ascii="Times New Roman" w:hAnsi="Times New Roman" w:eastAsia="宋体" w:cs="Times New Roman"/>
          <w:color w:val="000000"/>
          <w:sz w:val="24"/>
          <w:szCs w:val="24"/>
        </w:rPr>
      </w:pPr>
      <w:r>
        <w:rPr>
          <w:rFonts w:hint="eastAsia" w:ascii="Times New Roman" w:hAnsi="Times New Roman" w:eastAsia="宋体" w:cs="Times New Roman"/>
          <w:color w:val="000000"/>
          <w:sz w:val="24"/>
          <w:szCs w:val="24"/>
        </w:rPr>
        <w:t xml:space="preserve">Supplementary Figure </w:t>
      </w:r>
      <w:r>
        <w:rPr>
          <w:rFonts w:hint="eastAsia" w:ascii="Times New Roman" w:hAnsi="Times New Roman" w:eastAsia="宋体" w:cs="Times New Roman"/>
          <w:color w:val="000000"/>
          <w:sz w:val="24"/>
          <w:szCs w:val="24"/>
          <w:lang w:val="en-US" w:eastAsia="zh-CN"/>
        </w:rPr>
        <w:t>3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 xml:space="preserve"> B-cell structural antigen peptides predicted by Ellipro, and the number of predicted epitope regions in the figure corresponded to the sequence in Table 7.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ZlNzIyNTMzOGVhNDEzOGM1YjY4NWFjYjg3MmYwOTQifQ=="/>
  </w:docVars>
  <w:rsids>
    <w:rsidRoot w:val="00000000"/>
    <w:rsid w:val="00190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2023-11-13T02:52:06Z</dcterms:created>
  <dc:creator>Administrator</dc:creator>
  <cp:lastModifiedBy>Administrator</cp:lastModifiedBy>
  <dcterms:modified xsi:type="dcterms:W3CDTF">2023-11-13T03:17:33Z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62E1F96AD1B441148A34AE4C919816EF_12</vt:lpwstr>
  </property>
</Properties>
</file>