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DBC4" w14:textId="77777777" w:rsidR="00562DB1" w:rsidRPr="00562DB1" w:rsidRDefault="00562DB1">
      <w:pPr>
        <w:widowControl/>
        <w:spacing w:line="480" w:lineRule="auto"/>
        <w:jc w:val="left"/>
        <w:rPr>
          <w:bCs/>
          <w:color w:val="000000"/>
          <w:sz w:val="24"/>
        </w:rPr>
      </w:pPr>
      <w:r w:rsidRPr="00562DB1">
        <w:rPr>
          <w:rFonts w:ascii="Times New Roman" w:eastAsia="AdvOTb65e897d.B" w:hAnsi="Times New Roman"/>
          <w:b/>
          <w:bCs/>
          <w:color w:val="000000"/>
          <w:sz w:val="24"/>
        </w:rPr>
        <w:t>Supplementary</w:t>
      </w:r>
      <w:r w:rsidRPr="00562DB1">
        <w:rPr>
          <w:rFonts w:ascii="Times New Roman" w:hAnsi="Times New Roman" w:hint="eastAsia"/>
          <w:b/>
          <w:bCs/>
          <w:color w:val="000000"/>
          <w:sz w:val="24"/>
        </w:rPr>
        <w:t xml:space="preserve"> </w:t>
      </w:r>
      <w:r w:rsidRPr="00562DB1">
        <w:rPr>
          <w:rFonts w:ascii="Times New Roman" w:eastAsia="SimHei" w:hAnsi="Times New Roman"/>
          <w:b/>
          <w:color w:val="000000"/>
          <w:kern w:val="0"/>
          <w:sz w:val="24"/>
          <w:lang w:bidi="ar"/>
        </w:rPr>
        <w:t xml:space="preserve">Table 1 </w:t>
      </w:r>
      <w:r w:rsidRPr="00562DB1">
        <w:rPr>
          <w:rFonts w:ascii="Times New Roman" w:eastAsia="SimHei" w:hAnsi="Times New Roman" w:hint="eastAsia"/>
          <w:b/>
          <w:color w:val="000000"/>
          <w:kern w:val="0"/>
          <w:sz w:val="24"/>
          <w:lang w:bidi="ar"/>
        </w:rPr>
        <w:t xml:space="preserve"> 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>SII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 levels and other clinical characteristics 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in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T2DM patients </w:t>
      </w:r>
      <w:r w:rsidRPr="00562DB1">
        <w:rPr>
          <w:rFonts w:ascii="Times New Roman" w:hAnsi="Times New Roman"/>
          <w:bCs/>
          <w:color w:val="000000"/>
          <w:kern w:val="0"/>
          <w:sz w:val="24"/>
          <w:lang w:bidi="ar"/>
        </w:rPr>
        <w:t>by</w:t>
      </w:r>
      <w:r w:rsidRPr="00562DB1">
        <w:rPr>
          <w:rFonts w:ascii="Times New Roman" w:hAnsi="Times New Roman" w:hint="eastAsia"/>
          <w:bCs/>
          <w:color w:val="000000"/>
          <w:kern w:val="0"/>
          <w:sz w:val="24"/>
          <w:lang w:bidi="ar"/>
        </w:rPr>
        <w:t xml:space="preserve">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DPN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975"/>
        <w:gridCol w:w="1950"/>
        <w:gridCol w:w="1491"/>
      </w:tblGrid>
      <w:tr w:rsidR="00000000" w:rsidRPr="00562DB1" w14:paraId="5547E6D5" w14:textId="77777777">
        <w:trPr>
          <w:trHeight w:val="90"/>
        </w:trPr>
        <w:tc>
          <w:tcPr>
            <w:tcW w:w="305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D4A86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Variables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4E163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b/>
                <w:color w:val="000000"/>
                <w:kern w:val="0"/>
                <w:sz w:val="24"/>
                <w:lang w:bidi="ar"/>
              </w:rPr>
              <w:t>non-DPN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B82EA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b/>
                <w:color w:val="000000"/>
                <w:kern w:val="0"/>
                <w:sz w:val="24"/>
                <w:lang w:bidi="ar"/>
              </w:rPr>
              <w:t>DPN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E28652" w14:textId="77777777" w:rsidR="00562DB1" w:rsidRPr="00562DB1" w:rsidRDefault="00562DB1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b/>
                <w:i/>
                <w:color w:val="000000"/>
                <w:kern w:val="0"/>
                <w:sz w:val="24"/>
                <w:lang w:bidi="ar"/>
              </w:rPr>
              <w:t>P</w:t>
            </w:r>
            <w:r w:rsidRPr="00562DB1">
              <w:rPr>
                <w:rFonts w:ascii="Times New Roman" w:eastAsia="MyriadPro-Semibold" w:hAnsi="Times New Roman"/>
                <w:b/>
                <w:color w:val="000000"/>
                <w:kern w:val="0"/>
                <w:sz w:val="24"/>
                <w:lang w:bidi="ar"/>
              </w:rPr>
              <w:t>-value</w:t>
            </w:r>
          </w:p>
        </w:tc>
      </w:tr>
      <w:tr w:rsidR="00000000" w:rsidRPr="00562DB1" w14:paraId="74453993" w14:textId="77777777">
        <w:trPr>
          <w:trHeight w:val="388"/>
        </w:trPr>
        <w:tc>
          <w:tcPr>
            <w:tcW w:w="30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6F5A90" w14:textId="77777777" w:rsidR="00562DB1" w:rsidRPr="00562DB1" w:rsidRDefault="00562DB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F2105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>(n =</w:t>
            </w: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>70</w:t>
            </w: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69C52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(n = </w:t>
            </w: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>90</w:t>
            </w: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BC4F91" w14:textId="77777777" w:rsidR="00562DB1" w:rsidRPr="00562DB1" w:rsidRDefault="00562DB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562DB1" w14:paraId="676F7DAF" w14:textId="77777777">
        <w:trPr>
          <w:trHeight w:val="537"/>
        </w:trPr>
        <w:tc>
          <w:tcPr>
            <w:tcW w:w="30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EBEBCAF" w14:textId="77777777" w:rsidR="00562DB1" w:rsidRPr="00562DB1" w:rsidRDefault="00562D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Male, n (%)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5937D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424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48.74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7C07B7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292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49.49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E4D52D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777</w:t>
            </w:r>
          </w:p>
        </w:tc>
      </w:tr>
      <w:tr w:rsidR="00000000" w:rsidRPr="00562DB1" w14:paraId="6F6783BD" w14:textId="77777777">
        <w:trPr>
          <w:trHeight w:val="553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874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Age (years)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8D6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784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E71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5C3A8F76" w14:textId="77777777">
        <w:trPr>
          <w:trHeight w:val="596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5E09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Height (m)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251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08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E9E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E58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582</w:t>
            </w:r>
          </w:p>
        </w:tc>
      </w:tr>
      <w:tr w:rsidR="00000000" w:rsidRPr="00562DB1" w14:paraId="2481455C" w14:textId="77777777">
        <w:trPr>
          <w:trHeight w:val="492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81C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Weight (kg)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75F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±11.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D02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89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F6E9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61</w:t>
            </w:r>
          </w:p>
        </w:tc>
      </w:tr>
      <w:tr w:rsidR="00000000" w:rsidRPr="00562DB1" w14:paraId="5EE92CEB" w14:textId="77777777">
        <w:trPr>
          <w:trHeight w:val="582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EAA0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BMI (kg/m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71B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24.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±3.61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3E17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±3.7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2D2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59</w:t>
            </w:r>
          </w:p>
        </w:tc>
      </w:tr>
      <w:tr w:rsidR="00000000" w:rsidRPr="00562DB1" w14:paraId="597AF72A" w14:textId="77777777">
        <w:trPr>
          <w:trHeight w:val="58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D1CB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&lt;24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kg/m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3A78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426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48.97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E69A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326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55.25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87A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0.018</w:t>
            </w:r>
          </w:p>
        </w:tc>
      </w:tr>
      <w:tr w:rsidR="00000000" w:rsidRPr="00562DB1" w14:paraId="0BC22E75" w14:textId="77777777">
        <w:trPr>
          <w:trHeight w:val="521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8F1A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24-28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kg/m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927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320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36.78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BFE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182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30.85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9738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0.019</w:t>
            </w:r>
          </w:p>
        </w:tc>
      </w:tr>
      <w:tr w:rsidR="00000000" w:rsidRPr="00562DB1" w14:paraId="21BF57A6" w14:textId="77777777">
        <w:trPr>
          <w:trHeight w:val="55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F05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≥28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kg/m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BEB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124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14.25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CC05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82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13.90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C290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0.849</w:t>
            </w:r>
          </w:p>
        </w:tc>
      </w:tr>
      <w:tr w:rsidR="00000000" w:rsidRPr="00562DB1" w14:paraId="42BF7797" w14:textId="77777777">
        <w:trPr>
          <w:trHeight w:val="9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24E2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Duration of diabetes (years)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DEA2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6.50±5.73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401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9.26±6.90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AA7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469D9787" w14:textId="77777777">
        <w:trPr>
          <w:trHeight w:val="551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A5F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≤5 years,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9A7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447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51.38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)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5C29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199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33.73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0D7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48A000C1" w14:textId="77777777">
        <w:trPr>
          <w:trHeight w:val="574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B007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6–10 years,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C63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270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31.03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C292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216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36.61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B7D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0.027</w:t>
            </w:r>
          </w:p>
        </w:tc>
      </w:tr>
      <w:tr w:rsidR="00000000" w:rsidRPr="00562DB1" w14:paraId="1C992B18" w14:textId="77777777">
        <w:trPr>
          <w:trHeight w:val="356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9C38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&gt;10 years,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FF77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153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17.59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E0F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175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29.66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B2E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39AF4D9B" w14:textId="77777777">
        <w:trPr>
          <w:trHeight w:val="604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70AE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Smoking,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982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201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23.10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E18E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113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19.15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695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0.071</w:t>
            </w:r>
          </w:p>
        </w:tc>
      </w:tr>
      <w:tr w:rsidR="00000000" w:rsidRPr="00562DB1" w14:paraId="06CC9910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0F7B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drinking,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C217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163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18.74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A0F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72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12.20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936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0.001</w:t>
            </w:r>
          </w:p>
        </w:tc>
      </w:tr>
      <w:tr w:rsidR="00000000" w:rsidRPr="00562DB1" w14:paraId="665F46D3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8B3D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SBP (mmHg)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EBF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28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BF4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135.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9D2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</w:t>
            </w: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00</w:t>
            </w:r>
          </w:p>
        </w:tc>
      </w:tr>
      <w:tr w:rsidR="00000000" w:rsidRPr="00562DB1" w14:paraId="5A935756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F31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DBP (mmHg)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2BB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099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8DD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</w:t>
            </w: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000000" w:rsidRPr="00562DB1" w14:paraId="0F2D39EB" w14:textId="77777777">
        <w:trPr>
          <w:trHeight w:val="446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A685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Hypertension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1B33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402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46.21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F8A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358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60.68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580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5DF201F7" w14:textId="77777777">
        <w:trPr>
          <w:trHeight w:val="18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3A32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TC 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(mmol/L)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693D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4.9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±1.3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1767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±1.3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9ABD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016</w:t>
            </w:r>
          </w:p>
        </w:tc>
      </w:tr>
      <w:tr w:rsidR="00000000" w:rsidRPr="00562DB1" w14:paraId="168B1EB5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236A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TG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(mmol/L)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4B7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58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08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2D13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±1.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25E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42A27F23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CF0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HDL-C 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(mmol/L)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587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1.1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±0.3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2E97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1.1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±0.36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2FCA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099</w:t>
            </w:r>
          </w:p>
        </w:tc>
      </w:tr>
      <w:tr w:rsidR="00000000" w:rsidRPr="00562DB1" w14:paraId="56193008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4399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LDL-C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(mmol/L)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CB9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2.79±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A643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2.7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8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3301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816</w:t>
            </w:r>
          </w:p>
        </w:tc>
      </w:tr>
      <w:tr w:rsidR="00000000" w:rsidRPr="00562DB1" w14:paraId="1202F4A7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493E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Dyslipidaemia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AB51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616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70.80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2520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383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64.92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2B1F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0.048</w:t>
            </w:r>
          </w:p>
        </w:tc>
      </w:tr>
      <w:tr w:rsidR="00000000" w:rsidRPr="00562DB1" w14:paraId="5F3654B5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77E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FBG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(mmol/L)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5569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10.7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±5.1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135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11.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±5.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6C02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</w:tr>
      <w:tr w:rsidR="00000000" w:rsidRPr="00562DB1" w14:paraId="69ABA84E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9AF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PBG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(mmol/L)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1CF3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6865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3F2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</w:tr>
      <w:tr w:rsidR="00000000" w:rsidRPr="00562DB1" w14:paraId="2F949658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4B7F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GE index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158D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043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1E46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47A045CF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86DA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HbA1c (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mmol/mol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AF0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78.84±26.52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DA5A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83.82±28.28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23B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0.001</w:t>
            </w:r>
          </w:p>
        </w:tc>
      </w:tr>
      <w:tr w:rsidR="00000000" w:rsidRPr="00562DB1" w14:paraId="376CBE0A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E47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HbA1c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D53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B39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82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7C9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000000" w:rsidRPr="00562DB1" w14:paraId="7DE87858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346A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&lt;7%,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017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141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16.21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EE1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73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12.37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EDD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0.042</w:t>
            </w:r>
          </w:p>
        </w:tc>
      </w:tr>
      <w:tr w:rsidR="00000000" w:rsidRPr="00562DB1" w14:paraId="3741B99A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DB1F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7-9%,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2380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295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33.91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BA3A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170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28.81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325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0.040</w:t>
            </w:r>
          </w:p>
        </w:tc>
      </w:tr>
      <w:tr w:rsidR="00000000" w:rsidRPr="00562DB1" w14:paraId="026C7F06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10C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≥9%,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69B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434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49.89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BFC1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347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58.81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2809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0.001</w:t>
            </w:r>
          </w:p>
        </w:tc>
      </w:tr>
      <w:tr w:rsidR="00000000" w:rsidRPr="00562DB1" w14:paraId="34ED245F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1AC0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AdvTimes" w:hAnsi="Times New Roman"/>
                <w:color w:val="000000"/>
                <w:kern w:val="0"/>
                <w:sz w:val="24"/>
                <w:lang w:bidi="ar"/>
              </w:rPr>
              <w:t>Neutrophil</w:t>
            </w:r>
            <w:r w:rsidRPr="00562DB1">
              <w:rPr>
                <w:rFonts w:ascii="Times New Roman" w:eastAsia="SimHei" w:hAnsi="Times New Roman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(*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276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97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F80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±2.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162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05772082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258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AdvTimes" w:hAnsi="Times New Roman"/>
                <w:color w:val="000000"/>
                <w:kern w:val="0"/>
                <w:sz w:val="24"/>
                <w:lang w:bidi="ar"/>
              </w:rPr>
              <w:t>Lymphocyte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(*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298A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±0.63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C68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±0.5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B527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44942EA0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6D22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NLR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DB1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AC32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86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E4E7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6EAA97AC" w14:textId="77777777">
        <w:trPr>
          <w:trHeight w:val="561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D876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PLT (×10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vertAlign w:val="superscript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0DEC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2A8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200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C3E9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</w:tr>
      <w:tr w:rsidR="00000000" w:rsidRPr="00562DB1" w14:paraId="3472427A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99B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SII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BFC6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570.81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541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E778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786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749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C187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6C3D0305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083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TimesNewRoman" w:hAnsi="Times New Roman"/>
                <w:color w:val="000000"/>
                <w:kern w:val="0"/>
                <w:sz w:val="24"/>
                <w:lang w:bidi="ar"/>
              </w:rPr>
              <w:t>Cr</w:t>
            </w:r>
            <w:r w:rsidRPr="00562DB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(μmol/L)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184F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64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6E72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E7A7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69B2F69C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9B4D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eGFR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TimesNewRomanPSMT" w:hAnsi="Times New Roman"/>
                <w:color w:val="000000"/>
                <w:kern w:val="0"/>
                <w:sz w:val="24"/>
                <w:lang w:bidi="ar"/>
              </w:rPr>
              <w:t>mL/min/1.73 m</w:t>
            </w:r>
            <w:r w:rsidRPr="00562DB1">
              <w:rPr>
                <w:rFonts w:ascii="Times New Roman" w:eastAsia="TimesNewRomanPSMT" w:hAnsi="Times New Roman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E78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8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4±2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.5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529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86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C3F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1037926D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AAF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≥90,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CB7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639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73.45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C3D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312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52.88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A00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14322DBE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91D9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60-90,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FFF7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185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21.26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8767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169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28.64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64F7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000000" w:rsidRPr="00562DB1" w14:paraId="43697FAA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1926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30-60,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9BAE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46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5.29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039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109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18.47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6B9F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661DE5F2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3806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eastAsia="en-US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ACR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TimesNewRomanPSMT" w:hAnsi="Times New Roman"/>
                <w:color w:val="000000"/>
                <w:kern w:val="0"/>
                <w:sz w:val="24"/>
                <w:lang w:bidi="ar"/>
              </w:rPr>
              <w:t>mg/g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22C5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159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CFA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8.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89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35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1F2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000000" w:rsidRPr="00562DB1" w14:paraId="25586667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598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Microalbuminuria,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7012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218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25.06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6FA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176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29.83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CAA9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0.044</w:t>
            </w:r>
          </w:p>
        </w:tc>
      </w:tr>
      <w:tr w:rsidR="00000000" w:rsidRPr="00562DB1" w14:paraId="16146560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D3C3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Macroalbuminuria,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9F5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50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5.75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772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78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13.22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66B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0.000</w:t>
            </w:r>
          </w:p>
        </w:tc>
      </w:tr>
      <w:tr w:rsidR="00000000" w:rsidRPr="00562DB1" w14:paraId="38E3C848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DBE2" w14:textId="77777777" w:rsidR="00562DB1" w:rsidRPr="00562DB1" w:rsidRDefault="00562DB1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eastAsia="en-US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Albuminuria,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D35E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268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30.80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DA9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254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43.05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47E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0.000</w:t>
            </w:r>
          </w:p>
        </w:tc>
      </w:tr>
      <w:tr w:rsidR="00000000" w:rsidRPr="00562DB1" w14:paraId="067EB5A1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737B1" w14:textId="77777777" w:rsidR="00562DB1" w:rsidRPr="00562DB1" w:rsidRDefault="00562DB1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ABI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04A5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1.04±0.1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62B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±0.2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508C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10FEE3AA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A943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VPT (V)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4DAB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12.94±4.73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BAE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35.86±8.76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CFA6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0567C2D3" w14:textId="77777777">
        <w:trPr>
          <w:trHeight w:val="525"/>
        </w:trPr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A49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Diabetic complications (%)</w:t>
            </w:r>
          </w:p>
        </w:tc>
      </w:tr>
      <w:tr w:rsidR="00000000" w:rsidRPr="00562DB1" w14:paraId="0A1DFCC6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9DD6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62DB1">
              <w:rPr>
                <w:rFonts w:ascii="Times New Roman" w:hAnsi="Times New Roman" w:hint="eastAsia"/>
                <w:color w:val="000000"/>
                <w:sz w:val="24"/>
              </w:rPr>
              <w:t>KD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0E1C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288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33.10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2BC9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303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51.36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3EF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47CAC789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DB2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DR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028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84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9.66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7674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99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16.78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18A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4AF69D13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5A49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CHD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7EE2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50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5.75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0C7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81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13.73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FFC1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0B769E1E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CDD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Stroke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ADA6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139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15.98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549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152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25.76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F276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358DDB51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9C8B4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PAD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97632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48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5.52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C4AD6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105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17.80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3C622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</w:tbl>
    <w:p w14:paraId="1E237CE8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  <w:r w:rsidRPr="00562DB1">
        <w:rPr>
          <w:rFonts w:ascii="Times New Roman" w:hAnsi="Times New Roman"/>
          <w:color w:val="000000"/>
          <w:sz w:val="24"/>
        </w:rPr>
        <w:t>Notes:</w:t>
      </w:r>
      <w:r w:rsidRPr="00562DB1">
        <w:rPr>
          <w:rFonts w:ascii="Times New Roman" w:hAnsi="Times New Roman" w:hint="eastAsia"/>
          <w:color w:val="000000"/>
          <w:sz w:val="24"/>
        </w:rPr>
        <w:t xml:space="preserve">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Data are mean ±SD. </w:t>
      </w:r>
    </w:p>
    <w:p w14:paraId="527B98E3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  <w:r w:rsidRPr="00562DB1">
        <w:rPr>
          <w:rFonts w:ascii="Times New Roman" w:eastAsia="SimHei" w:hAnsi="Times New Roman"/>
          <w:color w:val="000000"/>
          <w:sz w:val="24"/>
          <w:lang w:bidi="ar"/>
        </w:rPr>
        <w:t xml:space="preserve">Abbreviations: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SD, standard deviation; DPN, diabetic peripheral neuropathy; BMI, body mass index; SBP, systolic blood pressure; DBP, diastolic blood pressure; TC, total cholesterol; TG, triglyceride; HDL-C, high-density lipoprotein cholesterol; LDL-C, low-density lipoprotein cholesterol; FBG, fasting blood glucose; 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PBG,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2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 hour postprandial blood glucose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GE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index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glycemic exposure index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HbA1c, glycated hemoglobin A1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c; NLR, neutrophil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>-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to-lymphocyte; 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PLT,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platelet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SII,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systemic immune–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>inflammation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 index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Cr, creatinine;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eGFR, e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stimated glomerular filtration rate; ACR, albumin- to-creatinine ratio; ABI, ankle-brachial index; VPT, vibration percepti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on threshold;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DKD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>, d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iabetic kidney disease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DR,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diabetic retinopathy; CHD, coronary heart disease; PAD, peripheral arterial disease.</w:t>
      </w:r>
    </w:p>
    <w:p w14:paraId="6AA516AD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5A63DF5C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447CB792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7F9B2C22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7EF91B38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359631C0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5DFF56B5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27AE544B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65E4825B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0A69D758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19770F3B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0790101F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3CC725E4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3F05713F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4ED65A6C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1057C797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1290A3FB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51EF8988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6D7C0CD5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</w:p>
    <w:p w14:paraId="4B052CD5" w14:textId="77777777" w:rsidR="00562DB1" w:rsidRPr="00562DB1" w:rsidRDefault="00562DB1">
      <w:pPr>
        <w:widowControl/>
        <w:spacing w:line="480" w:lineRule="auto"/>
        <w:jc w:val="left"/>
        <w:rPr>
          <w:bCs/>
          <w:color w:val="000000"/>
          <w:sz w:val="24"/>
        </w:rPr>
      </w:pPr>
      <w:r w:rsidRPr="00562DB1">
        <w:rPr>
          <w:rFonts w:ascii="Times New Roman" w:eastAsia="AdvOTb65e897d.B" w:hAnsi="Times New Roman"/>
          <w:b/>
          <w:bCs/>
          <w:color w:val="000000"/>
          <w:sz w:val="24"/>
        </w:rPr>
        <w:t>Supplementary</w:t>
      </w:r>
      <w:r w:rsidRPr="00562DB1">
        <w:rPr>
          <w:rFonts w:ascii="Times New Roman" w:hAnsi="Times New Roman" w:hint="eastAsia"/>
          <w:b/>
          <w:bCs/>
          <w:color w:val="000000"/>
          <w:sz w:val="24"/>
        </w:rPr>
        <w:t xml:space="preserve"> </w:t>
      </w:r>
      <w:r w:rsidRPr="00562DB1">
        <w:rPr>
          <w:rFonts w:ascii="Times New Roman" w:eastAsia="SimHei" w:hAnsi="Times New Roman"/>
          <w:b/>
          <w:color w:val="000000"/>
          <w:kern w:val="0"/>
          <w:sz w:val="24"/>
          <w:lang w:bidi="ar"/>
        </w:rPr>
        <w:t xml:space="preserve">Table </w:t>
      </w:r>
      <w:r w:rsidRPr="00562DB1">
        <w:rPr>
          <w:rFonts w:ascii="Times New Roman" w:eastAsia="SimHei" w:hAnsi="Times New Roman" w:hint="eastAsia"/>
          <w:b/>
          <w:color w:val="000000"/>
          <w:kern w:val="0"/>
          <w:sz w:val="24"/>
          <w:lang w:bidi="ar"/>
        </w:rPr>
        <w:t xml:space="preserve">2 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>SII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 levels and other clinical characteristics 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in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T2DM patients </w:t>
      </w:r>
      <w:r w:rsidRPr="00562DB1">
        <w:rPr>
          <w:rFonts w:ascii="Times New Roman" w:hAnsi="Times New Roman"/>
          <w:bCs/>
          <w:color w:val="000000"/>
          <w:kern w:val="0"/>
          <w:sz w:val="24"/>
          <w:lang w:bidi="ar"/>
        </w:rPr>
        <w:t>by</w:t>
      </w:r>
      <w:r w:rsidRPr="00562DB1">
        <w:rPr>
          <w:rFonts w:ascii="Times New Roman" w:hAnsi="Times New Roman" w:hint="eastAsia"/>
          <w:bCs/>
          <w:color w:val="000000"/>
          <w:kern w:val="0"/>
          <w:sz w:val="24"/>
          <w:lang w:bidi="ar"/>
        </w:rPr>
        <w:t xml:space="preserve"> </w:t>
      </w:r>
      <w:r w:rsidRPr="00562DB1">
        <w:rPr>
          <w:rFonts w:ascii="Times New Roman" w:hAnsi="Times New Roman" w:hint="eastAsia"/>
          <w:bCs/>
          <w:color w:val="000000"/>
          <w:kern w:val="0"/>
          <w:sz w:val="24"/>
          <w:lang w:bidi="ar"/>
        </w:rPr>
        <w:t>sex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975"/>
        <w:gridCol w:w="1950"/>
        <w:gridCol w:w="1491"/>
      </w:tblGrid>
      <w:tr w:rsidR="00000000" w:rsidRPr="00562DB1" w14:paraId="44BD0716" w14:textId="77777777">
        <w:trPr>
          <w:trHeight w:val="90"/>
        </w:trPr>
        <w:tc>
          <w:tcPr>
            <w:tcW w:w="305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095BF1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Variables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BD1D6A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 w:hint="eastAsia"/>
                <w:b/>
                <w:color w:val="000000"/>
                <w:kern w:val="0"/>
                <w:sz w:val="24"/>
                <w:lang w:bidi="ar"/>
              </w:rPr>
              <w:t>Men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C2404E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 w:hint="eastAsia"/>
                <w:b/>
                <w:color w:val="000000"/>
                <w:kern w:val="0"/>
                <w:sz w:val="24"/>
                <w:lang w:bidi="ar"/>
              </w:rPr>
              <w:t>Women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DCFC03" w14:textId="77777777" w:rsidR="00562DB1" w:rsidRPr="00562DB1" w:rsidRDefault="00562DB1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b/>
                <w:i/>
                <w:color w:val="000000"/>
                <w:kern w:val="0"/>
                <w:sz w:val="24"/>
                <w:lang w:bidi="ar"/>
              </w:rPr>
              <w:t>P</w:t>
            </w:r>
            <w:r w:rsidRPr="00562DB1">
              <w:rPr>
                <w:rFonts w:ascii="Times New Roman" w:eastAsia="MyriadPro-Semibold" w:hAnsi="Times New Roman"/>
                <w:b/>
                <w:color w:val="000000"/>
                <w:kern w:val="0"/>
                <w:sz w:val="24"/>
                <w:lang w:bidi="ar"/>
              </w:rPr>
              <w:t>-value</w:t>
            </w:r>
          </w:p>
        </w:tc>
      </w:tr>
      <w:tr w:rsidR="00000000" w:rsidRPr="00562DB1" w14:paraId="4BF56714" w14:textId="77777777">
        <w:trPr>
          <w:trHeight w:val="388"/>
        </w:trPr>
        <w:tc>
          <w:tcPr>
            <w:tcW w:w="30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C5A48C" w14:textId="77777777" w:rsidR="00562DB1" w:rsidRPr="00562DB1" w:rsidRDefault="00562DB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46424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>(n =</w:t>
            </w:r>
            <w:r w:rsidRPr="00562DB1">
              <w:rPr>
                <w:rFonts w:ascii="Times New Roman" w:eastAsia="AdvP4DF60E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716</w:t>
            </w: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68CF0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>(n =</w:t>
            </w:r>
            <w:r w:rsidRPr="00562DB1">
              <w:rPr>
                <w:rFonts w:ascii="Times New Roman" w:eastAsia="AdvP4DF60E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744</w:t>
            </w:r>
            <w:r w:rsidRPr="00562DB1">
              <w:rPr>
                <w:rFonts w:ascii="Times New Roman" w:eastAsia="AdvP4DF60E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)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DBB682" w14:textId="77777777" w:rsidR="00562DB1" w:rsidRPr="00562DB1" w:rsidRDefault="00562DB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562DB1" w14:paraId="36BC26B7" w14:textId="77777777">
        <w:trPr>
          <w:trHeight w:val="553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0398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Age (years)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43B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07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±1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A27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C7B8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7988FED3" w14:textId="77777777">
        <w:trPr>
          <w:trHeight w:val="582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5FC3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BMI (kg/m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8C91B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24.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±3.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7DA7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±3.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92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CFE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64</w:t>
            </w:r>
          </w:p>
        </w:tc>
      </w:tr>
      <w:tr w:rsidR="00000000" w:rsidRPr="00562DB1" w14:paraId="6055BFA2" w14:textId="77777777">
        <w:trPr>
          <w:trHeight w:val="521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4D50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bookmarkStart w:id="0" w:name="OLE_LINK1" w:colFirst="1" w:colLast="2"/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Overweight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DF28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273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38.13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DA4E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229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30.78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B11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03</w:t>
            </w:r>
          </w:p>
        </w:tc>
      </w:tr>
      <w:tr w:rsidR="00000000" w:rsidRPr="00562DB1" w14:paraId="5006732B" w14:textId="77777777">
        <w:trPr>
          <w:trHeight w:val="55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827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Obesity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F10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96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13.41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019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14.78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12E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450</w:t>
            </w:r>
          </w:p>
        </w:tc>
      </w:tr>
      <w:bookmarkEnd w:id="0"/>
      <w:tr w:rsidR="00000000" w:rsidRPr="00562DB1" w14:paraId="5CD3B2A6" w14:textId="77777777">
        <w:trPr>
          <w:trHeight w:val="9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174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Duration of diabetes (years)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024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89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A28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±6.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D4E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28AB86B9" w14:textId="77777777">
        <w:trPr>
          <w:trHeight w:val="604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96E4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bookmarkStart w:id="1" w:name="OLE_LINK2" w:colFirst="1" w:colLast="2"/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Smoking,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7BFA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312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43.58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0562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0.27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663B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595BB5A9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1FC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Drinking,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F47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231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32.26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D3D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0.54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C6C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bookmarkEnd w:id="1"/>
      <w:tr w:rsidR="00000000" w:rsidRPr="00562DB1" w14:paraId="2C169474" w14:textId="77777777">
        <w:trPr>
          <w:trHeight w:val="446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4F2A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Hypertension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DDDD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353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49.30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4D8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407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54.70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3EB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</w:tr>
      <w:tr w:rsidR="00000000" w:rsidRPr="00562DB1" w14:paraId="44466806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FE0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bookmarkStart w:id="2" w:name="OLE_LINK3" w:colFirst="1" w:colLast="2"/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Dyslipidaemia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3553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511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71.37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916C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488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65.59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2E3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</w:t>
            </w:r>
            <w:r w:rsidRPr="00562DB1">
              <w:rPr>
                <w:rFonts w:ascii="Times New Roman" w:hAnsi="Times New Roman" w:hint="eastAsia"/>
                <w:color w:val="000000"/>
                <w:kern w:val="0"/>
                <w:sz w:val="24"/>
              </w:rPr>
              <w:t>19</w:t>
            </w:r>
          </w:p>
        </w:tc>
      </w:tr>
      <w:bookmarkEnd w:id="2"/>
      <w:tr w:rsidR="00000000" w:rsidRPr="00562DB1" w14:paraId="18946D3F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178E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FBG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(mmol/L)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539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±5.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F7BE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±5.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082B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17</w:t>
            </w:r>
          </w:p>
        </w:tc>
      </w:tr>
      <w:tr w:rsidR="00000000" w:rsidRPr="00562DB1" w14:paraId="38FE1ED4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C28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PBG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(mmol/L)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6C18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06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B6E5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5348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 w:hint="eastAsia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</w:t>
            </w:r>
          </w:p>
        </w:tc>
      </w:tr>
      <w:tr w:rsidR="00000000" w:rsidRPr="00562DB1" w14:paraId="6903A032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16C6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GE index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9816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85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B37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87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C9C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</w:tr>
      <w:tr w:rsidR="00000000" w:rsidRPr="00562DB1" w14:paraId="68B69871" w14:textId="77777777">
        <w:trPr>
          <w:trHeight w:val="558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5944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HbA1c (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mmol/mol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53F4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82.85±27.19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737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78.94±27.38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783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0.006</w:t>
            </w:r>
          </w:p>
        </w:tc>
      </w:tr>
      <w:tr w:rsidR="00000000" w:rsidRPr="00562DB1" w14:paraId="0DB5679D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3055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HbA1c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F94D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73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FB7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37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DC0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000000" w:rsidRPr="00562DB1" w14:paraId="7803BC59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A39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bookmarkStart w:id="3" w:name="OLE_LINK4" w:colFirst="1" w:colLast="2"/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&lt;7%,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3A79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10.89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769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136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18.28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C0E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7375E8E6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942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7-9%,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4C5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32.12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C44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235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31.59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B33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</w:t>
            </w:r>
            <w:r w:rsidRPr="00562DB1">
              <w:rPr>
                <w:rFonts w:ascii="Times New Roman" w:hAnsi="Times New Roman" w:hint="eastAsia"/>
                <w:color w:val="000000"/>
                <w:kern w:val="0"/>
                <w:sz w:val="24"/>
              </w:rPr>
              <w:t>826</w:t>
            </w:r>
          </w:p>
        </w:tc>
      </w:tr>
      <w:tr w:rsidR="00000000" w:rsidRPr="00562DB1" w14:paraId="48CAE44B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4B32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≥9%,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A5CF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08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56.98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CB87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50.13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C523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0.00</w:t>
            </w:r>
            <w:r w:rsidRPr="00562DB1">
              <w:rPr>
                <w:rFonts w:ascii="Times New Roman" w:hAnsi="Times New Roman" w:hint="eastAsia"/>
                <w:color w:val="000000"/>
                <w:kern w:val="0"/>
                <w:sz w:val="24"/>
              </w:rPr>
              <w:t>9</w:t>
            </w:r>
          </w:p>
        </w:tc>
      </w:tr>
      <w:bookmarkEnd w:id="3"/>
      <w:tr w:rsidR="00000000" w:rsidRPr="00562DB1" w14:paraId="62EFDC54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E2B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AdvTimes" w:hAnsi="Times New Roman"/>
                <w:color w:val="000000"/>
                <w:kern w:val="0"/>
                <w:sz w:val="24"/>
                <w:lang w:bidi="ar"/>
              </w:rPr>
              <w:t>Neutrophil</w:t>
            </w:r>
            <w:r w:rsidRPr="00562DB1">
              <w:rPr>
                <w:rFonts w:ascii="Times New Roman" w:eastAsia="SimHei" w:hAnsi="Times New Roman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(*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8B2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0B6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±2.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DEC5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874</w:t>
            </w:r>
          </w:p>
        </w:tc>
      </w:tr>
      <w:tr w:rsidR="00000000" w:rsidRPr="00562DB1" w14:paraId="0C82B940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47AD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AdvTimes" w:hAnsi="Times New Roman"/>
                <w:color w:val="000000"/>
                <w:kern w:val="0"/>
                <w:sz w:val="24"/>
                <w:lang w:bidi="ar"/>
              </w:rPr>
              <w:t>Lymphocyte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(*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vertAlign w:val="superscript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9CC1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±0.63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98D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±0.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A3E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0C76CD83" w14:textId="77777777">
        <w:trPr>
          <w:trHeight w:val="53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880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NLR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4E5E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46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11C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AD0B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</w:tr>
      <w:tr w:rsidR="00000000" w:rsidRPr="00562DB1" w14:paraId="78A57A00" w14:textId="77777777">
        <w:trPr>
          <w:trHeight w:val="561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CEF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PLT (×10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vertAlign w:val="superscript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/L)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B24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63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DBE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20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7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4C5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0.000</w:t>
            </w:r>
          </w:p>
        </w:tc>
      </w:tr>
      <w:tr w:rsidR="00000000" w:rsidRPr="00562DB1" w14:paraId="1962AAFB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6599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SII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F9E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65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8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639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82EB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665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38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644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42E5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</w:tr>
      <w:tr w:rsidR="00000000" w:rsidRPr="00562DB1" w14:paraId="1F8F4D8B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1DD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eGFR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TimesNewRomanPSMT" w:hAnsi="Times New Roman"/>
                <w:color w:val="000000"/>
                <w:kern w:val="0"/>
                <w:sz w:val="24"/>
                <w:lang w:bidi="ar"/>
              </w:rPr>
              <w:t>mL/min/1.73 m</w:t>
            </w:r>
            <w:r w:rsidRPr="00562DB1">
              <w:rPr>
                <w:rFonts w:ascii="Times New Roman" w:eastAsia="TimesNewRomanPSMT" w:hAnsi="Times New Roman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2FBC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71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29A5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92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76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2EF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</w:tr>
      <w:tr w:rsidR="00000000" w:rsidRPr="00562DB1" w14:paraId="177038B3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98B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eastAsia="en-US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ACR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TimesNewRomanPSMT" w:hAnsi="Times New Roman"/>
                <w:color w:val="000000"/>
                <w:kern w:val="0"/>
                <w:sz w:val="24"/>
                <w:lang w:bidi="ar"/>
              </w:rPr>
              <w:t>mg/g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5D92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89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95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±2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4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7C4B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66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98E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</w:tr>
      <w:tr w:rsidR="00000000" w:rsidRPr="00562DB1" w14:paraId="34218803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BE4C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bookmarkStart w:id="4" w:name="OLE_LINK6" w:colFirst="1" w:colLast="2"/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Microalbuminuria,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541A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193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26.96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3BF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201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27.02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AD2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</w:t>
            </w:r>
            <w:r w:rsidRPr="00562DB1">
              <w:rPr>
                <w:rFonts w:ascii="Times New Roman" w:hAnsi="Times New Roman" w:hint="eastAsia"/>
                <w:color w:val="000000"/>
                <w:kern w:val="0"/>
                <w:sz w:val="24"/>
              </w:rPr>
              <w:t>979</w:t>
            </w:r>
          </w:p>
        </w:tc>
      </w:tr>
      <w:tr w:rsidR="00000000" w:rsidRPr="00562DB1" w14:paraId="6FE0A999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BA29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Macroalbuminuria,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89FD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10.34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FA8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7.26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F29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0.0</w:t>
            </w:r>
            <w:r w:rsidRPr="00562DB1">
              <w:rPr>
                <w:rFonts w:ascii="Times New Roman" w:hAnsi="Times New Roman" w:hint="eastAsia"/>
                <w:color w:val="000000"/>
                <w:kern w:val="0"/>
                <w:sz w:val="24"/>
              </w:rPr>
              <w:t>38</w:t>
            </w:r>
          </w:p>
        </w:tc>
      </w:tr>
      <w:tr w:rsidR="00000000" w:rsidRPr="00562DB1" w14:paraId="6FCE9C9D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73544" w14:textId="77777777" w:rsidR="00562DB1" w:rsidRPr="00562DB1" w:rsidRDefault="00562DB1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eastAsia="en-US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Albuminuria,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2DB9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26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37.29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D8A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25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 xml:space="preserve">5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34.27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DB8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hAnsi="Times New Roman"/>
                <w:color w:val="000000"/>
                <w:kern w:val="0"/>
                <w:sz w:val="24"/>
              </w:rPr>
              <w:t>0.</w:t>
            </w:r>
            <w:r w:rsidRPr="00562DB1">
              <w:rPr>
                <w:rFonts w:ascii="Times New Roman" w:hAnsi="Times New Roman" w:hint="eastAsia"/>
                <w:color w:val="000000"/>
                <w:kern w:val="0"/>
                <w:sz w:val="24"/>
              </w:rPr>
              <w:t>229</w:t>
            </w:r>
          </w:p>
        </w:tc>
      </w:tr>
      <w:bookmarkEnd w:id="4"/>
      <w:tr w:rsidR="00000000" w:rsidRPr="00562DB1" w14:paraId="7A2C9B82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1351" w14:textId="77777777" w:rsidR="00562DB1" w:rsidRPr="00562DB1" w:rsidRDefault="00562DB1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ABI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0F40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 w:hint="eastAsia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1.04±0.1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D7B3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00</w:t>
            </w: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±0.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CD74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0.000</w:t>
            </w:r>
          </w:p>
        </w:tc>
      </w:tr>
      <w:tr w:rsidR="00000000" w:rsidRPr="00562DB1" w14:paraId="7B5884EF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B1B4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VPT (V)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C1A63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6</w:t>
            </w: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72</w:t>
            </w: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64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D133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16</w:t>
            </w: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20</w:t>
            </w: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±</w:t>
            </w: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9</w:t>
            </w: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.</w:t>
            </w: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52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626B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bCs/>
                <w:color w:val="000000"/>
                <w:sz w:val="24"/>
                <w:lang w:bidi="ar"/>
              </w:rPr>
              <w:t>324</w:t>
            </w:r>
          </w:p>
        </w:tc>
      </w:tr>
      <w:tr w:rsidR="00000000" w:rsidRPr="00562DB1" w14:paraId="6792BCFF" w14:textId="77777777">
        <w:trPr>
          <w:trHeight w:val="525"/>
        </w:trPr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0BD1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Diabetic complications (%)</w:t>
            </w:r>
          </w:p>
        </w:tc>
      </w:tr>
      <w:tr w:rsidR="00000000" w:rsidRPr="00562DB1" w14:paraId="6AE36847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971D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bookmarkStart w:id="5" w:name="OLE_LINK7" w:colFirst="1" w:colLast="2"/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DKD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C121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300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41.90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1D8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291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39.11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EA3EC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</w:tr>
      <w:tr w:rsidR="00000000" w:rsidRPr="00562DB1" w14:paraId="1711F35D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459F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DR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26A0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4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10.34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5AB2F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9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14.65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E27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000000" w:rsidRPr="00562DB1" w14:paraId="2609C536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1E65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CHD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F64BD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68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9.50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8702A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63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8.47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DC5E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</w:tr>
      <w:tr w:rsidR="00000000" w:rsidRPr="00562DB1" w14:paraId="1B90F6AC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F71E5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Stroke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50C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54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21.51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F1E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1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37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18.41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F312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</w:tr>
      <w:tr w:rsidR="00000000" w:rsidRPr="00562DB1" w14:paraId="4BFFA97A" w14:textId="77777777">
        <w:trPr>
          <w:trHeight w:val="525"/>
        </w:trPr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53E526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bCs/>
                <w:color w:val="000000"/>
                <w:sz w:val="24"/>
                <w:lang w:eastAsia="en-US" w:bidi="ar"/>
              </w:rPr>
            </w:pPr>
            <w:r w:rsidRPr="00562DB1">
              <w:rPr>
                <w:rFonts w:ascii="Times New Roman" w:eastAsia="SimHei" w:hAnsi="Times New Roman"/>
                <w:bCs/>
                <w:color w:val="000000"/>
                <w:sz w:val="24"/>
                <w:lang w:bidi="ar"/>
              </w:rPr>
              <w:t>PAD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, n (%)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8AB34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61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8.52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0C87C8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92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 xml:space="preserve"> (</w:t>
            </w:r>
            <w:r w:rsidRPr="00562DB1">
              <w:rPr>
                <w:rFonts w:ascii="Times New Roman" w:eastAsia="SimHei" w:hAnsi="Times New Roman" w:hint="eastAsia"/>
                <w:color w:val="000000"/>
                <w:sz w:val="24"/>
                <w:lang w:bidi="ar"/>
              </w:rPr>
              <w:t>12.37</w:t>
            </w:r>
            <w:r w:rsidRPr="00562DB1">
              <w:rPr>
                <w:rFonts w:ascii="Times New Roman" w:eastAsia="SimHei" w:hAnsi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C1C717" w14:textId="77777777" w:rsidR="00562DB1" w:rsidRPr="00562DB1" w:rsidRDefault="00562D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</w:pPr>
            <w:r w:rsidRPr="00562DB1">
              <w:rPr>
                <w:rFonts w:ascii="Times New Roman" w:eastAsia="SimHei" w:hAnsi="Times New Roman"/>
                <w:color w:val="000000"/>
                <w:kern w:val="0"/>
                <w:sz w:val="24"/>
                <w:lang w:bidi="ar"/>
              </w:rPr>
              <w:t>0.0</w:t>
            </w:r>
            <w:r w:rsidRPr="00562DB1">
              <w:rPr>
                <w:rFonts w:ascii="Times New Roman" w:eastAsia="SimHei" w:hAnsi="Times New Roman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</w:tr>
    </w:tbl>
    <w:bookmarkEnd w:id="5"/>
    <w:p w14:paraId="2A158B48" w14:textId="77777777" w:rsidR="00562DB1" w:rsidRPr="00562DB1" w:rsidRDefault="00562DB1">
      <w:pPr>
        <w:widowControl/>
        <w:wordWrap w:val="0"/>
        <w:spacing w:line="480" w:lineRule="auto"/>
        <w:jc w:val="left"/>
        <w:rPr>
          <w:rFonts w:ascii="Times New Roman" w:hAnsi="Times New Roman"/>
          <w:bCs/>
          <w:color w:val="000000"/>
          <w:sz w:val="24"/>
        </w:rPr>
      </w:pPr>
      <w:r w:rsidRPr="00562DB1">
        <w:rPr>
          <w:rFonts w:ascii="Times New Roman" w:eastAsia="SimHei" w:hAnsi="Times New Roman"/>
          <w:color w:val="000000"/>
          <w:sz w:val="24"/>
          <w:lang w:bidi="ar"/>
        </w:rPr>
        <w:t xml:space="preserve">Abbreviations: </w:t>
      </w:r>
      <w:r w:rsidRPr="00562DB1">
        <w:rPr>
          <w:rFonts w:ascii="Times New Roman" w:eastAsia="SimHei" w:hAnsi="Times New Roman" w:hint="eastAsia"/>
          <w:color w:val="000000"/>
          <w:sz w:val="24"/>
          <w:lang w:bidi="ar"/>
        </w:rPr>
        <w:t>S</w:t>
      </w:r>
      <w:r w:rsidRPr="00562DB1">
        <w:rPr>
          <w:rFonts w:ascii="Times New Roman" w:hAnsi="Times New Roman" w:hint="eastAsia"/>
          <w:bCs/>
          <w:color w:val="000000"/>
          <w:sz w:val="24"/>
        </w:rPr>
        <w:t xml:space="preserve">II, </w:t>
      </w:r>
      <w:r w:rsidRPr="00562DB1">
        <w:rPr>
          <w:rFonts w:ascii="Times New Roman" w:hAnsi="Times New Roman"/>
          <w:bCs/>
          <w:color w:val="000000"/>
          <w:sz w:val="24"/>
        </w:rPr>
        <w:t>syste</w:t>
      </w:r>
      <w:r w:rsidRPr="00562DB1">
        <w:rPr>
          <w:rFonts w:ascii="Times New Roman" w:hAnsi="Times New Roman" w:hint="eastAsia"/>
          <w:bCs/>
          <w:color w:val="000000"/>
          <w:sz w:val="24"/>
        </w:rPr>
        <w:t xml:space="preserve">mic </w:t>
      </w:r>
      <w:r w:rsidRPr="00562DB1">
        <w:rPr>
          <w:rFonts w:ascii="Times New Roman" w:hAnsi="Times New Roman" w:hint="eastAsia"/>
          <w:bCs/>
          <w:color w:val="000000"/>
          <w:sz w:val="24"/>
        </w:rPr>
        <w:t xml:space="preserve">immune-inflammation index; </w:t>
      </w:r>
      <w:r w:rsidRPr="00562DB1">
        <w:rPr>
          <w:rFonts w:ascii="Times New Roman" w:hAnsi="Times New Roman"/>
          <w:bCs/>
          <w:color w:val="000000"/>
          <w:sz w:val="24"/>
        </w:rPr>
        <w:t>T2DM</w:t>
      </w:r>
      <w:r w:rsidRPr="00562DB1">
        <w:rPr>
          <w:rFonts w:ascii="Times New Roman" w:hAnsi="Times New Roman" w:hint="eastAsia"/>
          <w:bCs/>
          <w:color w:val="000000"/>
          <w:sz w:val="24"/>
        </w:rPr>
        <w:t xml:space="preserve">, </w:t>
      </w:r>
      <w:r w:rsidRPr="00562DB1">
        <w:rPr>
          <w:rFonts w:ascii="Times New Roman" w:hAnsi="Times New Roman"/>
          <w:bCs/>
          <w:color w:val="000000"/>
          <w:sz w:val="24"/>
        </w:rPr>
        <w:t>type 2 </w:t>
      </w:r>
    </w:p>
    <w:p w14:paraId="178D1A75" w14:textId="77777777" w:rsidR="00562DB1" w:rsidRPr="00562DB1" w:rsidRDefault="00562DB1">
      <w:pPr>
        <w:widowControl/>
        <w:wordWrap w:val="0"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  <w:r w:rsidRPr="00562DB1">
        <w:rPr>
          <w:rFonts w:ascii="Times New Roman" w:hAnsi="Times New Roman"/>
          <w:bCs/>
          <w:color w:val="000000"/>
          <w:sz w:val="24"/>
        </w:rPr>
        <w:t>diabetes mellitus</w:t>
      </w:r>
      <w:r w:rsidRPr="00562DB1">
        <w:rPr>
          <w:rFonts w:ascii="Times New Roman" w:hAnsi="Times New Roman" w:hint="eastAsia"/>
          <w:bCs/>
          <w:color w:val="000000"/>
          <w:sz w:val="24"/>
        </w:rPr>
        <w:t xml:space="preserve">;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BMI, body mass index; FBG, fasting blood glucose; 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PBG,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2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 hour postprandial blood glucose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GE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index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glycemic exposure index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HbA1c, </w:t>
      </w:r>
    </w:p>
    <w:p w14:paraId="1B3CB10E" w14:textId="77777777" w:rsidR="00562DB1" w:rsidRPr="00562DB1" w:rsidRDefault="00562DB1">
      <w:pPr>
        <w:widowControl/>
        <w:wordWrap w:val="0"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glycated hemoglobin A1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c;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NLR, neutrophil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>-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to-lymphocyte; 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PLT,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platelet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eGFR, e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stimated glomerular filtration rate; ACR, albumin- to-creatinine ratio; ABI, </w:t>
      </w:r>
    </w:p>
    <w:p w14:paraId="0261228F" w14:textId="77777777" w:rsidR="00562DB1" w:rsidRPr="00562DB1" w:rsidRDefault="00562DB1">
      <w:pPr>
        <w:widowControl/>
        <w:wordWrap w:val="0"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ankle-brachial index; VPT, vibration percepti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on threshold;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DKD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>, d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iabetic kidney disease</w:t>
      </w:r>
      <w:r w:rsidRPr="00562DB1">
        <w:rPr>
          <w:rFonts w:ascii="Times New Roman" w:eastAsia="SimHei" w:hAnsi="Times New Roman" w:hint="eastAsia"/>
          <w:bCs/>
          <w:color w:val="000000"/>
          <w:sz w:val="24"/>
          <w:lang w:bidi="ar"/>
        </w:rPr>
        <w:t xml:space="preserve">; DR, </w:t>
      </w: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 xml:space="preserve">diabetic retinopathy; CHD, coronary heart disease; PAD, </w:t>
      </w:r>
    </w:p>
    <w:p w14:paraId="63776B77" w14:textId="77777777" w:rsidR="00562DB1" w:rsidRPr="00562DB1" w:rsidRDefault="00562DB1">
      <w:pPr>
        <w:widowControl/>
        <w:wordWrap w:val="0"/>
        <w:spacing w:line="480" w:lineRule="auto"/>
        <w:jc w:val="left"/>
        <w:rPr>
          <w:rFonts w:ascii="Times New Roman" w:eastAsia="SimHei" w:hAnsi="Times New Roman"/>
          <w:bCs/>
          <w:color w:val="000000"/>
          <w:sz w:val="24"/>
          <w:lang w:bidi="ar"/>
        </w:rPr>
      </w:pPr>
      <w:r w:rsidRPr="00562DB1">
        <w:rPr>
          <w:rFonts w:ascii="Times New Roman" w:eastAsia="SimHei" w:hAnsi="Times New Roman"/>
          <w:bCs/>
          <w:color w:val="000000"/>
          <w:sz w:val="24"/>
          <w:lang w:bidi="ar"/>
        </w:rPr>
        <w:t>peripheral arterial disease.</w:t>
      </w:r>
    </w:p>
    <w:p w14:paraId="776291D1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/>
          <w:b/>
          <w:color w:val="000000"/>
          <w:kern w:val="0"/>
          <w:sz w:val="24"/>
          <w:lang w:bidi="ar"/>
        </w:rPr>
      </w:pPr>
    </w:p>
    <w:p w14:paraId="1B80EAC0" w14:textId="77777777" w:rsidR="00562DB1" w:rsidRPr="00562DB1" w:rsidRDefault="00562DB1">
      <w:pPr>
        <w:widowControl/>
        <w:spacing w:line="480" w:lineRule="auto"/>
        <w:jc w:val="left"/>
        <w:rPr>
          <w:rFonts w:ascii="Times New Roman" w:eastAsia="SimHei" w:hAnsi="Times New Roman" w:hint="eastAsia"/>
          <w:b/>
          <w:color w:val="000000"/>
          <w:kern w:val="0"/>
          <w:sz w:val="24"/>
          <w:lang w:bidi="ar"/>
        </w:rPr>
      </w:pPr>
    </w:p>
    <w:sectPr w:rsidR="00000000" w:rsidRPr="00562D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b65e897d.B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yriadPro-Semi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P4DF60E">
    <w:altName w:val="SimSun-ExtB"/>
    <w:charset w:val="86"/>
    <w:family w:val="auto"/>
    <w:pitch w:val="default"/>
    <w:sig w:usb0="00000000" w:usb1="00000000" w:usb2="00000010" w:usb3="00000000" w:csb0="000C0000" w:csb1="00000000"/>
  </w:font>
  <w:font w:name="AdvTime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">
    <w:altName w:val="SimSun"/>
    <w:charset w:val="86"/>
    <w:family w:val="auto"/>
    <w:pitch w:val="default"/>
    <w:sig w:usb0="00000000" w:usb1="00000000" w:usb2="00000010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10" w:usb3="00000000" w:csb0="000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5"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2QxMWEwYjI3YjFhNTZjZThmNzc0ZGU4NTcyZDYwNTYifQ=="/>
  </w:docVars>
  <w:rsids>
    <w:rsidRoot w:val="001C326C"/>
    <w:rsid w:val="00040B3C"/>
    <w:rsid w:val="001C326C"/>
    <w:rsid w:val="00562DB1"/>
    <w:rsid w:val="00824069"/>
    <w:rsid w:val="00855620"/>
    <w:rsid w:val="00AB35C0"/>
    <w:rsid w:val="00AD558A"/>
    <w:rsid w:val="00B03DF3"/>
    <w:rsid w:val="00B701B7"/>
    <w:rsid w:val="00BC3A1F"/>
    <w:rsid w:val="00CE7E56"/>
    <w:rsid w:val="00E335FF"/>
    <w:rsid w:val="010D3379"/>
    <w:rsid w:val="011C44BE"/>
    <w:rsid w:val="011D2710"/>
    <w:rsid w:val="01317F69"/>
    <w:rsid w:val="01347A59"/>
    <w:rsid w:val="014F4893"/>
    <w:rsid w:val="01541EA9"/>
    <w:rsid w:val="01787946"/>
    <w:rsid w:val="01E274B5"/>
    <w:rsid w:val="01E5153B"/>
    <w:rsid w:val="02056D00"/>
    <w:rsid w:val="03035935"/>
    <w:rsid w:val="030B47EA"/>
    <w:rsid w:val="03F359AA"/>
    <w:rsid w:val="04304E1A"/>
    <w:rsid w:val="046C750A"/>
    <w:rsid w:val="047D1717"/>
    <w:rsid w:val="048E122E"/>
    <w:rsid w:val="04A10F62"/>
    <w:rsid w:val="04D05CEB"/>
    <w:rsid w:val="04EE6171"/>
    <w:rsid w:val="050D2A9B"/>
    <w:rsid w:val="05330227"/>
    <w:rsid w:val="05924D4E"/>
    <w:rsid w:val="060F639F"/>
    <w:rsid w:val="06846D8D"/>
    <w:rsid w:val="06897EFF"/>
    <w:rsid w:val="06DA24F3"/>
    <w:rsid w:val="07BA233A"/>
    <w:rsid w:val="081D3C19"/>
    <w:rsid w:val="08262DDD"/>
    <w:rsid w:val="086504F8"/>
    <w:rsid w:val="086C77D2"/>
    <w:rsid w:val="08B17BE1"/>
    <w:rsid w:val="08CE609D"/>
    <w:rsid w:val="08E92ED7"/>
    <w:rsid w:val="08ED601F"/>
    <w:rsid w:val="08F55D20"/>
    <w:rsid w:val="08F655F4"/>
    <w:rsid w:val="094024C3"/>
    <w:rsid w:val="09750C0F"/>
    <w:rsid w:val="09DB5391"/>
    <w:rsid w:val="09E33DCA"/>
    <w:rsid w:val="0A1B3564"/>
    <w:rsid w:val="0A1D552E"/>
    <w:rsid w:val="0A3E7253"/>
    <w:rsid w:val="0A7E1D45"/>
    <w:rsid w:val="0AB6328D"/>
    <w:rsid w:val="0AC13028"/>
    <w:rsid w:val="0AFB3396"/>
    <w:rsid w:val="0B641412"/>
    <w:rsid w:val="0BD22349"/>
    <w:rsid w:val="0BE45432"/>
    <w:rsid w:val="0C197F77"/>
    <w:rsid w:val="0C61547A"/>
    <w:rsid w:val="0CD65E68"/>
    <w:rsid w:val="0D091D9A"/>
    <w:rsid w:val="0D6E60A1"/>
    <w:rsid w:val="0D70006B"/>
    <w:rsid w:val="0D8E6743"/>
    <w:rsid w:val="0DC67D96"/>
    <w:rsid w:val="0DDC300B"/>
    <w:rsid w:val="0DFC18FF"/>
    <w:rsid w:val="0E1D6EA1"/>
    <w:rsid w:val="0E440BB0"/>
    <w:rsid w:val="0F032819"/>
    <w:rsid w:val="0F095358"/>
    <w:rsid w:val="0F31382A"/>
    <w:rsid w:val="0F4E1CE6"/>
    <w:rsid w:val="0F8A3DBD"/>
    <w:rsid w:val="0FC30926"/>
    <w:rsid w:val="0FC621C4"/>
    <w:rsid w:val="0FE16FFE"/>
    <w:rsid w:val="0FED7687"/>
    <w:rsid w:val="10711DBE"/>
    <w:rsid w:val="109B71AD"/>
    <w:rsid w:val="10A51DDA"/>
    <w:rsid w:val="10B63FE7"/>
    <w:rsid w:val="10BE733F"/>
    <w:rsid w:val="10C304B2"/>
    <w:rsid w:val="10D10E21"/>
    <w:rsid w:val="10F41847"/>
    <w:rsid w:val="111F7DDE"/>
    <w:rsid w:val="113969C6"/>
    <w:rsid w:val="113F6429"/>
    <w:rsid w:val="11BD13A5"/>
    <w:rsid w:val="11E132E5"/>
    <w:rsid w:val="11E903EC"/>
    <w:rsid w:val="12042B30"/>
    <w:rsid w:val="123A0C48"/>
    <w:rsid w:val="12525F91"/>
    <w:rsid w:val="12900868"/>
    <w:rsid w:val="129272BC"/>
    <w:rsid w:val="12A165D1"/>
    <w:rsid w:val="12A6008B"/>
    <w:rsid w:val="12BE3627"/>
    <w:rsid w:val="12DA1AE3"/>
    <w:rsid w:val="131D659F"/>
    <w:rsid w:val="13217712"/>
    <w:rsid w:val="132C05F4"/>
    <w:rsid w:val="137F2DB6"/>
    <w:rsid w:val="13FC61B5"/>
    <w:rsid w:val="1430196B"/>
    <w:rsid w:val="1448764C"/>
    <w:rsid w:val="14724477"/>
    <w:rsid w:val="14A05457"/>
    <w:rsid w:val="14F11A91"/>
    <w:rsid w:val="14FC0982"/>
    <w:rsid w:val="150712B5"/>
    <w:rsid w:val="158C5316"/>
    <w:rsid w:val="158E5532"/>
    <w:rsid w:val="15AA7E92"/>
    <w:rsid w:val="15C40F54"/>
    <w:rsid w:val="15DD2016"/>
    <w:rsid w:val="15E213DA"/>
    <w:rsid w:val="160A01D1"/>
    <w:rsid w:val="161746CA"/>
    <w:rsid w:val="164E20A4"/>
    <w:rsid w:val="16625746"/>
    <w:rsid w:val="16695657"/>
    <w:rsid w:val="16B0437E"/>
    <w:rsid w:val="16C32FBA"/>
    <w:rsid w:val="173914CE"/>
    <w:rsid w:val="17A740BC"/>
    <w:rsid w:val="17B1375A"/>
    <w:rsid w:val="17DD00AB"/>
    <w:rsid w:val="1804388A"/>
    <w:rsid w:val="1853036D"/>
    <w:rsid w:val="18817C6F"/>
    <w:rsid w:val="18972950"/>
    <w:rsid w:val="18AF7F51"/>
    <w:rsid w:val="18E2051C"/>
    <w:rsid w:val="192449E3"/>
    <w:rsid w:val="19467ED2"/>
    <w:rsid w:val="19566367"/>
    <w:rsid w:val="19996254"/>
    <w:rsid w:val="1A147FD0"/>
    <w:rsid w:val="1A1A60A6"/>
    <w:rsid w:val="1A2E0402"/>
    <w:rsid w:val="1A491A28"/>
    <w:rsid w:val="1A846F04"/>
    <w:rsid w:val="1ABD2416"/>
    <w:rsid w:val="1AEC3646"/>
    <w:rsid w:val="1AFA0F74"/>
    <w:rsid w:val="1B122762"/>
    <w:rsid w:val="1B492499"/>
    <w:rsid w:val="1B6B1E72"/>
    <w:rsid w:val="1B903686"/>
    <w:rsid w:val="1BA84E74"/>
    <w:rsid w:val="1C6568C1"/>
    <w:rsid w:val="1D0D31E0"/>
    <w:rsid w:val="1DD70304"/>
    <w:rsid w:val="1DEB1048"/>
    <w:rsid w:val="1E110AAE"/>
    <w:rsid w:val="1E2C58E8"/>
    <w:rsid w:val="1E42335E"/>
    <w:rsid w:val="1E4F5A7B"/>
    <w:rsid w:val="1EC93137"/>
    <w:rsid w:val="1F5C3FAB"/>
    <w:rsid w:val="1F7A08D5"/>
    <w:rsid w:val="1F8F5F24"/>
    <w:rsid w:val="1FAB4F33"/>
    <w:rsid w:val="1FCD6C57"/>
    <w:rsid w:val="200D799B"/>
    <w:rsid w:val="202B1BD0"/>
    <w:rsid w:val="205D7B43"/>
    <w:rsid w:val="206155F1"/>
    <w:rsid w:val="206D3F96"/>
    <w:rsid w:val="20F12AC3"/>
    <w:rsid w:val="210F2C8F"/>
    <w:rsid w:val="211B0084"/>
    <w:rsid w:val="214E3DC8"/>
    <w:rsid w:val="217D645B"/>
    <w:rsid w:val="21B005DE"/>
    <w:rsid w:val="21B26104"/>
    <w:rsid w:val="21E834B8"/>
    <w:rsid w:val="21EB1616"/>
    <w:rsid w:val="21F66939"/>
    <w:rsid w:val="222A213F"/>
    <w:rsid w:val="22421B7E"/>
    <w:rsid w:val="22471F8B"/>
    <w:rsid w:val="22B365D8"/>
    <w:rsid w:val="23867849"/>
    <w:rsid w:val="23A10569"/>
    <w:rsid w:val="24390D5F"/>
    <w:rsid w:val="24855D52"/>
    <w:rsid w:val="249B5576"/>
    <w:rsid w:val="24E011DB"/>
    <w:rsid w:val="25076767"/>
    <w:rsid w:val="253432D4"/>
    <w:rsid w:val="25454984"/>
    <w:rsid w:val="254A14E8"/>
    <w:rsid w:val="254E4396"/>
    <w:rsid w:val="25893A50"/>
    <w:rsid w:val="25960BBC"/>
    <w:rsid w:val="25AE12D9"/>
    <w:rsid w:val="25B032A3"/>
    <w:rsid w:val="25B06DFF"/>
    <w:rsid w:val="25BA7ED1"/>
    <w:rsid w:val="25D75396"/>
    <w:rsid w:val="26233A75"/>
    <w:rsid w:val="26A1499A"/>
    <w:rsid w:val="26B220E0"/>
    <w:rsid w:val="273D0B66"/>
    <w:rsid w:val="2774529A"/>
    <w:rsid w:val="27F60D15"/>
    <w:rsid w:val="281F2A9C"/>
    <w:rsid w:val="28215D92"/>
    <w:rsid w:val="282E04AF"/>
    <w:rsid w:val="283A5761"/>
    <w:rsid w:val="28724840"/>
    <w:rsid w:val="289F315B"/>
    <w:rsid w:val="28C3509B"/>
    <w:rsid w:val="28FB2A87"/>
    <w:rsid w:val="29852351"/>
    <w:rsid w:val="29AA0009"/>
    <w:rsid w:val="29E03A2B"/>
    <w:rsid w:val="29F319B0"/>
    <w:rsid w:val="2A302C4F"/>
    <w:rsid w:val="2A4B17EC"/>
    <w:rsid w:val="2A6D1762"/>
    <w:rsid w:val="2ACA0963"/>
    <w:rsid w:val="2B277B63"/>
    <w:rsid w:val="2B2A7653"/>
    <w:rsid w:val="2B312790"/>
    <w:rsid w:val="2B705EC1"/>
    <w:rsid w:val="2B74267D"/>
    <w:rsid w:val="2BE720FB"/>
    <w:rsid w:val="2BEA1B1D"/>
    <w:rsid w:val="2C1C3440"/>
    <w:rsid w:val="2C5A79A9"/>
    <w:rsid w:val="2C5D75B5"/>
    <w:rsid w:val="2C695F59"/>
    <w:rsid w:val="2C73502A"/>
    <w:rsid w:val="2C9E1DAA"/>
    <w:rsid w:val="2CA84CD4"/>
    <w:rsid w:val="2D144117"/>
    <w:rsid w:val="2D371BB4"/>
    <w:rsid w:val="2DC7118A"/>
    <w:rsid w:val="2DC93154"/>
    <w:rsid w:val="2E4722CA"/>
    <w:rsid w:val="2E724CD5"/>
    <w:rsid w:val="2E8121D3"/>
    <w:rsid w:val="2E9574DA"/>
    <w:rsid w:val="2ED7364E"/>
    <w:rsid w:val="2F2E6FE6"/>
    <w:rsid w:val="2F61560E"/>
    <w:rsid w:val="2F6F7D2B"/>
    <w:rsid w:val="2F8E3583"/>
    <w:rsid w:val="2FB35E69"/>
    <w:rsid w:val="30D2059B"/>
    <w:rsid w:val="30E402A4"/>
    <w:rsid w:val="317F2B7D"/>
    <w:rsid w:val="31855CFA"/>
    <w:rsid w:val="31B9703B"/>
    <w:rsid w:val="328B0DDB"/>
    <w:rsid w:val="329A4AF6"/>
    <w:rsid w:val="329D070B"/>
    <w:rsid w:val="329D4BAF"/>
    <w:rsid w:val="330B1B18"/>
    <w:rsid w:val="33955886"/>
    <w:rsid w:val="33A61841"/>
    <w:rsid w:val="33AD4677"/>
    <w:rsid w:val="34401C96"/>
    <w:rsid w:val="34567DF2"/>
    <w:rsid w:val="34EE34A0"/>
    <w:rsid w:val="35004C19"/>
    <w:rsid w:val="3566572C"/>
    <w:rsid w:val="35CE44E9"/>
    <w:rsid w:val="35E054DE"/>
    <w:rsid w:val="35FA5E74"/>
    <w:rsid w:val="36002587"/>
    <w:rsid w:val="36411800"/>
    <w:rsid w:val="367E2601"/>
    <w:rsid w:val="36F23231"/>
    <w:rsid w:val="37441A9D"/>
    <w:rsid w:val="37BE184F"/>
    <w:rsid w:val="388008B3"/>
    <w:rsid w:val="38897C33"/>
    <w:rsid w:val="388A20A7"/>
    <w:rsid w:val="38CC1D4A"/>
    <w:rsid w:val="38DA65CA"/>
    <w:rsid w:val="393F42CA"/>
    <w:rsid w:val="39A6580B"/>
    <w:rsid w:val="39F850F3"/>
    <w:rsid w:val="3A1F5EA9"/>
    <w:rsid w:val="3A476BFD"/>
    <w:rsid w:val="3A541FF7"/>
    <w:rsid w:val="3A742699"/>
    <w:rsid w:val="3A9E7870"/>
    <w:rsid w:val="3ABE3914"/>
    <w:rsid w:val="3AE25855"/>
    <w:rsid w:val="3AE74EF6"/>
    <w:rsid w:val="3B2A2D58"/>
    <w:rsid w:val="3BB30F9F"/>
    <w:rsid w:val="3BD76CB6"/>
    <w:rsid w:val="3BEB24E7"/>
    <w:rsid w:val="3C2105FF"/>
    <w:rsid w:val="3C9C1A33"/>
    <w:rsid w:val="3CA60B04"/>
    <w:rsid w:val="3D0E228D"/>
    <w:rsid w:val="3D145A6E"/>
    <w:rsid w:val="3D712EC0"/>
    <w:rsid w:val="3DB8289D"/>
    <w:rsid w:val="3DE10046"/>
    <w:rsid w:val="3DE2791A"/>
    <w:rsid w:val="3E6F5651"/>
    <w:rsid w:val="3E895FE7"/>
    <w:rsid w:val="3EB968CD"/>
    <w:rsid w:val="3EE768AB"/>
    <w:rsid w:val="3F3146B5"/>
    <w:rsid w:val="3F634D2C"/>
    <w:rsid w:val="3FBD063E"/>
    <w:rsid w:val="3FC27A03"/>
    <w:rsid w:val="3FCC262F"/>
    <w:rsid w:val="3FDE2EF3"/>
    <w:rsid w:val="3FF1653A"/>
    <w:rsid w:val="40073668"/>
    <w:rsid w:val="400973E0"/>
    <w:rsid w:val="400E0E9A"/>
    <w:rsid w:val="40A86BF9"/>
    <w:rsid w:val="40B437EF"/>
    <w:rsid w:val="410224D7"/>
    <w:rsid w:val="411424E0"/>
    <w:rsid w:val="411E6EBB"/>
    <w:rsid w:val="4125649B"/>
    <w:rsid w:val="4148218A"/>
    <w:rsid w:val="414C6730"/>
    <w:rsid w:val="417E204F"/>
    <w:rsid w:val="41D53675"/>
    <w:rsid w:val="4301660F"/>
    <w:rsid w:val="43135DEF"/>
    <w:rsid w:val="4392593E"/>
    <w:rsid w:val="43A85162"/>
    <w:rsid w:val="43AC4C52"/>
    <w:rsid w:val="43B753A5"/>
    <w:rsid w:val="43C81360"/>
    <w:rsid w:val="43E30E9C"/>
    <w:rsid w:val="44446C38"/>
    <w:rsid w:val="4493196E"/>
    <w:rsid w:val="44E70410"/>
    <w:rsid w:val="44ED72D0"/>
    <w:rsid w:val="44FD2CD6"/>
    <w:rsid w:val="452151CC"/>
    <w:rsid w:val="45321187"/>
    <w:rsid w:val="45997458"/>
    <w:rsid w:val="460C0745"/>
    <w:rsid w:val="46101FCC"/>
    <w:rsid w:val="46252A99"/>
    <w:rsid w:val="46873754"/>
    <w:rsid w:val="473E0101"/>
    <w:rsid w:val="473F5DDD"/>
    <w:rsid w:val="47525B10"/>
    <w:rsid w:val="477E6905"/>
    <w:rsid w:val="47A3011A"/>
    <w:rsid w:val="47DD7AD0"/>
    <w:rsid w:val="47ED5523"/>
    <w:rsid w:val="480D406B"/>
    <w:rsid w:val="48141018"/>
    <w:rsid w:val="48815313"/>
    <w:rsid w:val="489B5295"/>
    <w:rsid w:val="48BF4A4F"/>
    <w:rsid w:val="48DC1D50"/>
    <w:rsid w:val="490948F4"/>
    <w:rsid w:val="49424AF1"/>
    <w:rsid w:val="49AF110F"/>
    <w:rsid w:val="49F66C27"/>
    <w:rsid w:val="4A3C6604"/>
    <w:rsid w:val="4A980693"/>
    <w:rsid w:val="4B271062"/>
    <w:rsid w:val="4B5D4A84"/>
    <w:rsid w:val="4BA14F47"/>
    <w:rsid w:val="4BB70638"/>
    <w:rsid w:val="4BC30D8B"/>
    <w:rsid w:val="4C013661"/>
    <w:rsid w:val="4C4D4AF8"/>
    <w:rsid w:val="4C93644B"/>
    <w:rsid w:val="4C982AFD"/>
    <w:rsid w:val="4CF029F8"/>
    <w:rsid w:val="4DB637EB"/>
    <w:rsid w:val="4DF711BF"/>
    <w:rsid w:val="4E45017D"/>
    <w:rsid w:val="4E54216E"/>
    <w:rsid w:val="4E61488B"/>
    <w:rsid w:val="4E676345"/>
    <w:rsid w:val="4ED60DD5"/>
    <w:rsid w:val="4F1638C7"/>
    <w:rsid w:val="4F1D07B2"/>
    <w:rsid w:val="4F231B40"/>
    <w:rsid w:val="4F3F510F"/>
    <w:rsid w:val="4F786330"/>
    <w:rsid w:val="4F7F76BE"/>
    <w:rsid w:val="4F813436"/>
    <w:rsid w:val="4F905428"/>
    <w:rsid w:val="50265D8C"/>
    <w:rsid w:val="50715259"/>
    <w:rsid w:val="507373A8"/>
    <w:rsid w:val="5076286F"/>
    <w:rsid w:val="50E517A3"/>
    <w:rsid w:val="512A5408"/>
    <w:rsid w:val="513242BC"/>
    <w:rsid w:val="513B7615"/>
    <w:rsid w:val="518C60C3"/>
    <w:rsid w:val="51984A67"/>
    <w:rsid w:val="519E2DF3"/>
    <w:rsid w:val="51EE6435"/>
    <w:rsid w:val="52374280"/>
    <w:rsid w:val="524B1ADA"/>
    <w:rsid w:val="52AA4A52"/>
    <w:rsid w:val="52C368CB"/>
    <w:rsid w:val="53193986"/>
    <w:rsid w:val="531E71EE"/>
    <w:rsid w:val="5321043D"/>
    <w:rsid w:val="53514ECE"/>
    <w:rsid w:val="537D5CC3"/>
    <w:rsid w:val="53C6520D"/>
    <w:rsid w:val="540F7CC5"/>
    <w:rsid w:val="54322F51"/>
    <w:rsid w:val="543F741C"/>
    <w:rsid w:val="54770964"/>
    <w:rsid w:val="548A4B3B"/>
    <w:rsid w:val="54DF6509"/>
    <w:rsid w:val="54EB1B0B"/>
    <w:rsid w:val="552F56E3"/>
    <w:rsid w:val="5539030F"/>
    <w:rsid w:val="554747DA"/>
    <w:rsid w:val="55DF4A23"/>
    <w:rsid w:val="55E464CD"/>
    <w:rsid w:val="55EF09CE"/>
    <w:rsid w:val="56116B96"/>
    <w:rsid w:val="56242D6E"/>
    <w:rsid w:val="56270168"/>
    <w:rsid w:val="562B5EAA"/>
    <w:rsid w:val="56343CD6"/>
    <w:rsid w:val="568455BA"/>
    <w:rsid w:val="568A2DC4"/>
    <w:rsid w:val="56B57E6D"/>
    <w:rsid w:val="56BE6D1E"/>
    <w:rsid w:val="570A5ABF"/>
    <w:rsid w:val="576B22D6"/>
    <w:rsid w:val="576F1DC6"/>
    <w:rsid w:val="57B36157"/>
    <w:rsid w:val="585B234B"/>
    <w:rsid w:val="587C0C3F"/>
    <w:rsid w:val="58C3686E"/>
    <w:rsid w:val="58E223C6"/>
    <w:rsid w:val="592539D6"/>
    <w:rsid w:val="596671F9"/>
    <w:rsid w:val="597162CA"/>
    <w:rsid w:val="59C53F20"/>
    <w:rsid w:val="5A7122F9"/>
    <w:rsid w:val="5A7E53FE"/>
    <w:rsid w:val="5AA51117"/>
    <w:rsid w:val="5AFA22EF"/>
    <w:rsid w:val="5B4E4D05"/>
    <w:rsid w:val="5B5639C9"/>
    <w:rsid w:val="5B9F7BC4"/>
    <w:rsid w:val="5BBC3A0E"/>
    <w:rsid w:val="5BD3501A"/>
    <w:rsid w:val="5BEC1C38"/>
    <w:rsid w:val="5C6739B4"/>
    <w:rsid w:val="5C6E089F"/>
    <w:rsid w:val="5D4E247E"/>
    <w:rsid w:val="5DCD3CEB"/>
    <w:rsid w:val="5DDE3802"/>
    <w:rsid w:val="5E0B036F"/>
    <w:rsid w:val="5E192A8C"/>
    <w:rsid w:val="5E2D5C92"/>
    <w:rsid w:val="5E361890"/>
    <w:rsid w:val="5E6F4DA2"/>
    <w:rsid w:val="5E875C48"/>
    <w:rsid w:val="5EE6584B"/>
    <w:rsid w:val="5F28567D"/>
    <w:rsid w:val="5F356F7E"/>
    <w:rsid w:val="5F3D09FC"/>
    <w:rsid w:val="5F585836"/>
    <w:rsid w:val="5F9A5E4E"/>
    <w:rsid w:val="5FCF78A6"/>
    <w:rsid w:val="5FF76DFD"/>
    <w:rsid w:val="60343BAD"/>
    <w:rsid w:val="6084265C"/>
    <w:rsid w:val="60BB607C"/>
    <w:rsid w:val="60DB04CD"/>
    <w:rsid w:val="60F65174"/>
    <w:rsid w:val="61291238"/>
    <w:rsid w:val="613F280A"/>
    <w:rsid w:val="61747DE2"/>
    <w:rsid w:val="61856F4B"/>
    <w:rsid w:val="61D31936"/>
    <w:rsid w:val="61E11B13"/>
    <w:rsid w:val="61E17D65"/>
    <w:rsid w:val="61ED7BB9"/>
    <w:rsid w:val="621B36F3"/>
    <w:rsid w:val="625E3163"/>
    <w:rsid w:val="629B43B7"/>
    <w:rsid w:val="62BD60DC"/>
    <w:rsid w:val="62C3746A"/>
    <w:rsid w:val="62D05AC6"/>
    <w:rsid w:val="62D82F16"/>
    <w:rsid w:val="62D84CC4"/>
    <w:rsid w:val="62DF24F6"/>
    <w:rsid w:val="634924D4"/>
    <w:rsid w:val="636C7B02"/>
    <w:rsid w:val="63A86D8C"/>
    <w:rsid w:val="63B52246"/>
    <w:rsid w:val="63D731CD"/>
    <w:rsid w:val="643979E4"/>
    <w:rsid w:val="643C1282"/>
    <w:rsid w:val="64751C46"/>
    <w:rsid w:val="64B715AC"/>
    <w:rsid w:val="64B81681"/>
    <w:rsid w:val="64F658D5"/>
    <w:rsid w:val="661E1616"/>
    <w:rsid w:val="6626043C"/>
    <w:rsid w:val="66527BAE"/>
    <w:rsid w:val="66E75E1D"/>
    <w:rsid w:val="673D77EB"/>
    <w:rsid w:val="67423054"/>
    <w:rsid w:val="679D472E"/>
    <w:rsid w:val="67B657F0"/>
    <w:rsid w:val="67D00554"/>
    <w:rsid w:val="68183DB4"/>
    <w:rsid w:val="68297D70"/>
    <w:rsid w:val="685D29B4"/>
    <w:rsid w:val="68945B31"/>
    <w:rsid w:val="68E22B8F"/>
    <w:rsid w:val="68F47BF7"/>
    <w:rsid w:val="68FB170C"/>
    <w:rsid w:val="68FC7232"/>
    <w:rsid w:val="699102C2"/>
    <w:rsid w:val="69955974"/>
    <w:rsid w:val="6A010FA4"/>
    <w:rsid w:val="6A036897"/>
    <w:rsid w:val="6A570BC4"/>
    <w:rsid w:val="6A7F45BF"/>
    <w:rsid w:val="6AB25D27"/>
    <w:rsid w:val="6AED32D6"/>
    <w:rsid w:val="6B4A0729"/>
    <w:rsid w:val="6B4F3F91"/>
    <w:rsid w:val="6B985938"/>
    <w:rsid w:val="6BA02A3F"/>
    <w:rsid w:val="6BB72B5B"/>
    <w:rsid w:val="6BBE4C73"/>
    <w:rsid w:val="6BD44496"/>
    <w:rsid w:val="6C025AFA"/>
    <w:rsid w:val="6C262F44"/>
    <w:rsid w:val="6C953C26"/>
    <w:rsid w:val="6CD26C28"/>
    <w:rsid w:val="6CFA1CDB"/>
    <w:rsid w:val="6CFE5C6F"/>
    <w:rsid w:val="6D123FE7"/>
    <w:rsid w:val="6D54763D"/>
    <w:rsid w:val="6D7E46BA"/>
    <w:rsid w:val="6DB66549"/>
    <w:rsid w:val="6DD45692"/>
    <w:rsid w:val="6DF36E56"/>
    <w:rsid w:val="6E2F47F0"/>
    <w:rsid w:val="6E407BC1"/>
    <w:rsid w:val="6E8B1784"/>
    <w:rsid w:val="6E9F2B3A"/>
    <w:rsid w:val="6EC151A6"/>
    <w:rsid w:val="6ED529FF"/>
    <w:rsid w:val="6F3239AE"/>
    <w:rsid w:val="6F3B4F58"/>
    <w:rsid w:val="6F571666"/>
    <w:rsid w:val="6F751AEC"/>
    <w:rsid w:val="6FA746D0"/>
    <w:rsid w:val="6FD20CED"/>
    <w:rsid w:val="6FFE7D34"/>
    <w:rsid w:val="701D28B0"/>
    <w:rsid w:val="70311EB7"/>
    <w:rsid w:val="70335C2F"/>
    <w:rsid w:val="70433998"/>
    <w:rsid w:val="705B5186"/>
    <w:rsid w:val="706978A3"/>
    <w:rsid w:val="706E4EB9"/>
    <w:rsid w:val="70765B1C"/>
    <w:rsid w:val="708B2E7A"/>
    <w:rsid w:val="70AC7790"/>
    <w:rsid w:val="70D34D1C"/>
    <w:rsid w:val="715440AF"/>
    <w:rsid w:val="71681909"/>
    <w:rsid w:val="71B40FF2"/>
    <w:rsid w:val="71D13952"/>
    <w:rsid w:val="71E13469"/>
    <w:rsid w:val="71FE401B"/>
    <w:rsid w:val="72345C8F"/>
    <w:rsid w:val="725132DC"/>
    <w:rsid w:val="72541E8D"/>
    <w:rsid w:val="72B0266E"/>
    <w:rsid w:val="72CB65F3"/>
    <w:rsid w:val="730B69EF"/>
    <w:rsid w:val="73125FD0"/>
    <w:rsid w:val="731C6E4F"/>
    <w:rsid w:val="732D5494"/>
    <w:rsid w:val="732E0930"/>
    <w:rsid w:val="73463ECB"/>
    <w:rsid w:val="73487C44"/>
    <w:rsid w:val="73661E78"/>
    <w:rsid w:val="73685BF0"/>
    <w:rsid w:val="73697BBA"/>
    <w:rsid w:val="7375030D"/>
    <w:rsid w:val="73C05A2C"/>
    <w:rsid w:val="73D47E32"/>
    <w:rsid w:val="73E00C6A"/>
    <w:rsid w:val="73ED4347"/>
    <w:rsid w:val="73F456D6"/>
    <w:rsid w:val="73FC0A2E"/>
    <w:rsid w:val="74082F2F"/>
    <w:rsid w:val="742C1037"/>
    <w:rsid w:val="74365CEE"/>
    <w:rsid w:val="7459071E"/>
    <w:rsid w:val="7467234B"/>
    <w:rsid w:val="746A5998"/>
    <w:rsid w:val="749A65CD"/>
    <w:rsid w:val="74BB4445"/>
    <w:rsid w:val="74D210D5"/>
    <w:rsid w:val="75510906"/>
    <w:rsid w:val="75CD3BF1"/>
    <w:rsid w:val="75FE6CDF"/>
    <w:rsid w:val="762C55FB"/>
    <w:rsid w:val="763B3A90"/>
    <w:rsid w:val="767E572A"/>
    <w:rsid w:val="769136B0"/>
    <w:rsid w:val="76A41074"/>
    <w:rsid w:val="76B15B00"/>
    <w:rsid w:val="76B86E8E"/>
    <w:rsid w:val="774B712C"/>
    <w:rsid w:val="7755292F"/>
    <w:rsid w:val="77E141C3"/>
    <w:rsid w:val="77E3618D"/>
    <w:rsid w:val="78280044"/>
    <w:rsid w:val="78291A2A"/>
    <w:rsid w:val="78307C29"/>
    <w:rsid w:val="784604CA"/>
    <w:rsid w:val="784A620C"/>
    <w:rsid w:val="78743289"/>
    <w:rsid w:val="78811502"/>
    <w:rsid w:val="788A77FE"/>
    <w:rsid w:val="789B25C4"/>
    <w:rsid w:val="78F341AE"/>
    <w:rsid w:val="79036F4A"/>
    <w:rsid w:val="791B27F0"/>
    <w:rsid w:val="791D56CF"/>
    <w:rsid w:val="79415ED0"/>
    <w:rsid w:val="79AB6836"/>
    <w:rsid w:val="79C8563A"/>
    <w:rsid w:val="7A684727"/>
    <w:rsid w:val="7AA02113"/>
    <w:rsid w:val="7B272834"/>
    <w:rsid w:val="7B552264"/>
    <w:rsid w:val="7B7470FC"/>
    <w:rsid w:val="7BB87930"/>
    <w:rsid w:val="7BDF4EBD"/>
    <w:rsid w:val="7BFF2E69"/>
    <w:rsid w:val="7C2D5C29"/>
    <w:rsid w:val="7CFD65A0"/>
    <w:rsid w:val="7D3B25C7"/>
    <w:rsid w:val="7D957F29"/>
    <w:rsid w:val="7DA939D5"/>
    <w:rsid w:val="7DB3215D"/>
    <w:rsid w:val="7DF54524"/>
    <w:rsid w:val="7E437985"/>
    <w:rsid w:val="7E494870"/>
    <w:rsid w:val="7E56406A"/>
    <w:rsid w:val="7E747B3F"/>
    <w:rsid w:val="7E7E6C0F"/>
    <w:rsid w:val="7E8035A6"/>
    <w:rsid w:val="7E9C7095"/>
    <w:rsid w:val="7ECD54A1"/>
    <w:rsid w:val="7F233313"/>
    <w:rsid w:val="7F2D5F40"/>
    <w:rsid w:val="7FA20C8F"/>
    <w:rsid w:val="7FA44454"/>
    <w:rsid w:val="7FF0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E499864"/>
  <w15:chartTrackingRefBased/>
  <w15:docId w15:val="{6C60FA57-C2CB-4771-ACA3-2C49B4D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rFonts w:ascii="Calibri" w:hAnsi="Calibri"/>
      <w:kern w:val="2"/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  <w:kern w:val="2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spacing w:before="21"/>
      <w:ind w:left="184"/>
      <w:jc w:val="left"/>
    </w:pPr>
    <w:rPr>
      <w:rFonts w:ascii="Arial" w:eastAsia="Arial" w:hAnsi="Arial" w:cs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4660</Characters>
  <Application>Microsoft Office Word</Application>
  <DocSecurity>0</DocSecurity>
  <Lines>38</Lines>
  <Paragraphs>10</Paragraphs>
  <ScaleCrop>false</ScaleCrop>
  <Company>微软中国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Khanapur, Soumya</cp:lastModifiedBy>
  <cp:revision>2</cp:revision>
  <dcterms:created xsi:type="dcterms:W3CDTF">2023-11-07T01:04:00Z</dcterms:created>
  <dcterms:modified xsi:type="dcterms:W3CDTF">2023-11-07T01:04:00Z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A914DC5BCED14D2D8608DCAD46CF6544</vt:lpwstr>
  </property>
</Properties>
</file>