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C8A062" w14:textId="77777777" w:rsidR="00F57E1B" w:rsidRDefault="00F57E1B" w:rsidP="00F57E1B">
      <w:pPr>
        <w:rPr>
          <w:rFonts w:cs="Arial"/>
          <w:b/>
          <w:bCs/>
          <w:sz w:val="24"/>
        </w:rPr>
      </w:pPr>
      <w:r w:rsidRPr="00C31B4B">
        <w:rPr>
          <w:rFonts w:cs="Arial"/>
          <w:b/>
          <w:bCs/>
          <w:sz w:val="24"/>
        </w:rPr>
        <w:t>Supplementary Information</w:t>
      </w:r>
      <w:r w:rsidRPr="00C31B4B">
        <w:rPr>
          <w:rFonts w:cs="Arial"/>
          <w:b/>
          <w:bCs/>
          <w:sz w:val="24"/>
        </w:rPr>
        <w:t>：</w:t>
      </w:r>
    </w:p>
    <w:p w14:paraId="7019956E" w14:textId="090FD079" w:rsidR="00F57E1B" w:rsidRPr="00C31B4B" w:rsidRDefault="00F57E1B" w:rsidP="00F57E1B">
      <w:pPr>
        <w:rPr>
          <w:rFonts w:cs="Arial"/>
          <w:b/>
          <w:bCs/>
          <w:sz w:val="24"/>
        </w:rPr>
      </w:pPr>
      <w:r>
        <w:rPr>
          <w:rFonts w:cs="Arial"/>
          <w:b/>
          <w:bCs/>
          <w:noProof/>
          <w:sz w:val="24"/>
        </w:rPr>
        <w:drawing>
          <wp:inline distT="0" distB="0" distL="0" distR="0" wp14:anchorId="4E6D3BD4" wp14:editId="4EE99D49">
            <wp:extent cx="5480685" cy="2552065"/>
            <wp:effectExtent l="0" t="0" r="5715" b="635"/>
            <wp:docPr id="126350267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4220D" w14:textId="36A889BE" w:rsidR="00F57E1B" w:rsidRDefault="00F57E1B" w:rsidP="00F57E1B">
      <w:pPr>
        <w:rPr>
          <w:rFonts w:cs="Arial"/>
          <w:b/>
          <w:bCs/>
          <w:sz w:val="24"/>
        </w:rPr>
      </w:pPr>
      <w:r w:rsidRPr="00E454BB">
        <w:rPr>
          <w:rFonts w:cs="Arial"/>
          <w:sz w:val="24"/>
        </w:rPr>
        <w:t>Additional file 1: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 xml:space="preserve">Supplementary </w:t>
      </w:r>
      <w:r>
        <w:rPr>
          <w:rFonts w:cs="Arial"/>
          <w:b/>
          <w:bCs/>
          <w:sz w:val="24"/>
        </w:rPr>
        <w:t>Figure</w:t>
      </w:r>
      <w:r w:rsidRPr="000173F3">
        <w:rPr>
          <w:rFonts w:cs="Arial"/>
          <w:b/>
          <w:bCs/>
          <w:sz w:val="24"/>
        </w:rPr>
        <w:t xml:space="preserve"> 1</w:t>
      </w:r>
      <w:r w:rsidRPr="00C31B4B">
        <w:rPr>
          <w:rFonts w:cs="Arial"/>
          <w:b/>
          <w:bCs/>
          <w:sz w:val="24"/>
        </w:rPr>
        <w:t>.</w:t>
      </w:r>
      <w:r w:rsidRPr="00C31B4B">
        <w:rPr>
          <w:rFonts w:cs="Arial"/>
          <w:sz w:val="24"/>
        </w:rPr>
        <w:t xml:space="preserve"> </w:t>
      </w:r>
      <w:r w:rsidRPr="00C31B4B">
        <w:rPr>
          <w:rFonts w:cs="Arial"/>
          <w:b/>
          <w:bCs/>
          <w:sz w:val="24"/>
        </w:rPr>
        <w:t xml:space="preserve">Heat map of the expression of 24 DELRGs in </w:t>
      </w:r>
      <w:r>
        <w:rPr>
          <w:rFonts w:cs="Arial"/>
          <w:b/>
          <w:bCs/>
          <w:sz w:val="24"/>
        </w:rPr>
        <w:t>(A)</w:t>
      </w:r>
      <w:r w:rsidRPr="00C31B4B">
        <w:rPr>
          <w:rFonts w:cs="Arial"/>
          <w:b/>
          <w:bCs/>
          <w:sz w:val="24"/>
        </w:rPr>
        <w:t xml:space="preserve">ICGC-LIHC and </w:t>
      </w:r>
      <w:r>
        <w:rPr>
          <w:rFonts w:cs="Arial"/>
          <w:b/>
          <w:bCs/>
          <w:sz w:val="24"/>
        </w:rPr>
        <w:t>(B)</w:t>
      </w:r>
      <w:r w:rsidRPr="00C31B4B">
        <w:rPr>
          <w:rFonts w:cs="Arial"/>
          <w:b/>
          <w:bCs/>
          <w:sz w:val="24"/>
        </w:rPr>
        <w:t>CPTAC-LIHC dataset.</w:t>
      </w:r>
    </w:p>
    <w:p w14:paraId="53AC4685" w14:textId="1377860C" w:rsidR="00F57E1B" w:rsidRPr="00C31B4B" w:rsidRDefault="00F57E1B" w:rsidP="00F21EC9">
      <w:pPr>
        <w:spacing w:line="240" w:lineRule="auto"/>
        <w:rPr>
          <w:rFonts w:cs="Arial"/>
          <w:sz w:val="24"/>
        </w:rPr>
      </w:pPr>
      <w:r>
        <w:rPr>
          <w:rFonts w:cs="Arial"/>
          <w:sz w:val="24"/>
        </w:rPr>
        <w:br w:type="page"/>
      </w:r>
      <w:r w:rsidR="00F21EC9">
        <w:rPr>
          <w:rFonts w:cs="Arial"/>
          <w:noProof/>
          <w:sz w:val="24"/>
        </w:rPr>
        <w:lastRenderedPageBreak/>
        <w:drawing>
          <wp:inline distT="0" distB="0" distL="0" distR="0" wp14:anchorId="4CE0AF1B" wp14:editId="264F9A25">
            <wp:extent cx="5480050" cy="7753350"/>
            <wp:effectExtent l="0" t="0" r="6350" b="0"/>
            <wp:docPr id="204389205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7FE4C" w14:textId="77777777" w:rsidR="00F57E1B" w:rsidRDefault="00F57E1B" w:rsidP="00F57E1B">
      <w:pPr>
        <w:rPr>
          <w:rFonts w:cs="Arial"/>
          <w:b/>
          <w:bCs/>
          <w:sz w:val="24"/>
        </w:rPr>
      </w:pPr>
      <w:r w:rsidRPr="00E454BB">
        <w:rPr>
          <w:rFonts w:cs="Arial"/>
          <w:sz w:val="24"/>
        </w:rPr>
        <w:lastRenderedPageBreak/>
        <w:t xml:space="preserve">Additional file </w:t>
      </w:r>
      <w:r w:rsidRPr="00E454BB">
        <w:rPr>
          <w:rFonts w:cs="Arial" w:hint="eastAsia"/>
          <w:sz w:val="24"/>
        </w:rPr>
        <w:t>2</w:t>
      </w:r>
      <w:r w:rsidRPr="00E454BB">
        <w:rPr>
          <w:rFonts w:cs="Arial"/>
          <w:sz w:val="24"/>
        </w:rPr>
        <w:t>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 xml:space="preserve">Supplementary </w:t>
      </w:r>
      <w:r>
        <w:rPr>
          <w:rFonts w:cs="Arial"/>
          <w:b/>
          <w:bCs/>
          <w:sz w:val="24"/>
        </w:rPr>
        <w:t>Figure</w:t>
      </w:r>
      <w:r w:rsidRPr="000173F3">
        <w:rPr>
          <w:rFonts w:cs="Arial"/>
          <w:b/>
          <w:bCs/>
          <w:sz w:val="24"/>
        </w:rPr>
        <w:t xml:space="preserve"> </w:t>
      </w:r>
      <w:r>
        <w:rPr>
          <w:rFonts w:cs="Arial"/>
          <w:b/>
          <w:bCs/>
          <w:sz w:val="24"/>
        </w:rPr>
        <w:t>2</w:t>
      </w:r>
      <w:r w:rsidRPr="00C31B4B">
        <w:rPr>
          <w:rFonts w:cs="Arial"/>
          <w:b/>
          <w:bCs/>
          <w:sz w:val="24"/>
        </w:rPr>
        <w:t>.</w:t>
      </w:r>
      <w:r w:rsidRPr="00C31B4B">
        <w:rPr>
          <w:rFonts w:cs="Arial"/>
          <w:sz w:val="24"/>
        </w:rPr>
        <w:t xml:space="preserve"> </w:t>
      </w:r>
      <w:r w:rsidRPr="00074A16">
        <w:rPr>
          <w:rFonts w:cs="Arial"/>
          <w:b/>
          <w:bCs/>
          <w:sz w:val="24"/>
        </w:rPr>
        <w:t>The functional analysis of DEGs in the other two groups showed high similarity</w:t>
      </w:r>
      <w:r>
        <w:rPr>
          <w:rFonts w:cs="Arial"/>
          <w:b/>
          <w:bCs/>
          <w:sz w:val="24"/>
        </w:rPr>
        <w:t>.</w:t>
      </w:r>
      <w:r>
        <w:rPr>
          <w:rFonts w:cs="Arial" w:hint="eastAsia"/>
          <w:b/>
          <w:bCs/>
          <w:sz w:val="24"/>
        </w:rPr>
        <w:t xml:space="preserve"> </w:t>
      </w:r>
    </w:p>
    <w:p w14:paraId="7AE36C5E" w14:textId="348A956C" w:rsidR="00F57E1B" w:rsidRDefault="00F57E1B" w:rsidP="00F57E1B">
      <w:pPr>
        <w:rPr>
          <w:rFonts w:cs="Arial"/>
          <w:sz w:val="24"/>
        </w:rPr>
      </w:pPr>
      <w:r w:rsidRPr="00C31B4B">
        <w:rPr>
          <w:rFonts w:cs="Arial"/>
          <w:b/>
          <w:bCs/>
          <w:sz w:val="24"/>
        </w:rPr>
        <w:t xml:space="preserve">(A). </w:t>
      </w:r>
      <w:r w:rsidRPr="00C31B4B">
        <w:rPr>
          <w:rFonts w:cs="Arial"/>
          <w:sz w:val="24"/>
        </w:rPr>
        <w:t xml:space="preserve">Seven representative GO pathways were enriched in the high LR score group by GSEA analysis in non-tumor tissues from ICGC-LIHC and GSE14520. </w:t>
      </w:r>
      <w:r w:rsidRPr="00C31B4B">
        <w:rPr>
          <w:rFonts w:cs="Arial"/>
          <w:b/>
          <w:bCs/>
          <w:sz w:val="24"/>
        </w:rPr>
        <w:t>(B).</w:t>
      </w:r>
      <w:r w:rsidRPr="00C31B4B">
        <w:rPr>
          <w:rFonts w:cs="Arial"/>
          <w:sz w:val="24"/>
        </w:rPr>
        <w:t xml:space="preserve"> Eight </w:t>
      </w:r>
      <w:proofErr w:type="gramStart"/>
      <w:r w:rsidRPr="00C31B4B">
        <w:rPr>
          <w:rFonts w:cs="Arial"/>
          <w:sz w:val="24"/>
        </w:rPr>
        <w:t>representative</w:t>
      </w:r>
      <w:proofErr w:type="gramEnd"/>
      <w:r w:rsidRPr="00C31B4B">
        <w:rPr>
          <w:rFonts w:cs="Arial"/>
          <w:sz w:val="24"/>
        </w:rPr>
        <w:t xml:space="preserve"> upregulated KEGG pathways in the high LR score group by GSEA analysis in non-tumor tissues from ICGC-LIHC and GSE14520. </w:t>
      </w:r>
      <w:r w:rsidRPr="00C31B4B">
        <w:rPr>
          <w:rFonts w:cs="Arial"/>
          <w:b/>
          <w:bCs/>
          <w:sz w:val="24"/>
        </w:rPr>
        <w:t>(C).</w:t>
      </w:r>
      <w:r w:rsidRPr="00C31B4B">
        <w:rPr>
          <w:rFonts w:cs="Arial"/>
          <w:sz w:val="24"/>
        </w:rPr>
        <w:t xml:space="preserve"> GO BP enrichment analysis was performed for upregulated DEGs between high and low LR score groups in non-tumor tissues from ICGC-LIHC and GSE14520.  </w:t>
      </w:r>
      <w:r w:rsidRPr="00C31B4B">
        <w:rPr>
          <w:rFonts w:cs="Arial"/>
          <w:b/>
          <w:bCs/>
          <w:sz w:val="24"/>
        </w:rPr>
        <w:t>(D).</w:t>
      </w:r>
      <w:r w:rsidRPr="00C31B4B">
        <w:rPr>
          <w:rFonts w:cs="Arial"/>
          <w:sz w:val="24"/>
        </w:rPr>
        <w:t xml:space="preserve"> The </w:t>
      </w:r>
      <w:proofErr w:type="spellStart"/>
      <w:r w:rsidRPr="00C31B4B">
        <w:rPr>
          <w:rFonts w:cs="Arial"/>
          <w:sz w:val="24"/>
        </w:rPr>
        <w:t>ssGSEA</w:t>
      </w:r>
      <w:proofErr w:type="spellEnd"/>
      <w:r w:rsidRPr="00C31B4B">
        <w:rPr>
          <w:rFonts w:cs="Arial"/>
          <w:sz w:val="24"/>
        </w:rPr>
        <w:t xml:space="preserve"> scores of the three categories of tissues in the four KEGG representative pathways are presented as violin plots in non-tumor tissues from ICGC-LIHC and GSE14520.</w:t>
      </w:r>
    </w:p>
    <w:p w14:paraId="43932E7F" w14:textId="77777777" w:rsidR="00F57E1B" w:rsidRDefault="00F57E1B">
      <w:pPr>
        <w:spacing w:line="240" w:lineRule="auto"/>
        <w:rPr>
          <w:rFonts w:cs="Arial"/>
          <w:sz w:val="24"/>
        </w:rPr>
      </w:pPr>
      <w:r>
        <w:rPr>
          <w:rFonts w:cs="Arial"/>
          <w:sz w:val="24"/>
        </w:rPr>
        <w:br w:type="page"/>
      </w:r>
    </w:p>
    <w:p w14:paraId="30BF436E" w14:textId="6C2DBC6C" w:rsidR="00F57E1B" w:rsidRPr="00074A16" w:rsidRDefault="00F21EC9" w:rsidP="00F57E1B">
      <w:pPr>
        <w:rPr>
          <w:rFonts w:cs="Arial"/>
          <w:b/>
          <w:bCs/>
          <w:sz w:val="24"/>
        </w:rPr>
      </w:pPr>
      <w:r>
        <w:rPr>
          <w:rFonts w:cs="Arial"/>
          <w:b/>
          <w:bCs/>
          <w:noProof/>
          <w:sz w:val="24"/>
        </w:rPr>
        <w:lastRenderedPageBreak/>
        <w:drawing>
          <wp:inline distT="0" distB="0" distL="0" distR="0" wp14:anchorId="40D644A9" wp14:editId="5FC1BBD4">
            <wp:extent cx="5480050" cy="7531100"/>
            <wp:effectExtent l="0" t="0" r="6350" b="0"/>
            <wp:docPr id="28620437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753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14C49" w14:textId="77777777" w:rsidR="00F57E1B" w:rsidRDefault="00F57E1B" w:rsidP="00F57E1B">
      <w:pPr>
        <w:rPr>
          <w:rFonts w:cs="Arial"/>
          <w:sz w:val="24"/>
        </w:rPr>
      </w:pPr>
      <w:r w:rsidRPr="00E454BB">
        <w:rPr>
          <w:rFonts w:cs="Arial"/>
          <w:sz w:val="24"/>
        </w:rPr>
        <w:lastRenderedPageBreak/>
        <w:t>Additional file 3: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 xml:space="preserve">Supplementary </w:t>
      </w:r>
      <w:r>
        <w:rPr>
          <w:rFonts w:cs="Arial"/>
          <w:b/>
          <w:bCs/>
          <w:sz w:val="24"/>
        </w:rPr>
        <w:t>Figure</w:t>
      </w:r>
      <w:r w:rsidRPr="000173F3">
        <w:rPr>
          <w:rFonts w:cs="Arial"/>
          <w:b/>
          <w:bCs/>
          <w:sz w:val="24"/>
        </w:rPr>
        <w:t xml:space="preserve"> </w:t>
      </w:r>
      <w:r>
        <w:rPr>
          <w:rFonts w:cs="Arial"/>
          <w:b/>
          <w:bCs/>
          <w:sz w:val="24"/>
        </w:rPr>
        <w:t>3</w:t>
      </w:r>
      <w:r w:rsidRPr="00C31B4B">
        <w:rPr>
          <w:rFonts w:cs="Arial"/>
          <w:b/>
          <w:bCs/>
          <w:sz w:val="24"/>
        </w:rPr>
        <w:t>.</w:t>
      </w:r>
      <w:r w:rsidRPr="00C31B4B">
        <w:rPr>
          <w:rFonts w:cs="Arial"/>
          <w:sz w:val="24"/>
        </w:rPr>
        <w:t xml:space="preserve"> </w:t>
      </w:r>
      <w:r w:rsidRPr="00C31B4B">
        <w:rPr>
          <w:rFonts w:cs="Arial"/>
          <w:b/>
          <w:bCs/>
          <w:sz w:val="24"/>
        </w:rPr>
        <w:t>Association of DHTKD1 and PHYH with prognosis in the training set.</w:t>
      </w:r>
      <w:r w:rsidRPr="00C31B4B">
        <w:rPr>
          <w:rFonts w:cs="Arial"/>
          <w:sz w:val="24"/>
        </w:rPr>
        <w:t xml:space="preserve"> </w:t>
      </w:r>
    </w:p>
    <w:p w14:paraId="6F9842FD" w14:textId="65EE38A9" w:rsidR="00F57E1B" w:rsidRDefault="00F57E1B" w:rsidP="00F57E1B">
      <w:pPr>
        <w:rPr>
          <w:rFonts w:cs="Arial"/>
          <w:sz w:val="24"/>
        </w:rPr>
      </w:pPr>
      <w:r w:rsidRPr="00C31B4B">
        <w:rPr>
          <w:rFonts w:cs="Arial"/>
          <w:b/>
          <w:bCs/>
          <w:sz w:val="24"/>
        </w:rPr>
        <w:t>(A).</w:t>
      </w:r>
      <w:r w:rsidRPr="00C31B4B">
        <w:rPr>
          <w:rFonts w:cs="Arial"/>
          <w:sz w:val="24"/>
        </w:rPr>
        <w:t xml:space="preserve"> Heatmaps of 24 DELRGs in non-tumor tissues with high and low LR score group</w:t>
      </w:r>
      <w:r>
        <w:rPr>
          <w:rFonts w:cs="Arial"/>
          <w:sz w:val="24"/>
        </w:rPr>
        <w:t>s</w:t>
      </w:r>
      <w:r w:rsidRPr="00C31B4B">
        <w:rPr>
          <w:rFonts w:cs="Arial"/>
          <w:sz w:val="24"/>
        </w:rPr>
        <w:t xml:space="preserve"> in the validation set (ICGC-LIHC/CPTAC-LIHC). </w:t>
      </w:r>
      <w:r w:rsidRPr="00C31B4B">
        <w:rPr>
          <w:rFonts w:cs="Arial"/>
          <w:b/>
          <w:bCs/>
          <w:sz w:val="24"/>
        </w:rPr>
        <w:t>(B).</w:t>
      </w:r>
      <w:r w:rsidRPr="00C31B4B">
        <w:rPr>
          <w:rFonts w:cs="Arial"/>
          <w:sz w:val="24"/>
        </w:rPr>
        <w:t xml:space="preserve"> In the validation set (ICGC-LIHC/CPTAC-LIHC), higher expression of DHTKD1 and PHYH has better prognosis.</w:t>
      </w:r>
    </w:p>
    <w:p w14:paraId="39B81444" w14:textId="60404D98" w:rsidR="00F57E1B" w:rsidRPr="00C31B4B" w:rsidRDefault="00F57E1B" w:rsidP="00F57E1B">
      <w:pPr>
        <w:spacing w:line="240" w:lineRule="auto"/>
        <w:rPr>
          <w:rFonts w:cs="Arial"/>
          <w:sz w:val="24"/>
        </w:rPr>
      </w:pPr>
      <w:r>
        <w:rPr>
          <w:rFonts w:cs="Arial"/>
          <w:sz w:val="24"/>
        </w:rPr>
        <w:br w:type="page"/>
      </w:r>
    </w:p>
    <w:p w14:paraId="3F4EE623" w14:textId="77777777" w:rsidR="00F57E1B" w:rsidRPr="00C31B4B" w:rsidRDefault="00F57E1B" w:rsidP="00F57E1B">
      <w:pPr>
        <w:rPr>
          <w:rFonts w:cs="Arial"/>
          <w:b/>
          <w:bCs/>
          <w:sz w:val="24"/>
        </w:rPr>
      </w:pPr>
      <w:r w:rsidRPr="00E454BB">
        <w:rPr>
          <w:rFonts w:cs="Arial"/>
          <w:sz w:val="24"/>
        </w:rPr>
        <w:lastRenderedPageBreak/>
        <w:t>Additional file 4: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>Supplementary Table 1</w:t>
      </w:r>
      <w:r w:rsidRPr="00C31B4B">
        <w:rPr>
          <w:rFonts w:cs="Arial"/>
          <w:b/>
          <w:bCs/>
          <w:sz w:val="24"/>
        </w:rPr>
        <w:t>. All gene sets</w:t>
      </w:r>
      <w:r>
        <w:rPr>
          <w:rFonts w:cs="Arial"/>
          <w:b/>
          <w:bCs/>
          <w:sz w:val="24"/>
        </w:rPr>
        <w:t xml:space="preserve"> are</w:t>
      </w:r>
      <w:r w:rsidRPr="00C31B4B">
        <w:rPr>
          <w:rFonts w:cs="Arial"/>
          <w:b/>
          <w:bCs/>
          <w:sz w:val="24"/>
        </w:rPr>
        <w:t xml:space="preserve"> used to screen differential genes.</w:t>
      </w:r>
    </w:p>
    <w:p w14:paraId="50DFB1CB" w14:textId="77777777" w:rsidR="00F57E1B" w:rsidRPr="00C31B4B" w:rsidRDefault="00F57E1B" w:rsidP="00F57E1B">
      <w:pPr>
        <w:rPr>
          <w:rFonts w:cs="Arial"/>
          <w:b/>
          <w:bCs/>
          <w:sz w:val="24"/>
        </w:rPr>
      </w:pPr>
      <w:r w:rsidRPr="00E454BB">
        <w:rPr>
          <w:rFonts w:cs="Arial"/>
          <w:sz w:val="24"/>
        </w:rPr>
        <w:t>Additional file 5: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 xml:space="preserve">Supplementary Table </w:t>
      </w:r>
      <w:r>
        <w:rPr>
          <w:rFonts w:cs="Arial"/>
          <w:b/>
          <w:bCs/>
          <w:sz w:val="24"/>
        </w:rPr>
        <w:t>2</w:t>
      </w:r>
      <w:r w:rsidRPr="00C31B4B">
        <w:rPr>
          <w:rFonts w:cs="Arial"/>
          <w:b/>
          <w:bCs/>
          <w:sz w:val="24"/>
        </w:rPr>
        <w:t>. Differentially expressed genes between high and low LR score groups in three cohorts.</w:t>
      </w:r>
    </w:p>
    <w:p w14:paraId="338B14F0" w14:textId="1832D5F9" w:rsidR="00D158D0" w:rsidRPr="00F57E1B" w:rsidRDefault="00F57E1B" w:rsidP="00F57E1B">
      <w:pPr>
        <w:widowControl w:val="0"/>
      </w:pPr>
      <w:r w:rsidRPr="00E454BB">
        <w:rPr>
          <w:rFonts w:cs="Arial"/>
          <w:sz w:val="24"/>
        </w:rPr>
        <w:t>Additional file 6:</w:t>
      </w:r>
      <w:r w:rsidRPr="00C31B4B">
        <w:rPr>
          <w:rFonts w:cs="Arial"/>
          <w:b/>
          <w:bCs/>
          <w:sz w:val="24"/>
        </w:rPr>
        <w:t xml:space="preserve"> </w:t>
      </w:r>
      <w:r w:rsidRPr="000173F3">
        <w:rPr>
          <w:rFonts w:cs="Arial"/>
          <w:b/>
          <w:bCs/>
          <w:sz w:val="24"/>
        </w:rPr>
        <w:t xml:space="preserve">Supplementary Table </w:t>
      </w:r>
      <w:r>
        <w:rPr>
          <w:rFonts w:cs="Arial"/>
          <w:b/>
          <w:bCs/>
          <w:sz w:val="24"/>
        </w:rPr>
        <w:t>3</w:t>
      </w:r>
      <w:r w:rsidRPr="00C31B4B">
        <w:rPr>
          <w:rFonts w:cs="Arial"/>
          <w:b/>
          <w:bCs/>
          <w:sz w:val="24"/>
        </w:rPr>
        <w:t xml:space="preserve">. Results of </w:t>
      </w:r>
      <w:r>
        <w:rPr>
          <w:rFonts w:cs="Arial"/>
          <w:b/>
          <w:bCs/>
          <w:sz w:val="24"/>
        </w:rPr>
        <w:t>DEGs</w:t>
      </w:r>
      <w:r w:rsidRPr="00C31B4B">
        <w:rPr>
          <w:rFonts w:cs="Arial"/>
          <w:b/>
          <w:bCs/>
          <w:sz w:val="24"/>
        </w:rPr>
        <w:t xml:space="preserve"> enrichment analysis between high and low LR score groups in three cohorts.</w:t>
      </w:r>
    </w:p>
    <w:sectPr w:rsidR="00D158D0" w:rsidRPr="00F57E1B" w:rsidSect="00C94612">
      <w:footerReference w:type="even" r:id="rId9"/>
      <w:footerReference w:type="default" r:id="rId10"/>
      <w:footerReference w:type="first" r:id="rId11"/>
      <w:pgSz w:w="12240" w:h="15840"/>
      <w:pgMar w:top="1440" w:right="1800" w:bottom="1440" w:left="1800" w:header="720" w:footer="720" w:gutter="0"/>
      <w:lnNumType w:countBy="1" w:restart="continuous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DAFD09" w14:textId="77777777" w:rsidR="008B1CEB" w:rsidRDefault="008B1CEB" w:rsidP="00F57E1B">
      <w:pPr>
        <w:spacing w:line="240" w:lineRule="auto"/>
      </w:pPr>
      <w:r>
        <w:separator/>
      </w:r>
    </w:p>
  </w:endnote>
  <w:endnote w:type="continuationSeparator" w:id="0">
    <w:p w14:paraId="075731EB" w14:textId="77777777" w:rsidR="008B1CEB" w:rsidRDefault="008B1CEB" w:rsidP="00F57E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ckwell">
    <w:charset w:val="00"/>
    <w:family w:val="roman"/>
    <w:pitch w:val="variable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BE5FBB" w14:textId="77777777" w:rsidR="00000000" w:rsidRDefault="00000000" w:rsidP="00FF266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216B45C7" w14:textId="77777777" w:rsidR="00000000" w:rsidRDefault="00000000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934A6" w14:textId="77777777" w:rsidR="00000000" w:rsidRDefault="00000000" w:rsidP="00FF2660">
    <w:pPr>
      <w:pStyle w:val="a5"/>
      <w:framePr w:wrap="around" w:vAnchor="text" w:hAnchor="margin" w:xAlign="center" w:y="1"/>
      <w:rPr>
        <w:rStyle w:val="a7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B87F868" wp14:editId="0A518F31">
              <wp:simplePos x="0" y="0"/>
              <wp:positionH relativeFrom="page">
                <wp:posOffset>0</wp:posOffset>
              </wp:positionH>
              <wp:positionV relativeFrom="page">
                <wp:posOffset>9603740</wp:posOffset>
              </wp:positionV>
              <wp:extent cx="7772400" cy="264160"/>
              <wp:effectExtent l="0" t="0" r="0" b="2540"/>
              <wp:wrapNone/>
              <wp:docPr id="729250670" name="文本框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72400" cy="264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DEC9BF9" w14:textId="77777777" w:rsidR="00000000" w:rsidRPr="00740F67" w:rsidRDefault="00000000" w:rsidP="00740F67">
                          <w:pPr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</w:pPr>
                          <w:r w:rsidRPr="00740F67"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vert="horz" wrap="square" lIns="254000" tIns="0" rIns="91440" bIns="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87F868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756.2pt;width:612pt;height:20.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" o:allowincell="f" filled="f" stroked="f">
              <v:textbox inset="20pt,0,,0">
                <w:txbxContent>
                  <w:p w14:paraId="6DEC9BF9" w14:textId="77777777" w:rsidR="00000000" w:rsidRPr="00740F67" w:rsidRDefault="00000000" w:rsidP="00740F67">
                    <w:pPr>
                      <w:rPr>
                        <w:rFonts w:ascii="Rockwell" w:hAnsi="Rockwell"/>
                        <w:color w:val="0078D7"/>
                        <w:sz w:val="18"/>
                      </w:rPr>
                    </w:pPr>
                    <w:r w:rsidRPr="00740F67">
                      <w:rPr>
                        <w:rFonts w:ascii="Rockwell" w:hAnsi="Rockwell"/>
                        <w:color w:val="0078D7"/>
                        <w:sz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5</w:t>
    </w:r>
    <w:r>
      <w:rPr>
        <w:rStyle w:val="a7"/>
      </w:rPr>
      <w:fldChar w:fldCharType="end"/>
    </w:r>
  </w:p>
  <w:p w14:paraId="17459B00" w14:textId="77777777" w:rsidR="00000000" w:rsidRDefault="00000000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4CA985" w14:textId="77777777" w:rsidR="00000000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5EF035E" wp14:editId="6D6132AB">
              <wp:simplePos x="0" y="0"/>
              <wp:positionH relativeFrom="page">
                <wp:posOffset>0</wp:posOffset>
              </wp:positionH>
              <wp:positionV relativeFrom="page">
                <wp:posOffset>9603740</wp:posOffset>
              </wp:positionV>
              <wp:extent cx="7772400" cy="264160"/>
              <wp:effectExtent l="0" t="0" r="0" b="2540"/>
              <wp:wrapNone/>
              <wp:docPr id="518224643" name="文本框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72400" cy="264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6EC5A5D" w14:textId="77777777" w:rsidR="00000000" w:rsidRPr="00740F67" w:rsidRDefault="00000000" w:rsidP="00740F67">
                          <w:pPr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</w:pPr>
                          <w:r w:rsidRPr="00740F67"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vert="horz" wrap="square" lIns="254000" tIns="0" rIns="91440" bIns="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EF035E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0;margin-top:756.2pt;width:612pt;height:20.8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" o:allowincell="f" filled="f" stroked="f">
              <v:textbox inset="20pt,0,,0">
                <w:txbxContent>
                  <w:p w14:paraId="16EC5A5D" w14:textId="77777777" w:rsidR="00000000" w:rsidRPr="00740F67" w:rsidRDefault="00000000" w:rsidP="00740F67">
                    <w:pPr>
                      <w:rPr>
                        <w:rFonts w:ascii="Rockwell" w:hAnsi="Rockwell"/>
                        <w:color w:val="0078D7"/>
                        <w:sz w:val="18"/>
                      </w:rPr>
                    </w:pPr>
                    <w:r w:rsidRPr="00740F67">
                      <w:rPr>
                        <w:rFonts w:ascii="Rockwell" w:hAnsi="Rockwell"/>
                        <w:color w:val="0078D7"/>
                        <w:sz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C82CC3" w14:textId="77777777" w:rsidR="008B1CEB" w:rsidRDefault="008B1CEB" w:rsidP="00F57E1B">
      <w:pPr>
        <w:spacing w:line="240" w:lineRule="auto"/>
      </w:pPr>
      <w:r>
        <w:separator/>
      </w:r>
    </w:p>
  </w:footnote>
  <w:footnote w:type="continuationSeparator" w:id="0">
    <w:p w14:paraId="57A89E93" w14:textId="77777777" w:rsidR="008B1CEB" w:rsidRDefault="008B1CEB" w:rsidP="00F57E1B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4D7A"/>
    <w:rsid w:val="008B1CEB"/>
    <w:rsid w:val="00AE4D7A"/>
    <w:rsid w:val="00D158D0"/>
    <w:rsid w:val="00F21EC9"/>
    <w:rsid w:val="00F5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52537A"/>
  <w15:chartTrackingRefBased/>
  <w15:docId w15:val="{B52F195D-3CF7-4D44-9D0F-1CD5C5FDB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7E1B"/>
    <w:pPr>
      <w:spacing w:line="480" w:lineRule="auto"/>
    </w:pPr>
    <w:rPr>
      <w:rFonts w:ascii="Arial" w:eastAsia="等线" w:hAnsi="Arial" w:cs="Times New Roman"/>
      <w:kern w:val="0"/>
      <w:sz w:val="20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7E1B"/>
    <w:pPr>
      <w:widowControl w:val="0"/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  <w:lang w:eastAsia="zh-CN"/>
    </w:rPr>
  </w:style>
  <w:style w:type="character" w:customStyle="1" w:styleId="a4">
    <w:name w:val="页眉 字符"/>
    <w:basedOn w:val="a0"/>
    <w:link w:val="a3"/>
    <w:uiPriority w:val="99"/>
    <w:rsid w:val="00F57E1B"/>
    <w:rPr>
      <w:sz w:val="18"/>
      <w:szCs w:val="18"/>
    </w:rPr>
  </w:style>
  <w:style w:type="paragraph" w:styleId="a5">
    <w:name w:val="footer"/>
    <w:basedOn w:val="a"/>
    <w:link w:val="a6"/>
    <w:unhideWhenUsed/>
    <w:rsid w:val="00F57E1B"/>
    <w:pPr>
      <w:widowControl w:val="0"/>
      <w:tabs>
        <w:tab w:val="center" w:pos="4153"/>
        <w:tab w:val="right" w:pos="8306"/>
      </w:tabs>
      <w:snapToGrid w:val="0"/>
      <w:spacing w:line="240" w:lineRule="auto"/>
    </w:pPr>
    <w:rPr>
      <w:rFonts w:asciiTheme="minorHAnsi" w:eastAsiaTheme="minorEastAsia" w:hAnsiTheme="minorHAnsi" w:cstheme="minorBidi"/>
      <w:kern w:val="2"/>
      <w:sz w:val="18"/>
      <w:szCs w:val="18"/>
      <w:lang w:eastAsia="zh-CN"/>
    </w:rPr>
  </w:style>
  <w:style w:type="character" w:customStyle="1" w:styleId="a6">
    <w:name w:val="页脚 字符"/>
    <w:basedOn w:val="a0"/>
    <w:link w:val="a5"/>
    <w:rsid w:val="00F57E1B"/>
    <w:rPr>
      <w:sz w:val="18"/>
      <w:szCs w:val="18"/>
    </w:rPr>
  </w:style>
  <w:style w:type="character" w:styleId="a7">
    <w:name w:val="page number"/>
    <w:basedOn w:val="a0"/>
    <w:rsid w:val="00F57E1B"/>
  </w:style>
  <w:style w:type="character" w:styleId="a8">
    <w:name w:val="line number"/>
    <w:basedOn w:val="a0"/>
    <w:uiPriority w:val="99"/>
    <w:semiHidden/>
    <w:unhideWhenUsed/>
    <w:rsid w:val="00F57E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228</Words>
  <Characters>1390</Characters>
  <Application>Microsoft Office Word</Application>
  <DocSecurity>0</DocSecurity>
  <Lines>40</Lines>
  <Paragraphs>7</Paragraphs>
  <ScaleCrop>false</ScaleCrop>
  <Company/>
  <LinksUpToDate>false</LinksUpToDate>
  <CharactersWithSpaces>1611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Brain Failure</dc:creator>
  <cp:keywords/>
  <dc:description/>
  <cp:lastModifiedBy>Brain Failure</cp:lastModifiedBy>
  <cp:revision>2</cp:revision>
  <dcterms:created xsi:type="dcterms:W3CDTF">2023-11-15T11:33:00Z</dcterms:created>
  <dcterms:modified xsi:type="dcterms:W3CDTF">2023-11-15T11:47:00Z</dcterms:modified>
</cp:coreProperties>
</file>