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2B7EC" w14:textId="77777777" w:rsidR="00325A3B" w:rsidRDefault="00000000">
      <w:pPr>
        <w:spacing w:before="0" w:beforeAutospacing="0" w:after="0" w:line="480" w:lineRule="auto"/>
        <w:jc w:val="both"/>
        <w:rPr>
          <w:rFonts w:ascii="Arial" w:eastAsia="Arial" w:hAnsi="Arial" w:cs="Arial"/>
          <w:sz w:val="28"/>
          <w:szCs w:val="28"/>
        </w:rPr>
      </w:pPr>
      <w:r>
        <w:rPr>
          <w:rFonts w:ascii="Arial" w:eastAsia="Arial" w:hAnsi="Arial" w:cs="Arial" w:hint="eastAsia"/>
          <w:b/>
          <w:bCs/>
          <w:sz w:val="32"/>
          <w:szCs w:val="32"/>
        </w:rPr>
        <w:t>Appendix S1.</w:t>
      </w:r>
      <w:r>
        <w:rPr>
          <w:rFonts w:ascii="Arial" w:hAnsi="Arial" w:cs="Arial" w:hint="eastAsia"/>
          <w:b/>
          <w:bCs/>
          <w:sz w:val="32"/>
          <w:szCs w:val="32"/>
        </w:rPr>
        <w:t xml:space="preserve"> </w:t>
      </w:r>
      <w:r>
        <w:rPr>
          <w:rFonts w:ascii="Arial" w:eastAsia="Arial" w:hAnsi="Arial" w:cs="Arial"/>
          <w:b/>
          <w:bCs/>
          <w:sz w:val="32"/>
          <w:szCs w:val="32"/>
        </w:rPr>
        <w:t>Material and methods</w:t>
      </w:r>
    </w:p>
    <w:p w14:paraId="4746B738" w14:textId="77777777" w:rsidR="00325A3B" w:rsidRDefault="00000000">
      <w:pPr>
        <w:widowControl w:val="0"/>
        <w:spacing w:before="0" w:beforeAutospacing="0" w:after="0" w:line="480" w:lineRule="auto"/>
        <w:jc w:val="both"/>
        <w:rPr>
          <w:rFonts w:ascii="Arial" w:eastAsia="Arial" w:hAnsi="Arial" w:cs="Arial"/>
          <w:b/>
          <w:bCs/>
          <w:kern w:val="2"/>
          <w:sz w:val="28"/>
          <w:szCs w:val="28"/>
        </w:rPr>
      </w:pPr>
      <w:bookmarkStart w:id="0" w:name="OLE_LINK18"/>
      <w:r>
        <w:rPr>
          <w:rFonts w:ascii="Arial" w:eastAsia="Arial" w:hAnsi="Arial" w:cs="Arial"/>
          <w:b/>
          <w:bCs/>
          <w:kern w:val="2"/>
          <w:sz w:val="28"/>
          <w:szCs w:val="28"/>
        </w:rPr>
        <w:t>Sample Collection</w:t>
      </w:r>
    </w:p>
    <w:p w14:paraId="7EEFBB0D" w14:textId="77777777" w:rsidR="00325A3B" w:rsidRDefault="00000000">
      <w:pPr>
        <w:widowControl w:val="0"/>
        <w:spacing w:before="0" w:beforeAutospacing="0" w:after="0" w:line="480" w:lineRule="auto"/>
        <w:jc w:val="both"/>
        <w:rPr>
          <w:rFonts w:ascii="Arial" w:eastAsia="Arial" w:hAnsi="Arial" w:cs="Arial"/>
          <w:kern w:val="2"/>
          <w:sz w:val="20"/>
          <w:szCs w:val="20"/>
        </w:rPr>
      </w:pPr>
      <w:bookmarkStart w:id="1" w:name="OLE_LINK110"/>
      <w:bookmarkEnd w:id="0"/>
      <w:r>
        <w:rPr>
          <w:rFonts w:ascii="Arial" w:eastAsia="Arial" w:hAnsi="Arial" w:cs="Arial"/>
          <w:kern w:val="2"/>
          <w:sz w:val="20"/>
          <w:szCs w:val="20"/>
        </w:rPr>
        <w:t xml:space="preserve">The study was approved by the Medical Ethics Committee of the North China Medical and Health Group Xingtai General Hospital (No.ZCKT-2021-0011) and written informed consent was obtained from all patients. The studies </w:t>
      </w:r>
      <w:bookmarkStart w:id="2" w:name="OLE_LINK3"/>
      <w:r>
        <w:rPr>
          <w:rFonts w:ascii="Arial" w:eastAsia="Arial" w:hAnsi="Arial" w:cs="Arial"/>
          <w:kern w:val="2"/>
          <w:sz w:val="20"/>
          <w:szCs w:val="20"/>
        </w:rPr>
        <w:t>were conducted in accordance with Declaration of Helsinki guidelines.</w:t>
      </w:r>
      <w:bookmarkEnd w:id="2"/>
      <w:r>
        <w:rPr>
          <w:rFonts w:ascii="Arial" w:eastAsia="Arial" w:hAnsi="Arial" w:cs="Arial"/>
          <w:kern w:val="2"/>
          <w:sz w:val="20"/>
          <w:szCs w:val="20"/>
        </w:rPr>
        <w:t xml:space="preserve"> Plasma samples from 20 </w:t>
      </w:r>
      <w:bookmarkStart w:id="3" w:name="OLE_LINK4"/>
      <w:r>
        <w:rPr>
          <w:rFonts w:ascii="Arial" w:eastAsia="Arial" w:hAnsi="Arial" w:cs="Arial"/>
          <w:kern w:val="2"/>
          <w:sz w:val="20"/>
          <w:szCs w:val="20"/>
        </w:rPr>
        <w:t>participants</w:t>
      </w:r>
      <w:bookmarkEnd w:id="3"/>
      <w:r>
        <w:rPr>
          <w:rFonts w:ascii="Arial" w:eastAsia="Arial" w:hAnsi="Arial" w:cs="Arial"/>
          <w:kern w:val="2"/>
          <w:sz w:val="20"/>
          <w:szCs w:val="20"/>
        </w:rPr>
        <w:t xml:space="preserve"> (10 healthy and 10 plaque psoriasis patients) were collected and analyzed. Clinical characteristics of patients and controls are described in Table 1. </w:t>
      </w:r>
      <w:r>
        <w:rPr>
          <w:rFonts w:ascii="Arial" w:eastAsia="Arial" w:hAnsi="Arial" w:cs="Arial" w:hint="eastAsia"/>
          <w:kern w:val="2"/>
          <w:sz w:val="20"/>
          <w:szCs w:val="20"/>
        </w:rPr>
        <w:t>Psoriasis diagnosis is based on clinical evaluation of psoriasis subtypes and PASI scores</w:t>
      </w:r>
      <w:r>
        <w:rPr>
          <w:rFonts w:ascii="Arial" w:hAnsi="Arial" w:cs="Arial" w:hint="eastAsia"/>
          <w:kern w:val="2"/>
          <w:sz w:val="20"/>
          <w:szCs w:val="20"/>
        </w:rPr>
        <w:t xml:space="preserve"> at the dermatology clinic</w:t>
      </w:r>
      <w:r>
        <w:rPr>
          <w:rFonts w:ascii="Arial" w:eastAsia="Arial" w:hAnsi="Arial" w:cs="Arial" w:hint="eastAsia"/>
          <w:kern w:val="2"/>
          <w:sz w:val="20"/>
          <w:szCs w:val="20"/>
        </w:rPr>
        <w:t>.</w:t>
      </w:r>
      <w:r>
        <w:rPr>
          <w:rFonts w:ascii="Arial" w:hAnsi="Arial" w:cs="Arial" w:hint="eastAsia"/>
          <w:kern w:val="2"/>
          <w:sz w:val="20"/>
          <w:szCs w:val="20"/>
        </w:rPr>
        <w:t xml:space="preserve"> </w:t>
      </w:r>
      <w:r>
        <w:rPr>
          <w:rFonts w:ascii="Arial" w:eastAsia="Arial" w:hAnsi="Arial" w:cs="Arial" w:hint="eastAsia"/>
          <w:kern w:val="2"/>
          <w:sz w:val="20"/>
          <w:szCs w:val="20"/>
        </w:rPr>
        <w:t xml:space="preserve">The inclusion criteria for the </w:t>
      </w:r>
      <w:r>
        <w:rPr>
          <w:rFonts w:ascii="Arial" w:eastAsia="Arial" w:hAnsi="Arial" w:cs="Arial"/>
          <w:kern w:val="2"/>
          <w:sz w:val="20"/>
          <w:szCs w:val="20"/>
        </w:rPr>
        <w:t>participants</w:t>
      </w:r>
      <w:r>
        <w:rPr>
          <w:rFonts w:ascii="Arial" w:eastAsia="Arial" w:hAnsi="Arial" w:cs="Arial" w:hint="eastAsia"/>
          <w:kern w:val="2"/>
          <w:sz w:val="20"/>
          <w:szCs w:val="20"/>
        </w:rPr>
        <w:t xml:space="preserve"> include newly diagnosed and untreated psoriasis patients without any other comorbidities. Exclusion criteria include the use of subcutaneous and intravenous systemic immunosuppressive drugs. Both psoriasis patients and healthy controls are over 18 years old.</w:t>
      </w:r>
      <w:r>
        <w:rPr>
          <w:rFonts w:ascii="Arial" w:hAnsi="Arial" w:cs="Arial" w:hint="eastAsia"/>
          <w:kern w:val="2"/>
          <w:sz w:val="20"/>
          <w:szCs w:val="20"/>
        </w:rPr>
        <w:t xml:space="preserve"> </w:t>
      </w:r>
      <w:r>
        <w:rPr>
          <w:rFonts w:ascii="Arial" w:eastAsia="Arial" w:hAnsi="Arial" w:cs="Arial"/>
          <w:kern w:val="2"/>
          <w:sz w:val="20"/>
          <w:szCs w:val="20"/>
        </w:rPr>
        <w:t>Twenty participants gave informed consent and signed the informed consent form after fully understanding the facts about the research study.</w:t>
      </w:r>
      <w:bookmarkEnd w:id="1"/>
    </w:p>
    <w:p w14:paraId="4DE7EE83" w14:textId="77777777" w:rsidR="00325A3B" w:rsidRDefault="00000000">
      <w:pPr>
        <w:widowControl w:val="0"/>
        <w:spacing w:before="0" w:beforeAutospacing="0" w:after="0" w:line="480" w:lineRule="auto"/>
        <w:jc w:val="both"/>
        <w:rPr>
          <w:rFonts w:ascii="Arial" w:eastAsia="Arial" w:hAnsi="Arial" w:cs="Arial"/>
          <w:b/>
          <w:bCs/>
          <w:kern w:val="2"/>
          <w:sz w:val="28"/>
          <w:szCs w:val="28"/>
        </w:rPr>
      </w:pPr>
      <w:r>
        <w:rPr>
          <w:rFonts w:ascii="Arial" w:eastAsia="Arial" w:hAnsi="Arial" w:cs="Arial"/>
          <w:b/>
          <w:bCs/>
          <w:kern w:val="2"/>
          <w:sz w:val="28"/>
          <w:szCs w:val="28"/>
        </w:rPr>
        <w:t>Sample Preparation</w:t>
      </w:r>
    </w:p>
    <w:p w14:paraId="55B5FD1E" w14:textId="77777777" w:rsidR="00325A3B" w:rsidRDefault="00000000">
      <w:pPr>
        <w:spacing w:before="0" w:beforeAutospacing="0" w:after="0" w:line="480" w:lineRule="auto"/>
        <w:jc w:val="both"/>
        <w:rPr>
          <w:rFonts w:ascii="Arial" w:eastAsia="Arial" w:hAnsi="Arial" w:cs="Arial"/>
          <w:sz w:val="20"/>
          <w:szCs w:val="20"/>
        </w:rPr>
      </w:pPr>
      <w:r>
        <w:rPr>
          <w:rFonts w:ascii="Arial" w:eastAsia="Arial" w:hAnsi="Arial" w:cs="Arial"/>
          <w:sz w:val="20"/>
          <w:szCs w:val="20"/>
        </w:rPr>
        <w:t xml:space="preserve">Plasma samples stored at -80 °C were transferred to -20°C and kept for 30 minutes, thawed at 4 °C, and placed on ice. Samples were arranged in random order and vortexed for 5s to homogenize them. An aliquot of 40 μL of each sample was transferred to a new Eppendorf tube and 120 μL of ice-cold methanol was added. Samples were shaken for 1 min to mix, stored overnight at -20 °C, and then centrifuged at 4000g for 30 min at 4 °C. </w:t>
      </w:r>
      <w:bookmarkStart w:id="4" w:name="OLE_LINK2"/>
      <w:bookmarkStart w:id="5" w:name="OLE_LINK1"/>
      <w:bookmarkEnd w:id="4"/>
      <w:r>
        <w:rPr>
          <w:rFonts w:ascii="Arial" w:eastAsia="Arial" w:hAnsi="Arial" w:cs="Arial"/>
          <w:sz w:val="20"/>
          <w:szCs w:val="20"/>
        </w:rPr>
        <w:t>25 μL</w:t>
      </w:r>
      <w:bookmarkEnd w:id="5"/>
      <w:r>
        <w:rPr>
          <w:rFonts w:ascii="Arial" w:eastAsia="Arial" w:hAnsi="Arial" w:cs="Arial"/>
          <w:sz w:val="20"/>
          <w:szCs w:val="20"/>
        </w:rPr>
        <w:t xml:space="preserve"> of each sample was transferred to new Eppendorf tubes and 225 μL of 50% methanol was added to each tube. Samples were randomized again and 50</w:t>
      </w:r>
      <w:bookmarkStart w:id="6" w:name="OLE_LINK36"/>
      <w:r>
        <w:rPr>
          <w:rFonts w:ascii="Arial" w:eastAsia="Arial" w:hAnsi="Arial" w:cs="Arial"/>
          <w:sz w:val="20"/>
          <w:szCs w:val="20"/>
        </w:rPr>
        <w:t xml:space="preserve"> μ</w:t>
      </w:r>
      <w:bookmarkEnd w:id="6"/>
      <w:r>
        <w:rPr>
          <w:rFonts w:ascii="Arial" w:eastAsia="Arial" w:hAnsi="Arial" w:cs="Arial"/>
          <w:sz w:val="20"/>
          <w:szCs w:val="20"/>
        </w:rPr>
        <w:t xml:space="preserve">L of all samples were pooled as a quality control (QC </w:t>
      </w:r>
      <w:r>
        <w:rPr>
          <w:rFonts w:ascii="Arial" w:eastAsia="Arial" w:hAnsi="Arial" w:cs="Arial"/>
          <w:sz w:val="20"/>
          <w:szCs w:val="20"/>
        </w:rPr>
        <w:lastRenderedPageBreak/>
        <w:t>sample) for LC-MS system conditioning and quality control.</w:t>
      </w:r>
      <w:r>
        <w:rPr>
          <w:rFonts w:ascii="Arial" w:eastAsia="Arial" w:hAnsi="Arial" w:cs="Arial"/>
          <w:sz w:val="20"/>
          <w:szCs w:val="20"/>
        </w:rPr>
        <w:fldChar w:fldCharType="begin"/>
      </w:r>
      <w:r>
        <w:rPr>
          <w:rFonts w:ascii="Arial" w:eastAsia="Arial" w:hAnsi="Arial" w:cs="Arial"/>
          <w:sz w:val="20"/>
          <w:szCs w:val="20"/>
        </w:rPr>
        <w:instrText xml:space="preserve"> ADDIN EN.CITE &lt;EndNote&gt;&lt;Cite&gt;&lt;Author&gt;Li&lt;/Author&gt;&lt;Year&gt;2019&lt;/Year&gt;&lt;RecNum&gt;39&lt;/RecNum&gt;&lt;DisplayText&gt;&lt;style face="superscript"&gt;1&lt;/style&gt;&lt;/DisplayText&gt;&lt;record&gt;&lt;rec-number&gt;39&lt;/rec-number&gt;&lt;foreign-keys&gt;&lt;key app="EN" db-id="xdxz2rr59a5w2ieetwqp9ver5w5fpzttvvf0" timestamp="1587972346"&gt;39&lt;/key&gt;&lt;/foreign-keys&gt;&lt;ref-type name="Journal Article"&gt;17&lt;/ref-type&gt;&lt;contributors&gt;&lt;authors&gt;&lt;author&gt;Li, S. S.&lt;/author&gt;&lt;author&gt;Liu, Y.&lt;/author&gt;&lt;author&gt;Li, H.&lt;/author&gt;&lt;author&gt;Wang, L. P.&lt;/author&gt;&lt;author&gt;Xue, L. F.&lt;/author&gt;&lt;author&gt;Yin, G. S.&lt;/author&gt;&lt;author&gt;Wu, X. S.&lt;/author&gt;&lt;/authors&gt;&lt;/contributors&gt;&lt;auth-address&gt;Department of Pharmacy, the First Affiliated Hospital of Jinan University, Guangzhou, China. twxs2010@126.com.&lt;/auth-address&gt;&lt;titles&gt;&lt;title&gt;Identification of psoriasis vulgaris biomarkers in human plasma by non-targeted metabolomics based on UPLC-Q-TOF/MS&lt;/title&gt;&lt;secondary-title&gt;European review for medical and pharmacological sciences&lt;/secondary-title&gt;&lt;alt-title&gt;Eur Rev Med Pharmacol Sci&lt;/alt-title&gt;&lt;/titles&gt;&lt;periodical&gt;&lt;full-title&gt;European review for medical and pharmacological sciences&lt;/full-title&gt;&lt;abbr-1&gt;Eur Rev Med Pharmacol Sci&lt;/abbr-1&gt;&lt;/periodical&gt;&lt;alt-periodical&gt;&lt;full-title&gt;European review for medical and pharmacological sciences&lt;/full-title&gt;&lt;abbr-1&gt;Eur Rev Med Pharmacol Sci&lt;/abbr-1&gt;&lt;/alt-periodical&gt;&lt;pages&gt;3940-3950&lt;/pages&gt;&lt;volume&gt;23&lt;/volume&gt;&lt;number&gt;9&lt;/number&gt;&lt;dates&gt;&lt;year&gt;2019&lt;/year&gt;&lt;/dates&gt;&lt;isbn&gt;2284-0729&lt;/isbn&gt;&lt;accession-num&gt;31115022&lt;/accession-num&gt;&lt;urls&gt;&lt;related-urls&gt;&lt;url&gt;https://pubmed.ncbi.nlm.nih.gov/31115022&lt;/url&gt;&lt;/related-urls&gt;&lt;/urls&gt;&lt;electronic-resource-num&gt;10.26355/eurrev_201905_17823&lt;/electronic-resource-num&gt;&lt;remote-database-name&gt;PubMed&lt;/remote-database-name&gt;&lt;language&gt;eng&lt;/language&gt;&lt;/record&gt;&lt;/Cite&gt;&lt;/EndNote&gt;</w:instrText>
      </w:r>
      <w:r>
        <w:rPr>
          <w:rFonts w:ascii="Arial" w:eastAsia="Arial" w:hAnsi="Arial" w:cs="Arial"/>
          <w:sz w:val="20"/>
          <w:szCs w:val="20"/>
        </w:rPr>
        <w:fldChar w:fldCharType="separate"/>
      </w:r>
      <w:r>
        <w:rPr>
          <w:rFonts w:ascii="Arial" w:eastAsia="Arial" w:hAnsi="Arial" w:cs="Arial"/>
          <w:sz w:val="20"/>
          <w:szCs w:val="20"/>
          <w:vertAlign w:val="superscript"/>
        </w:rPr>
        <w:t>1</w:t>
      </w:r>
      <w:r>
        <w:rPr>
          <w:rFonts w:ascii="Arial" w:eastAsia="Arial" w:hAnsi="Arial" w:cs="Arial"/>
          <w:sz w:val="20"/>
          <w:szCs w:val="20"/>
        </w:rPr>
        <w:fldChar w:fldCharType="end"/>
      </w:r>
      <w:r>
        <w:rPr>
          <w:rFonts w:ascii="Arial" w:eastAsia="Arial" w:hAnsi="Arial" w:cs="Arial"/>
          <w:sz w:val="20"/>
          <w:szCs w:val="20"/>
        </w:rPr>
        <w:t xml:space="preserve"> All metabolite samples were stored at -80 °C until analysis. </w:t>
      </w:r>
    </w:p>
    <w:p w14:paraId="41BC4675" w14:textId="77777777" w:rsidR="00325A3B" w:rsidRDefault="00000000">
      <w:pPr>
        <w:widowControl w:val="0"/>
        <w:spacing w:before="0" w:beforeAutospacing="0" w:after="0" w:line="480" w:lineRule="auto"/>
        <w:jc w:val="both"/>
        <w:rPr>
          <w:rFonts w:ascii="Arial" w:eastAsia="Arial" w:hAnsi="Arial" w:cs="Arial"/>
          <w:b/>
          <w:bCs/>
          <w:kern w:val="2"/>
          <w:sz w:val="28"/>
          <w:szCs w:val="28"/>
        </w:rPr>
      </w:pPr>
      <w:bookmarkStart w:id="7" w:name="_Hlk38982065"/>
      <w:bookmarkStart w:id="8" w:name="OLE_LINK40"/>
      <w:r>
        <w:rPr>
          <w:rFonts w:ascii="Arial" w:eastAsia="Arial" w:hAnsi="Arial" w:cs="Arial"/>
          <w:b/>
          <w:bCs/>
          <w:kern w:val="2"/>
          <w:sz w:val="28"/>
          <w:szCs w:val="28"/>
        </w:rPr>
        <w:t>UPLC-Q-TOF/MS</w:t>
      </w:r>
      <w:bookmarkEnd w:id="7"/>
      <w:r>
        <w:rPr>
          <w:rFonts w:ascii="Arial" w:eastAsia="Arial" w:hAnsi="Arial" w:cs="Arial"/>
          <w:b/>
          <w:bCs/>
          <w:kern w:val="2"/>
          <w:sz w:val="28"/>
          <w:szCs w:val="28"/>
        </w:rPr>
        <w:t xml:space="preserve"> analysis</w:t>
      </w:r>
    </w:p>
    <w:bookmarkEnd w:id="8"/>
    <w:p w14:paraId="6EE7D92F" w14:textId="77777777" w:rsidR="00325A3B" w:rsidRDefault="00000000">
      <w:pPr>
        <w:spacing w:before="0" w:beforeAutospacing="0" w:after="0" w:line="480" w:lineRule="auto"/>
        <w:jc w:val="both"/>
        <w:rPr>
          <w:rFonts w:ascii="Arial" w:eastAsia="Arial" w:hAnsi="Arial" w:cs="Arial"/>
          <w:sz w:val="20"/>
          <w:szCs w:val="20"/>
        </w:rPr>
      </w:pPr>
      <w:r>
        <w:rPr>
          <w:rFonts w:ascii="Arial" w:eastAsia="Arial" w:hAnsi="Arial" w:cs="Arial"/>
          <w:sz w:val="20"/>
          <w:szCs w:val="20"/>
        </w:rPr>
        <w:t>UPLC-Q-TOF/MS analysis was performed using a</w:t>
      </w:r>
      <w:bookmarkStart w:id="9" w:name="OLE_LINK46"/>
      <w:r>
        <w:rPr>
          <w:rFonts w:ascii="Arial" w:eastAsia="Arial" w:hAnsi="Arial" w:cs="Arial"/>
          <w:sz w:val="20"/>
          <w:szCs w:val="20"/>
        </w:rPr>
        <w:t xml:space="preserve"> </w:t>
      </w:r>
      <w:bookmarkStart w:id="10" w:name="OLE_LINK42"/>
      <w:r>
        <w:rPr>
          <w:rFonts w:ascii="Arial" w:eastAsia="Arial" w:hAnsi="Arial" w:cs="Arial"/>
          <w:sz w:val="20"/>
          <w:szCs w:val="20"/>
        </w:rPr>
        <w:t>Xevo G2-XS QTOF</w:t>
      </w:r>
      <w:bookmarkEnd w:id="9"/>
      <w:bookmarkEnd w:id="10"/>
      <w:r>
        <w:rPr>
          <w:rFonts w:ascii="Arial" w:eastAsia="Arial" w:hAnsi="Arial" w:cs="Arial"/>
          <w:sz w:val="20"/>
          <w:szCs w:val="20"/>
        </w:rPr>
        <w:t xml:space="preserve"> mass spectrometer (Waters, USA) coupled to a ACQUITY UPLC (Waters, Manchester, USA) system. All samples were separated at 10 μL each on a ACQUITY UPLC HSS T3 column (100×2.1mm, 1.8μm, Waters，UK) at a flow rate of 400 μL/min, with the column temperature maintained at 50</w:t>
      </w:r>
      <w:bookmarkStart w:id="11" w:name="OLE_LINK43"/>
      <w:r>
        <w:rPr>
          <w:rFonts w:ascii="Arial" w:eastAsia="Arial" w:hAnsi="Arial" w:cs="Arial"/>
          <w:sz w:val="20"/>
          <w:szCs w:val="20"/>
        </w:rPr>
        <w:t>℃</w:t>
      </w:r>
      <w:bookmarkEnd w:id="11"/>
      <w:r>
        <w:rPr>
          <w:rFonts w:ascii="Arial" w:eastAsia="Arial" w:hAnsi="Arial" w:cs="Arial"/>
          <w:sz w:val="20"/>
          <w:szCs w:val="20"/>
        </w:rPr>
        <w:t xml:space="preserve">. For each sample, gradient elution was performed with mobile </w:t>
      </w:r>
      <w:bookmarkStart w:id="12" w:name="OLE_LINK41"/>
      <w:r>
        <w:rPr>
          <w:rFonts w:ascii="Arial" w:eastAsia="Arial" w:hAnsi="Arial" w:cs="Arial"/>
          <w:sz w:val="20"/>
          <w:szCs w:val="20"/>
        </w:rPr>
        <w:t>phase</w:t>
      </w:r>
      <w:bookmarkEnd w:id="12"/>
      <w:r>
        <w:rPr>
          <w:rFonts w:ascii="Arial" w:eastAsia="Arial" w:hAnsi="Arial" w:cs="Arial"/>
          <w:sz w:val="20"/>
          <w:szCs w:val="20"/>
        </w:rPr>
        <w:t xml:space="preserve"> A (0.1 % formic acid in water) and phase B (0.1% formic acid in methanol). The optimized linear elution gradient was as follows: 0-2 min, 100% phase A; 2-11 min, 0-100% phase B; 11-13 min, 100% phase B; 13-15 min, 0-100% phase A.</w:t>
      </w:r>
    </w:p>
    <w:p w14:paraId="4F83C261" w14:textId="77777777" w:rsidR="00325A3B" w:rsidRDefault="00000000">
      <w:pPr>
        <w:spacing w:before="0" w:beforeAutospacing="0" w:after="0" w:line="480" w:lineRule="auto"/>
        <w:jc w:val="both"/>
        <w:rPr>
          <w:rFonts w:ascii="Arial" w:eastAsia="Arial" w:hAnsi="Arial" w:cs="Arial"/>
          <w:sz w:val="20"/>
          <w:szCs w:val="20"/>
        </w:rPr>
      </w:pPr>
      <w:r>
        <w:rPr>
          <w:rFonts w:ascii="Arial" w:eastAsia="Arial" w:hAnsi="Arial" w:cs="Arial"/>
          <w:sz w:val="20"/>
          <w:szCs w:val="20"/>
        </w:rPr>
        <w:t xml:space="preserve">Electrospray ionization was used in both negative and positive modes. The ion source temperature was set at 120°C, the </w:t>
      </w:r>
      <w:bookmarkStart w:id="13" w:name="OLE_LINK44"/>
      <w:r>
        <w:rPr>
          <w:rFonts w:ascii="Arial" w:eastAsia="Arial" w:hAnsi="Arial" w:cs="Arial"/>
          <w:sz w:val="20"/>
          <w:szCs w:val="20"/>
        </w:rPr>
        <w:t>desolvation</w:t>
      </w:r>
      <w:bookmarkEnd w:id="13"/>
      <w:r>
        <w:rPr>
          <w:rFonts w:ascii="Arial" w:eastAsia="Arial" w:hAnsi="Arial" w:cs="Arial"/>
          <w:sz w:val="20"/>
          <w:szCs w:val="20"/>
        </w:rPr>
        <w:t xml:space="preserve"> temperature at 500℃, and the desolvation gas flow at 800 L/h. The capillary voltage was 2 kV and the sampling cone </w:t>
      </w:r>
      <w:bookmarkStart w:id="14" w:name="OLE_LINK45"/>
      <w:r>
        <w:rPr>
          <w:rFonts w:ascii="Arial" w:eastAsia="Arial" w:hAnsi="Arial" w:cs="Arial"/>
          <w:sz w:val="20"/>
          <w:szCs w:val="20"/>
        </w:rPr>
        <w:t xml:space="preserve">voltage was set to </w:t>
      </w:r>
      <w:bookmarkEnd w:id="14"/>
      <w:r>
        <w:rPr>
          <w:rFonts w:ascii="Arial" w:eastAsia="Arial" w:hAnsi="Arial" w:cs="Arial"/>
          <w:sz w:val="20"/>
          <w:szCs w:val="20"/>
        </w:rPr>
        <w:t>30 V. Centroid MS</w:t>
      </w:r>
      <w:r>
        <w:rPr>
          <w:rFonts w:ascii="Arial" w:eastAsia="Arial" w:hAnsi="Arial" w:cs="Arial"/>
          <w:sz w:val="20"/>
          <w:szCs w:val="20"/>
          <w:vertAlign w:val="superscript"/>
        </w:rPr>
        <w:t>E</w:t>
      </w:r>
      <w:r>
        <w:rPr>
          <w:rFonts w:ascii="Arial" w:eastAsia="Arial" w:hAnsi="Arial" w:cs="Arial"/>
          <w:sz w:val="20"/>
          <w:szCs w:val="20"/>
        </w:rPr>
        <w:t xml:space="preserve"> data acquisition mode was used, and the full scan mass range was from 50 to 1200 m/z. The </w:t>
      </w:r>
      <w:bookmarkStart w:id="15" w:name="OLE_LINK48"/>
      <w:r>
        <w:rPr>
          <w:rFonts w:ascii="Arial" w:eastAsia="Arial" w:hAnsi="Arial" w:cs="Arial"/>
          <w:sz w:val="20"/>
          <w:szCs w:val="20"/>
        </w:rPr>
        <w:t>MS/MS</w:t>
      </w:r>
      <w:bookmarkEnd w:id="15"/>
      <w:r>
        <w:rPr>
          <w:rFonts w:ascii="Arial" w:eastAsia="Arial" w:hAnsi="Arial" w:cs="Arial"/>
          <w:sz w:val="20"/>
          <w:szCs w:val="20"/>
        </w:rPr>
        <w:t xml:space="preserve"> were performed with </w:t>
      </w:r>
      <w:bookmarkStart w:id="16" w:name="OLE_LINK117"/>
      <w:r>
        <w:rPr>
          <w:rFonts w:ascii="Arial" w:eastAsia="Arial" w:hAnsi="Arial" w:cs="Arial"/>
          <w:sz w:val="20"/>
          <w:szCs w:val="20"/>
        </w:rPr>
        <w:t>fragmentation energies ranging from 20 to 40ev</w:t>
      </w:r>
      <w:bookmarkEnd w:id="16"/>
      <w:r>
        <w:rPr>
          <w:rFonts w:ascii="Arial" w:eastAsia="Arial" w:hAnsi="Arial" w:cs="Arial"/>
          <w:sz w:val="20"/>
          <w:szCs w:val="20"/>
        </w:rPr>
        <w:t xml:space="preserve"> and a scan time of 0.2 s. The LE signal </w:t>
      </w:r>
      <w:bookmarkStart w:id="17" w:name="OLE_LINK47"/>
      <w:r>
        <w:rPr>
          <w:rFonts w:ascii="Arial" w:eastAsia="Arial" w:hAnsi="Arial" w:cs="Arial"/>
          <w:sz w:val="20"/>
          <w:szCs w:val="20"/>
        </w:rPr>
        <w:t>had to be corrected</w:t>
      </w:r>
      <w:bookmarkEnd w:id="17"/>
      <w:r>
        <w:rPr>
          <w:rFonts w:ascii="Arial" w:eastAsia="Arial" w:hAnsi="Arial" w:cs="Arial"/>
          <w:sz w:val="20"/>
          <w:szCs w:val="20"/>
        </w:rPr>
        <w:t xml:space="preserve"> for mass accuracy every 3 seconds throughout the data acquisition process. To monitor the stability of the instrument platform, a </w:t>
      </w:r>
      <w:bookmarkStart w:id="18" w:name="OLE_LINK56"/>
      <w:r>
        <w:rPr>
          <w:rFonts w:ascii="Arial" w:eastAsia="Arial" w:hAnsi="Arial" w:cs="Arial"/>
          <w:sz w:val="20"/>
          <w:szCs w:val="20"/>
        </w:rPr>
        <w:t>pooling quality control (QC) sample</w:t>
      </w:r>
      <w:bookmarkEnd w:id="18"/>
      <w:r>
        <w:rPr>
          <w:rFonts w:ascii="Arial" w:eastAsia="Arial" w:hAnsi="Arial" w:cs="Arial"/>
          <w:sz w:val="20"/>
          <w:szCs w:val="20"/>
        </w:rPr>
        <w:t xml:space="preserve"> was injected every ten samples, and the injection order of all experimental samples was randomized. </w:t>
      </w:r>
    </w:p>
    <w:p w14:paraId="0CC4E912" w14:textId="77777777" w:rsidR="00325A3B" w:rsidRDefault="00000000">
      <w:pPr>
        <w:widowControl w:val="0"/>
        <w:spacing w:before="0" w:beforeAutospacing="0" w:after="0" w:line="480" w:lineRule="auto"/>
        <w:jc w:val="both"/>
        <w:rPr>
          <w:rFonts w:ascii="Arial" w:eastAsia="Arial" w:hAnsi="Arial" w:cs="Arial"/>
          <w:b/>
          <w:bCs/>
          <w:kern w:val="2"/>
          <w:sz w:val="28"/>
          <w:szCs w:val="28"/>
        </w:rPr>
      </w:pPr>
      <w:r>
        <w:rPr>
          <w:rFonts w:ascii="Arial" w:eastAsia="Arial" w:hAnsi="Arial" w:cs="Arial"/>
          <w:b/>
          <w:bCs/>
          <w:kern w:val="2"/>
          <w:sz w:val="28"/>
          <w:szCs w:val="28"/>
        </w:rPr>
        <w:t>Data processing and analysis</w:t>
      </w:r>
    </w:p>
    <w:p w14:paraId="792E053E" w14:textId="77777777" w:rsidR="00325A3B" w:rsidRDefault="00000000">
      <w:pPr>
        <w:spacing w:before="0" w:beforeAutospacing="0" w:after="0" w:line="480" w:lineRule="auto"/>
        <w:jc w:val="both"/>
        <w:rPr>
          <w:rFonts w:ascii="Arial" w:eastAsia="Arial" w:hAnsi="Arial" w:cs="Arial"/>
          <w:sz w:val="20"/>
          <w:szCs w:val="20"/>
        </w:rPr>
      </w:pPr>
      <w:bookmarkStart w:id="19" w:name="OLE_LINK5"/>
      <w:bookmarkEnd w:id="19"/>
      <w:r>
        <w:rPr>
          <w:rFonts w:ascii="Arial" w:eastAsia="Arial" w:hAnsi="Arial" w:cs="Arial"/>
          <w:sz w:val="20"/>
          <w:szCs w:val="20"/>
        </w:rPr>
        <w:lastRenderedPageBreak/>
        <w:t xml:space="preserve">The mass spectrometry (MS) data were automatically analyzed using </w:t>
      </w:r>
      <w:bookmarkStart w:id="20" w:name="OLE_LINK49"/>
      <w:r>
        <w:rPr>
          <w:rFonts w:ascii="Arial" w:eastAsia="Arial" w:hAnsi="Arial" w:cs="Arial"/>
          <w:sz w:val="20"/>
          <w:szCs w:val="20"/>
        </w:rPr>
        <w:t xml:space="preserve">progenesis </w:t>
      </w:r>
      <w:bookmarkEnd w:id="20"/>
      <w:r>
        <w:rPr>
          <w:rFonts w:ascii="Arial" w:eastAsia="Arial" w:hAnsi="Arial" w:cs="Arial"/>
          <w:sz w:val="20"/>
          <w:szCs w:val="20"/>
        </w:rPr>
        <w:t xml:space="preserve">QI v2.2 software (Waters, Nonlinear Dynamics, USA). </w:t>
      </w:r>
      <w:bookmarkStart w:id="21" w:name="OLE_LINK15"/>
      <w:r>
        <w:rPr>
          <w:rFonts w:ascii="Arial" w:eastAsia="Arial" w:hAnsi="Arial" w:cs="Arial"/>
          <w:sz w:val="20"/>
          <w:szCs w:val="20"/>
        </w:rPr>
        <w:t xml:space="preserve">Analysis with </w:t>
      </w:r>
      <w:bookmarkStart w:id="22" w:name="OLE_LINK51"/>
      <w:r>
        <w:rPr>
          <w:rFonts w:ascii="Arial" w:eastAsia="Arial" w:hAnsi="Arial" w:cs="Arial"/>
          <w:sz w:val="20"/>
          <w:szCs w:val="20"/>
        </w:rPr>
        <w:t>Progenesis</w:t>
      </w:r>
      <w:bookmarkEnd w:id="22"/>
      <w:r>
        <w:rPr>
          <w:rFonts w:ascii="Arial" w:eastAsia="Arial" w:hAnsi="Arial" w:cs="Arial"/>
          <w:sz w:val="20"/>
          <w:szCs w:val="20"/>
        </w:rPr>
        <w:t xml:space="preserve"> QI software includes chromatographic peak alignment, experimental scheme setting, peak extraction, peak alignment, normalization, deconvolution and compound identification.</w:t>
      </w:r>
      <w:bookmarkEnd w:id="21"/>
      <w:r>
        <w:rPr>
          <w:rFonts w:ascii="Arial" w:eastAsia="Arial" w:hAnsi="Arial" w:cs="Arial"/>
          <w:sz w:val="20"/>
          <w:szCs w:val="20"/>
        </w:rPr>
        <w:t xml:space="preserve"> The main analytical parameters are as follows: [M-H]</w:t>
      </w:r>
      <w:r>
        <w:rPr>
          <w:rFonts w:ascii="Arial" w:eastAsia="Arial" w:hAnsi="Arial" w:cs="Arial"/>
          <w:sz w:val="20"/>
          <w:szCs w:val="20"/>
          <w:vertAlign w:val="superscript"/>
        </w:rPr>
        <w:t>-</w:t>
      </w:r>
      <w:r>
        <w:rPr>
          <w:rFonts w:ascii="Arial" w:eastAsia="Arial" w:hAnsi="Arial" w:cs="Arial"/>
          <w:sz w:val="20"/>
          <w:szCs w:val="20"/>
        </w:rPr>
        <w:t xml:space="preserve"> and [M-Cl]</w:t>
      </w:r>
      <w:r>
        <w:rPr>
          <w:rFonts w:ascii="Arial" w:eastAsia="Arial" w:hAnsi="Arial" w:cs="Arial"/>
          <w:sz w:val="20"/>
          <w:szCs w:val="20"/>
          <w:vertAlign w:val="superscript"/>
        </w:rPr>
        <w:t>-</w:t>
      </w:r>
      <w:r>
        <w:rPr>
          <w:rFonts w:ascii="Arial" w:eastAsia="Arial" w:hAnsi="Arial" w:cs="Arial"/>
          <w:sz w:val="20"/>
          <w:szCs w:val="20"/>
        </w:rPr>
        <w:t xml:space="preserve"> in negative ion mode and [M + Na]</w:t>
      </w:r>
      <w:r>
        <w:rPr>
          <w:rFonts w:ascii="Arial" w:eastAsia="Arial" w:hAnsi="Arial" w:cs="Arial"/>
          <w:sz w:val="20"/>
          <w:szCs w:val="20"/>
          <w:vertAlign w:val="superscript"/>
        </w:rPr>
        <w:t>+</w:t>
      </w:r>
      <w:r>
        <w:rPr>
          <w:rFonts w:ascii="Arial" w:eastAsia="Arial" w:hAnsi="Arial" w:cs="Arial"/>
          <w:sz w:val="20"/>
          <w:szCs w:val="20"/>
        </w:rPr>
        <w:t>, [M + K]</w:t>
      </w:r>
      <w:r>
        <w:rPr>
          <w:rFonts w:ascii="Arial" w:eastAsia="Arial" w:hAnsi="Arial" w:cs="Arial"/>
          <w:sz w:val="20"/>
          <w:szCs w:val="20"/>
          <w:vertAlign w:val="superscript"/>
        </w:rPr>
        <w:t>+</w:t>
      </w:r>
      <w:r>
        <w:rPr>
          <w:rFonts w:ascii="Arial" w:eastAsia="Arial" w:hAnsi="Arial" w:cs="Arial"/>
          <w:sz w:val="20"/>
          <w:szCs w:val="20"/>
        </w:rPr>
        <w:t>, [M + H]</w:t>
      </w:r>
      <w:r>
        <w:rPr>
          <w:rFonts w:ascii="Arial" w:eastAsia="Arial" w:hAnsi="Arial" w:cs="Arial"/>
          <w:sz w:val="20"/>
          <w:szCs w:val="20"/>
          <w:vertAlign w:val="superscript"/>
        </w:rPr>
        <w:t>+</w:t>
      </w:r>
      <w:r>
        <w:rPr>
          <w:rFonts w:ascii="Arial" w:eastAsia="Arial" w:hAnsi="Arial" w:cs="Arial"/>
          <w:sz w:val="20"/>
          <w:szCs w:val="20"/>
        </w:rPr>
        <w:t>, [M + H +H-H</w:t>
      </w:r>
      <w:r>
        <w:rPr>
          <w:rFonts w:ascii="Arial" w:eastAsia="Arial" w:hAnsi="Arial" w:cs="Arial"/>
          <w:sz w:val="20"/>
          <w:szCs w:val="20"/>
          <w:vertAlign w:val="subscript"/>
        </w:rPr>
        <w:t>2</w:t>
      </w:r>
      <w:r>
        <w:rPr>
          <w:rFonts w:ascii="Arial" w:eastAsia="Arial" w:hAnsi="Arial" w:cs="Arial"/>
          <w:sz w:val="20"/>
          <w:szCs w:val="20"/>
        </w:rPr>
        <w:t>O]</w:t>
      </w:r>
      <w:r>
        <w:rPr>
          <w:rFonts w:ascii="Arial" w:eastAsia="Arial" w:hAnsi="Arial" w:cs="Arial"/>
          <w:sz w:val="20"/>
          <w:szCs w:val="20"/>
          <w:vertAlign w:val="superscript"/>
        </w:rPr>
        <w:t xml:space="preserve">+ </w:t>
      </w:r>
      <w:r>
        <w:rPr>
          <w:rFonts w:ascii="Arial" w:eastAsia="Arial" w:hAnsi="Arial" w:cs="Arial"/>
          <w:sz w:val="20"/>
          <w:szCs w:val="20"/>
        </w:rPr>
        <w:t>and [M+NH4]</w:t>
      </w:r>
      <w:r>
        <w:rPr>
          <w:rFonts w:ascii="Arial" w:eastAsia="Arial" w:hAnsi="Arial" w:cs="Arial"/>
          <w:sz w:val="20"/>
          <w:szCs w:val="20"/>
          <w:vertAlign w:val="superscript"/>
        </w:rPr>
        <w:t>+</w:t>
      </w:r>
      <w:r>
        <w:rPr>
          <w:rFonts w:ascii="Arial" w:eastAsia="Arial" w:hAnsi="Arial" w:cs="Arial"/>
          <w:sz w:val="20"/>
          <w:szCs w:val="20"/>
        </w:rPr>
        <w:t xml:space="preserve"> in positive ion mode were selected as adducts. The Kyoto Encyclopedia of Genes and Genomes (KEGG) database (</w:t>
      </w:r>
      <w:hyperlink r:id="rId6" w:history="1">
        <w:r>
          <w:rPr>
            <w:rFonts w:ascii="Arial" w:eastAsia="Arial" w:hAnsi="Arial" w:cs="Arial"/>
            <w:sz w:val="20"/>
            <w:szCs w:val="20"/>
            <w:u w:val="single"/>
          </w:rPr>
          <w:t>www.genome.jp/kegg/</w:t>
        </w:r>
      </w:hyperlink>
      <w:r>
        <w:rPr>
          <w:rFonts w:ascii="Arial" w:eastAsia="Arial" w:hAnsi="Arial" w:cs="Arial"/>
          <w:sz w:val="20"/>
          <w:szCs w:val="20"/>
        </w:rPr>
        <w:t>) and the Human Metabolome Database (HMDB) (</w:t>
      </w:r>
      <w:hyperlink r:id="rId7" w:history="1">
        <w:r>
          <w:rPr>
            <w:rFonts w:ascii="Arial" w:eastAsia="Arial" w:hAnsi="Arial" w:cs="Arial"/>
            <w:sz w:val="20"/>
            <w:szCs w:val="20"/>
            <w:u w:val="single"/>
          </w:rPr>
          <w:t>http://www.hmdb.ca/</w:t>
        </w:r>
      </w:hyperlink>
      <w:r>
        <w:rPr>
          <w:rFonts w:ascii="Arial" w:eastAsia="Arial" w:hAnsi="Arial" w:cs="Arial"/>
          <w:sz w:val="20"/>
          <w:szCs w:val="20"/>
        </w:rPr>
        <w:t>) were selected for metabolite identification. The mass tolerance was 10 ppm, and default values were used for all other analytical parameters. The metaX software</w:t>
      </w:r>
      <w:r>
        <w:rPr>
          <w:rFonts w:ascii="Arial" w:eastAsia="Arial" w:hAnsi="Arial" w:cs="Arial"/>
          <w:sz w:val="20"/>
          <w:szCs w:val="20"/>
        </w:rPr>
        <w:fldChar w:fldCharType="begin"/>
      </w:r>
      <w:r>
        <w:rPr>
          <w:rFonts w:ascii="Arial" w:eastAsia="Arial" w:hAnsi="Arial" w:cs="Arial"/>
          <w:sz w:val="20"/>
          <w:szCs w:val="20"/>
        </w:rPr>
        <w:instrText xml:space="preserve"> ADDIN EN.CITE &lt;EndNote&gt;&lt;Cite&gt;&lt;Author&gt;Wen&lt;/Author&gt;&lt;Year&gt;2017&lt;/Year&gt;&lt;RecNum&gt;55&lt;/RecNum&gt;&lt;DisplayText&gt;&lt;style face="superscript"&gt;2&lt;/style&gt;&lt;/DisplayText&gt;&lt;record&gt;&lt;rec-number&gt;55&lt;/rec-number&gt;&lt;foreign-keys&gt;&lt;key app="EN" db-id="xdxz2rr59a5w2ieetwqp9ver5w5fpzttvvf0" timestamp="1588041037"&gt;55&lt;/key&gt;&lt;/foreign-keys&gt;&lt;ref-type name="Journal Article"&gt;17&lt;/ref-type&gt;&lt;contributors&gt;&lt;authors&gt;&lt;author&gt;Wen, Bo&lt;/author&gt;&lt;author&gt;Mei, Zhan Long&lt;/author&gt;&lt;author&gt;Zeng, Chun Wei&lt;/author&gt;&lt;author&gt;Liu, Si Qi&lt;/author&gt;&lt;/authors&gt;&lt;/contributors&gt;&lt;auth-address&gt;BGI-Shenzhen, Shenzhen, 518083, China.&amp;#xD;BGI-Shenzhen, Shenzhen, 518083, China. siqiliu@genomics.cn.&lt;/auth-address&gt;&lt;titles&gt;&lt;title&gt;metaX: a flexible and comprehensive software for processing metabolomics data&lt;/title&gt;&lt;secondary-title&gt;BMC bioinformatics&lt;/secondary-title&gt;&lt;alt-title&gt;BMC Bioinformatics&lt;/alt-title&gt;&lt;/titles&gt;&lt;periodical&gt;&lt;full-title&gt;BMC bioinformatics&lt;/full-title&gt;&lt;abbr-1&gt;BMC Bioinformatics&lt;/abbr-1&gt;&lt;/periodical&gt;&lt;alt-periodical&gt;&lt;full-title&gt;BMC bioinformatics&lt;/full-title&gt;&lt;abbr-1&gt;BMC Bioinformatics&lt;/abbr-1&gt;&lt;/alt-periodical&gt;&lt;pages&gt;183&lt;/pages&gt;&lt;volume&gt;18&lt;/volume&gt;&lt;number&gt;1&lt;/number&gt;&lt;dates&gt;&lt;year&gt;2017&lt;/year&gt;&lt;/dates&gt;&lt;isbn&gt;1471-2105&lt;/isbn&gt;&lt;accession-num&gt;28327092&lt;/accession-num&gt;&lt;urls&gt;&lt;related-urls&gt;&lt;url&gt;https://pubmed.ncbi.nlm.nih.gov/28327092&lt;/url&gt;&lt;/related-urls&gt;&lt;/urls&gt;&lt;electronic-resource-num&gt;10.1186/s12859-017-1579-y&lt;/electronic-resource-num&gt;&lt;remote-database-name&gt;PubMed&lt;/remote-database-name&gt;&lt;language&gt;eng&lt;/language&gt;&lt;/record&gt;&lt;/Cite&gt;&lt;/EndNote&gt;</w:instrText>
      </w:r>
      <w:r>
        <w:rPr>
          <w:rFonts w:ascii="Arial" w:eastAsia="Arial" w:hAnsi="Arial" w:cs="Arial"/>
          <w:sz w:val="20"/>
          <w:szCs w:val="20"/>
        </w:rPr>
        <w:fldChar w:fldCharType="separate"/>
      </w:r>
      <w:r>
        <w:rPr>
          <w:rFonts w:ascii="Arial" w:eastAsia="Arial" w:hAnsi="Arial" w:cs="Arial"/>
          <w:sz w:val="20"/>
          <w:szCs w:val="20"/>
          <w:vertAlign w:val="superscript"/>
        </w:rPr>
        <w:t>2</w:t>
      </w:r>
      <w:r>
        <w:rPr>
          <w:rFonts w:ascii="Arial" w:eastAsia="Arial" w:hAnsi="Arial" w:cs="Arial"/>
          <w:sz w:val="20"/>
          <w:szCs w:val="20"/>
        </w:rPr>
        <w:fldChar w:fldCharType="end"/>
      </w:r>
      <w:r>
        <w:rPr>
          <w:rFonts w:ascii="Arial" w:eastAsia="Arial" w:hAnsi="Arial" w:cs="Arial"/>
          <w:sz w:val="20"/>
          <w:szCs w:val="20"/>
        </w:rPr>
        <w:t xml:space="preserve"> was used for pre-processing and statistical analysis of the data from the progenesis QI, including univariate and multivariate statistical analyzes, such as Student’s t-test analysis, partial least-squares discriminant analysis (PLS-DA), and </w:t>
      </w:r>
      <w:bookmarkStart w:id="23" w:name="OLE_LINK53"/>
      <w:r>
        <w:rPr>
          <w:rFonts w:ascii="Arial" w:eastAsia="Arial" w:hAnsi="Arial" w:cs="Arial"/>
          <w:sz w:val="20"/>
          <w:szCs w:val="20"/>
        </w:rPr>
        <w:t>principal component analysis</w:t>
      </w:r>
      <w:bookmarkEnd w:id="23"/>
      <w:r>
        <w:rPr>
          <w:rFonts w:ascii="Arial" w:eastAsia="Arial" w:hAnsi="Arial" w:cs="Arial"/>
          <w:sz w:val="20"/>
          <w:szCs w:val="20"/>
        </w:rPr>
        <w:t xml:space="preserve"> (PCA).</w:t>
      </w:r>
    </w:p>
    <w:p w14:paraId="758C1415" w14:textId="77777777" w:rsidR="00325A3B" w:rsidRDefault="00000000">
      <w:pPr>
        <w:spacing w:before="0" w:beforeAutospacing="0" w:after="0" w:line="480" w:lineRule="auto"/>
        <w:jc w:val="both"/>
        <w:rPr>
          <w:rFonts w:ascii="Arial" w:eastAsia="Arial" w:hAnsi="Arial" w:cs="Arial"/>
          <w:sz w:val="20"/>
          <w:szCs w:val="20"/>
        </w:rPr>
      </w:pPr>
      <w:r>
        <w:rPr>
          <w:rFonts w:ascii="Arial" w:eastAsia="Arial" w:hAnsi="Arial" w:cs="Arial"/>
          <w:sz w:val="20"/>
          <w:szCs w:val="20"/>
        </w:rPr>
        <w:t>In the pretreatment of the data, process the low-quality peaks with more than 50% missing values in the QC samples and more than 80% missing values in the experimental samples were first removed, then the missing values were filled with the k-nearest neighbor method (KNN)</w:t>
      </w:r>
      <w:r>
        <w:rPr>
          <w:rFonts w:ascii="Arial" w:eastAsia="Arial" w:hAnsi="Arial" w:cs="Arial"/>
          <w:sz w:val="20"/>
          <w:szCs w:val="20"/>
        </w:rPr>
        <w:fldChar w:fldCharType="begin"/>
      </w:r>
      <w:r>
        <w:rPr>
          <w:rFonts w:ascii="Arial" w:eastAsia="Arial" w:hAnsi="Arial" w:cs="Arial"/>
          <w:sz w:val="20"/>
          <w:szCs w:val="20"/>
        </w:rPr>
        <w:instrText xml:space="preserve"> ADDIN EN.CITE &lt;EndNote&gt;&lt;Cite&gt;&lt;Author&gt;Troyanskaya&lt;/Author&gt;&lt;Year&gt;2001&lt;/Year&gt;&lt;RecNum&gt;56&lt;/RecNum&gt;&lt;DisplayText&gt;&lt;style face="superscript"&gt;3&lt;/style&gt;&lt;/DisplayText&gt;&lt;record&gt;&lt;rec-number&gt;56&lt;/rec-number&gt;&lt;foreign-keys&gt;&lt;key app="EN" db-id="xdxz2rr59a5w2ieetwqp9ver5w5fpzttvvf0" timestamp="1588041141"&gt;56&lt;/key&gt;&lt;/foreign-keys&gt;&lt;ref-type name="Journal Article"&gt;17&lt;/ref-type&gt;&lt;contributors&gt;&lt;authors&gt;&lt;author&gt;Olga Troyanskaya&lt;/author&gt;&lt;author&gt;Michael Cantor&lt;/author&gt;&lt;author&gt;Gavin Sherlock&lt;/author&gt;&lt;author&gt;Pat Brown&lt;/author&gt;&lt;author&gt;Trevor Hastie&lt;/author&gt;&lt;author&gt;Robert Tibshirani&lt;/author&gt;&lt;author&gt;David Botstein&lt;/author&gt;&lt;author&gt;Russ B. Altman&lt;/author&gt;&lt;/authors&gt;&lt;/contributors&gt;&lt;auth-address&gt;Stanford Medical Informatics Stanford University School of Medicine, Stanford, CA, USA.&lt;/auth-address&gt;&lt;titles&gt;&lt;title&gt;Missing value estimation methods for DNA microarrays&lt;/title&gt;&lt;secondary-title&gt;Bioinformatics&lt;/secondary-title&gt;&lt;alt-title&gt;Bioinformatics&lt;/alt-title&gt;&lt;/titles&gt;&lt;periodical&gt;&lt;full-title&gt;Bioinformatics (Oxford, England)&lt;/full-title&gt;&lt;abbr-1&gt;Bioinformatics&lt;/abbr-1&gt;&lt;/periodical&gt;&lt;alt-periodical&gt;&lt;full-title&gt;Bioinformatics (Oxford, England)&lt;/full-title&gt;&lt;abbr-1&gt;Bioinformatics&lt;/abbr-1&gt;&lt;/alt-periodical&gt;&lt;pages&gt;520-525&lt;/pages&gt;&lt;volume&gt;17&lt;/volume&gt;&lt;number&gt;6&lt;/number&gt;&lt;dates&gt;&lt;year&gt;2001&lt;/year&gt;&lt;/dates&gt;&lt;isbn&gt;1367-4803&lt;/isbn&gt;&lt;accession-num&gt;11395428&lt;/accession-num&gt;&lt;urls&gt;&lt;related-urls&gt;&lt;url&gt;&lt;style face="underline" font="default" size="100%"&gt;https://pubmed.ncbi.nlm.nih.gov/11395428&lt;/style&gt;&lt;/url&gt;&lt;/related-urls&gt;&lt;/urls&gt;&lt;remote-database-name&gt;PubMed&lt;/remote-database-name&gt;&lt;language&gt;eng&lt;/language&gt;&lt;/record&gt;&lt;/Cite&gt;&lt;/EndNote&gt;</w:instrText>
      </w:r>
      <w:r>
        <w:rPr>
          <w:rFonts w:ascii="Arial" w:eastAsia="Arial" w:hAnsi="Arial" w:cs="Arial"/>
          <w:sz w:val="20"/>
          <w:szCs w:val="20"/>
        </w:rPr>
        <w:fldChar w:fldCharType="separate"/>
      </w:r>
      <w:r>
        <w:rPr>
          <w:rFonts w:ascii="Arial" w:eastAsia="Arial" w:hAnsi="Arial" w:cs="Arial"/>
          <w:sz w:val="20"/>
          <w:szCs w:val="20"/>
          <w:vertAlign w:val="superscript"/>
        </w:rPr>
        <w:t>3</w:t>
      </w:r>
      <w:r>
        <w:rPr>
          <w:rFonts w:ascii="Arial" w:eastAsia="Arial" w:hAnsi="Arial" w:cs="Arial"/>
          <w:sz w:val="20"/>
          <w:szCs w:val="20"/>
        </w:rPr>
        <w:fldChar w:fldCharType="end"/>
      </w:r>
      <w:r>
        <w:rPr>
          <w:rFonts w:ascii="Arial" w:eastAsia="Arial" w:hAnsi="Arial" w:cs="Arial"/>
          <w:sz w:val="20"/>
          <w:szCs w:val="20"/>
        </w:rPr>
        <w:t>, and then the data were normalized with probabilistic quotient normalization (PQN) method</w:t>
      </w:r>
      <w:r>
        <w:rPr>
          <w:rFonts w:ascii="Arial" w:eastAsia="Arial" w:hAnsi="Arial" w:cs="Arial"/>
          <w:sz w:val="20"/>
          <w:szCs w:val="20"/>
        </w:rPr>
        <w:fldChar w:fldCharType="begin">
          <w:fldData xml:space="preserve">PEVuZE5vdGU+PENpdGU+PEF1dGhvcj5EaSBHdWlkYTwvQXV0aG9yPjxZZWFyPjIwMTY8L1llYXI+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</w:fldData>
        </w:fldChar>
      </w:r>
      <w:r>
        <w:rPr>
          <w:rFonts w:ascii="Arial" w:eastAsia="Arial" w:hAnsi="Arial" w:cs="Arial"/>
          <w:sz w:val="20"/>
          <w:szCs w:val="20"/>
        </w:rPr>
        <w:instrText xml:space="preserve"> ADDIN EN.CITE </w:instrText>
      </w:r>
      <w:r>
        <w:rPr>
          <w:rFonts w:ascii="Arial" w:eastAsia="Arial" w:hAnsi="Arial" w:cs="Arial"/>
          <w:sz w:val="20"/>
          <w:szCs w:val="20"/>
        </w:rPr>
        <w:fldChar w:fldCharType="begin">
          <w:fldData xml:space="preserve">PEVuZE5vdGU+PENpdGU+PEF1dGhvcj5EaSBHdWlkYTwvQXV0aG9yPjxZZWFyPjIwMTY8L1llYXI+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</w:fldData>
        </w:fldChar>
      </w:r>
      <w:r>
        <w:rPr>
          <w:rFonts w:ascii="Arial" w:eastAsia="Arial" w:hAnsi="Arial" w:cs="Arial"/>
          <w:sz w:val="20"/>
          <w:szCs w:val="20"/>
        </w:rPr>
        <w:instrText xml:space="preserve"> ADDIN EN.CITE.DATA </w:instrText>
      </w:r>
      <w:r>
        <w:rPr>
          <w:rFonts w:ascii="Arial" w:eastAsia="Arial" w:hAnsi="Arial" w:cs="Arial"/>
          <w:sz w:val="20"/>
          <w:szCs w:val="20"/>
        </w:rPr>
      </w:r>
      <w:r>
        <w:rPr>
          <w:rFonts w:ascii="Arial" w:eastAsia="Arial" w:hAnsi="Arial" w:cs="Arial"/>
          <w:sz w:val="20"/>
          <w:szCs w:val="20"/>
        </w:rPr>
        <w:fldChar w:fldCharType="end"/>
      </w:r>
      <w:r>
        <w:rPr>
          <w:rFonts w:ascii="Arial" w:eastAsia="Arial" w:hAnsi="Arial" w:cs="Arial"/>
          <w:sz w:val="20"/>
          <w:szCs w:val="20"/>
        </w:rPr>
      </w:r>
      <w:r>
        <w:rPr>
          <w:rFonts w:ascii="Arial" w:eastAsia="Arial" w:hAnsi="Arial" w:cs="Arial"/>
          <w:sz w:val="20"/>
          <w:szCs w:val="20"/>
        </w:rPr>
        <w:fldChar w:fldCharType="separate"/>
      </w:r>
      <w:r>
        <w:rPr>
          <w:rFonts w:ascii="Arial" w:eastAsia="Arial" w:hAnsi="Arial" w:cs="Arial"/>
          <w:sz w:val="20"/>
          <w:szCs w:val="20"/>
          <w:vertAlign w:val="superscript"/>
        </w:rPr>
        <w:t>4</w:t>
      </w:r>
      <w:r>
        <w:rPr>
          <w:rFonts w:ascii="Arial" w:eastAsia="Arial" w:hAnsi="Arial" w:cs="Arial"/>
          <w:sz w:val="20"/>
          <w:szCs w:val="20"/>
        </w:rPr>
        <w:fldChar w:fldCharType="end"/>
      </w:r>
      <w:r>
        <w:rPr>
          <w:rFonts w:ascii="Arial" w:eastAsia="Arial" w:hAnsi="Arial" w:cs="Arial"/>
          <w:sz w:val="20"/>
          <w:szCs w:val="20"/>
        </w:rPr>
        <w:t xml:space="preserve">. Finally, the ion peaks with relative standard variation (RSD) greater than 30% in the QC samples were removed. </w:t>
      </w:r>
    </w:p>
    <w:p w14:paraId="19EB4D83" w14:textId="77777777" w:rsidR="00325A3B" w:rsidRDefault="00000000">
      <w:pPr>
        <w:spacing w:before="0" w:beforeAutospacing="0" w:after="0" w:line="480" w:lineRule="auto"/>
        <w:jc w:val="both"/>
        <w:rPr>
          <w:rFonts w:ascii="Arial" w:eastAsia="Arial" w:hAnsi="Arial" w:cs="Arial"/>
          <w:sz w:val="20"/>
          <w:szCs w:val="20"/>
        </w:rPr>
      </w:pPr>
      <w:r>
        <w:rPr>
          <w:rFonts w:ascii="Arial" w:eastAsia="Arial" w:hAnsi="Arial" w:cs="Arial"/>
          <w:sz w:val="20"/>
          <w:szCs w:val="20"/>
        </w:rPr>
        <w:t>In this study, screening thresholds for differential metabolites were as follows:  fold-change value (</w:t>
      </w:r>
      <w:bookmarkStart w:id="24" w:name="OLE_LINK25"/>
      <w:r>
        <w:rPr>
          <w:rFonts w:ascii="Arial" w:eastAsia="Arial" w:hAnsi="Arial" w:cs="Arial"/>
          <w:sz w:val="20"/>
          <w:szCs w:val="20"/>
        </w:rPr>
        <w:t>FC) ≥ 1.2 or FC ≤ 1/1.2, P value &lt; 0.05 from t-test, and variable importance in projection (VIP) ≥ 1</w:t>
      </w:r>
      <w:bookmarkEnd w:id="24"/>
      <w:r>
        <w:rPr>
          <w:rFonts w:ascii="Arial" w:eastAsia="Arial" w:hAnsi="Arial" w:cs="Arial"/>
          <w:sz w:val="20"/>
          <w:szCs w:val="20"/>
        </w:rPr>
        <w:t xml:space="preserve"> in PLS-DA model. To filter out potential biomarkers, receiver operating characteristic </w:t>
      </w:r>
      <w:r>
        <w:rPr>
          <w:rFonts w:ascii="Arial" w:eastAsia="Arial" w:hAnsi="Arial" w:cs="Arial"/>
          <w:sz w:val="20"/>
          <w:szCs w:val="20"/>
        </w:rPr>
        <w:lastRenderedPageBreak/>
        <w:t>analyzes (ROC) were performed with all differential metabolites in MetaboAnalyst v5.0 software</w:t>
      </w:r>
      <w:r>
        <w:rPr>
          <w:rFonts w:ascii="Arial" w:eastAsia="Arial" w:hAnsi="Arial" w:cs="Arial"/>
          <w:sz w:val="20"/>
          <w:szCs w:val="20"/>
        </w:rPr>
        <w:fldChar w:fldCharType="begin"/>
      </w:r>
      <w:r>
        <w:rPr>
          <w:rFonts w:ascii="Arial" w:eastAsia="Arial" w:hAnsi="Arial" w:cs="Arial"/>
          <w:sz w:val="20"/>
          <w:szCs w:val="20"/>
        </w:rPr>
        <w:instrText xml:space="preserve"> ADDIN EN.CITE &lt;EndNote&gt;&lt;Cite&gt;&lt;Author&gt;Chong&lt;/Author&gt;&lt;Year&gt;2019&lt;/Year&gt;&lt;RecNum&gt;59&lt;/RecNum&gt;&lt;DisplayText&gt;&lt;style face="superscript"&gt;5&lt;/style&gt;&lt;/DisplayText&gt;&lt;record&gt;&lt;rec-number&gt;59&lt;/rec-number&gt;&lt;foreign-keys&gt;&lt;key app="EN" db-id="xdxz2rr59a5w2ieetwqp9ver5w5fpzttvvf0" timestamp="1588041649"&gt;59&lt;/key&gt;&lt;/foreign-keys&gt;&lt;ref-type name="Journal Article"&gt;17&lt;/ref-type&gt;&lt;contributors&gt;&lt;authors&gt;&lt;author&gt;Chong, Jasmine&lt;/author&gt;&lt;author&gt;Wishart, David S.&lt;/author&gt;&lt;author&gt;Xia, Jianguo&lt;/author&gt;&lt;/authors&gt;&lt;/contributors&gt;&lt;auth-address&gt;Institute of Parasitology, McGill University, Sainte-Anne-de-Bellevue, Quebec, Canada.&amp;#xD;Department of Computing Science, University of Alberta, Edmonton, Alberta, Canada.&lt;/auth-address&gt;&lt;titles&gt;&lt;title&gt;Using MetaboAnalyst 4.0 for comprehensive and integrative metabolomics data analysis&lt;/title&gt;&lt;secondary-title&gt;Current protocols in bioinformatics&lt;/secondary-title&gt;&lt;alt-title&gt;Curr Protoc Bioinformatics&lt;/alt-title&gt;&lt;/titles&gt;&lt;periodical&gt;&lt;full-title&gt;Current protocols in bioinformatics&lt;/full-title&gt;&lt;abbr-1&gt;Curr Protoc Bioinformatics&lt;/abbr-1&gt;&lt;/periodical&gt;&lt;alt-periodical&gt;&lt;full-title&gt;Current protocols in bioinformatics&lt;/full-title&gt;&lt;abbr-1&gt;Curr Protoc Bioinformatics&lt;/abbr-1&gt;&lt;/alt-periodical&gt;&lt;pages&gt;e86&lt;/pages&gt;&lt;volume&gt;68&lt;/volume&gt;&lt;number&gt;1&lt;/number&gt;&lt;dates&gt;&lt;year&gt;2019&lt;/year&gt;&lt;/dates&gt;&lt;isbn&gt;1934-340X&lt;/isbn&gt;&lt;accession-num&gt;31756036&lt;/accession-num&gt;&lt;urls&gt;&lt;related-urls&gt;&lt;url&gt;&lt;style face="underline" font="default" size="100%"&gt;https://pubmed.ncbi.nlm.nih.gov/31756036&lt;/style&gt;&lt;/url&gt;&lt;/related-urls&gt;&lt;/urls&gt;&lt;electronic-resource-num&gt;10.1002/cpbi.86&lt;/electronic-resource-num&gt;&lt;remote-database-name&gt;PubMed&lt;/remote-database-name&gt;&lt;language&gt;eng&lt;/language&gt;&lt;/record&gt;&lt;/Cite&gt;&lt;/EndNote&gt;</w:instrText>
      </w:r>
      <w:r>
        <w:rPr>
          <w:rFonts w:ascii="Arial" w:eastAsia="Arial" w:hAnsi="Arial" w:cs="Arial"/>
          <w:sz w:val="20"/>
          <w:szCs w:val="20"/>
        </w:rPr>
        <w:fldChar w:fldCharType="separate"/>
      </w:r>
      <w:r>
        <w:rPr>
          <w:rFonts w:ascii="Arial" w:eastAsia="Arial" w:hAnsi="Arial" w:cs="Arial"/>
          <w:sz w:val="20"/>
          <w:szCs w:val="20"/>
          <w:vertAlign w:val="superscript"/>
        </w:rPr>
        <w:t>5</w:t>
      </w:r>
      <w:r>
        <w:rPr>
          <w:rFonts w:ascii="Arial" w:eastAsia="Arial" w:hAnsi="Arial" w:cs="Arial"/>
          <w:sz w:val="20"/>
          <w:szCs w:val="20"/>
        </w:rPr>
        <w:fldChar w:fldCharType="end"/>
      </w:r>
      <w:r>
        <w:rPr>
          <w:rFonts w:ascii="Arial" w:eastAsia="Arial" w:hAnsi="Arial" w:cs="Arial"/>
          <w:sz w:val="20"/>
          <w:szCs w:val="20"/>
        </w:rPr>
        <w:t xml:space="preserve"> (</w:t>
      </w:r>
      <w:hyperlink r:id="rId8" w:history="1">
        <w:r>
          <w:rPr>
            <w:rFonts w:ascii="Arial" w:eastAsia="Arial" w:hAnsi="Arial" w:cs="Arial"/>
            <w:sz w:val="20"/>
            <w:szCs w:val="20"/>
            <w:u w:val="single"/>
          </w:rPr>
          <w:t>https://www.metaboanalyst.ca</w:t>
        </w:r>
      </w:hyperlink>
      <w:r>
        <w:rPr>
          <w:rFonts w:ascii="Arial" w:eastAsia="Arial" w:hAnsi="Arial" w:cs="Arial"/>
          <w:sz w:val="20"/>
          <w:szCs w:val="20"/>
        </w:rPr>
        <w:t xml:space="preserve">) for univariate and multivariate analyzes. KEGG pathway enrichment analysis was performed using the hypergeometric test. The heatmap R package was used for cluster analysis. PCA figure and enrichment figure were drawn in R 4.0.3. </w:t>
      </w:r>
    </w:p>
    <w:p w14:paraId="73095302" w14:textId="77777777" w:rsidR="00325A3B" w:rsidRDefault="00000000">
      <w:pPr>
        <w:spacing w:before="0" w:beforeAutospacing="0" w:after="0" w:line="480" w:lineRule="auto"/>
        <w:jc w:val="both"/>
        <w:rPr>
          <w:rFonts w:ascii="Arial" w:eastAsia="Arial" w:hAnsi="Arial" w:cs="Arial"/>
          <w:b/>
          <w:bCs/>
          <w:sz w:val="28"/>
          <w:szCs w:val="28"/>
        </w:rPr>
      </w:pPr>
      <w:r>
        <w:rPr>
          <w:rFonts w:ascii="Arial" w:eastAsia="Arial" w:hAnsi="Arial" w:cs="Arial"/>
          <w:b/>
          <w:bCs/>
          <w:sz w:val="28"/>
          <w:szCs w:val="28"/>
        </w:rPr>
        <w:t>Potential topical therapeutic drug targets discovery</w:t>
      </w:r>
    </w:p>
    <w:p w14:paraId="47C26B50" w14:textId="77777777" w:rsidR="00325A3B" w:rsidRDefault="00000000">
      <w:pPr>
        <w:spacing w:before="0" w:beforeAutospacing="0" w:after="0" w:line="480" w:lineRule="auto"/>
        <w:jc w:val="both"/>
        <w:rPr>
          <w:rFonts w:ascii="Arial" w:eastAsia="Arial" w:hAnsi="Arial" w:cs="Arial"/>
          <w:kern w:val="2"/>
          <w:sz w:val="20"/>
          <w:szCs w:val="20"/>
        </w:rPr>
      </w:pPr>
      <w:r>
        <w:rPr>
          <w:rFonts w:ascii="Arial" w:eastAsia="Arial" w:hAnsi="Arial" w:cs="Arial"/>
          <w:kern w:val="2"/>
          <w:sz w:val="20"/>
          <w:szCs w:val="20"/>
        </w:rPr>
        <w:t>The main biological processes involved in psoriasis include the immune response, the inflammatory response, and cellular proliferation. First, we screened all proteins related to immune response, inflammatory response, and cell growth from the Swiss-Prot database with human. Second, proteins are selected from these proteins that are enriched only in skin tissue</w:t>
      </w:r>
      <w:r>
        <w:rPr>
          <w:rFonts w:ascii="Arial" w:eastAsia="Arial" w:hAnsi="Arial" w:cs="Arial"/>
          <w:kern w:val="2"/>
          <w:sz w:val="20"/>
          <w:szCs w:val="20"/>
        </w:rPr>
        <w:fldChar w:fldCharType="begin">
          <w:fldData xml:space="preserve">PEVuZE5vdGU+PENpdGU+PEF1dGhvcj5LaW08L0F1dGhvcj48WWVhcj4yMDE0PC9ZZWFyPjxSZWNO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</w:fldData>
        </w:fldChar>
      </w:r>
      <w:r>
        <w:rPr>
          <w:rFonts w:ascii="Arial" w:eastAsia="Arial" w:hAnsi="Arial" w:cs="Arial"/>
          <w:kern w:val="2"/>
          <w:sz w:val="20"/>
          <w:szCs w:val="20"/>
        </w:rPr>
        <w:instrText xml:space="preserve"> ADDIN EN.CITE </w:instrText>
      </w:r>
      <w:r>
        <w:rPr>
          <w:rFonts w:ascii="Arial" w:eastAsia="Arial" w:hAnsi="Arial" w:cs="Arial"/>
          <w:kern w:val="2"/>
          <w:sz w:val="20"/>
          <w:szCs w:val="20"/>
        </w:rPr>
        <w:fldChar w:fldCharType="begin">
          <w:fldData xml:space="preserve">PEVuZE5vdGU+PENpdGU+PEF1dGhvcj5LaW08L0F1dGhvcj48WWVhcj4yMDE0PC9ZZWFyPjxSZWNO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</w:fldData>
        </w:fldChar>
      </w:r>
      <w:r>
        <w:rPr>
          <w:rFonts w:ascii="Arial" w:eastAsia="Arial" w:hAnsi="Arial" w:cs="Arial"/>
          <w:kern w:val="2"/>
          <w:sz w:val="20"/>
          <w:szCs w:val="20"/>
        </w:rPr>
        <w:instrText xml:space="preserve"> ADDIN EN.CITE.DATA </w:instrText>
      </w:r>
      <w:r>
        <w:rPr>
          <w:rFonts w:ascii="Arial" w:eastAsia="Arial" w:hAnsi="Arial" w:cs="Arial"/>
          <w:kern w:val="2"/>
          <w:sz w:val="20"/>
          <w:szCs w:val="20"/>
        </w:rPr>
      </w:r>
      <w:r>
        <w:rPr>
          <w:rFonts w:ascii="Arial" w:eastAsia="Arial" w:hAnsi="Arial" w:cs="Arial"/>
          <w:kern w:val="2"/>
          <w:sz w:val="20"/>
          <w:szCs w:val="20"/>
        </w:rPr>
        <w:fldChar w:fldCharType="end"/>
      </w:r>
      <w:r>
        <w:rPr>
          <w:rFonts w:ascii="Arial" w:eastAsia="Arial" w:hAnsi="Arial" w:cs="Arial"/>
          <w:kern w:val="2"/>
          <w:sz w:val="20"/>
          <w:szCs w:val="20"/>
        </w:rPr>
      </w:r>
      <w:r>
        <w:rPr>
          <w:rFonts w:ascii="Arial" w:eastAsia="Arial" w:hAnsi="Arial" w:cs="Arial"/>
          <w:kern w:val="2"/>
          <w:sz w:val="20"/>
          <w:szCs w:val="20"/>
        </w:rPr>
        <w:fldChar w:fldCharType="separate"/>
      </w:r>
      <w:r>
        <w:rPr>
          <w:rFonts w:ascii="Arial" w:eastAsia="Arial" w:hAnsi="Arial" w:cs="Arial"/>
          <w:kern w:val="2"/>
          <w:sz w:val="20"/>
          <w:szCs w:val="20"/>
          <w:vertAlign w:val="superscript"/>
        </w:rPr>
        <w:t>6</w:t>
      </w:r>
      <w:r>
        <w:rPr>
          <w:rFonts w:ascii="Arial" w:eastAsia="Arial" w:hAnsi="Arial" w:cs="Arial"/>
          <w:kern w:val="2"/>
          <w:sz w:val="20"/>
          <w:szCs w:val="20"/>
        </w:rPr>
        <w:fldChar w:fldCharType="end"/>
      </w:r>
      <w:r>
        <w:rPr>
          <w:rFonts w:ascii="Arial" w:eastAsia="Arial" w:hAnsi="Arial" w:cs="Arial"/>
          <w:kern w:val="2"/>
          <w:sz w:val="20"/>
          <w:szCs w:val="20"/>
        </w:rPr>
        <w:t>. Finally, network interaction analysis of these proteins with differential metabolites was performed using STITCH v5.0 software.</w:t>
      </w:r>
      <w:r>
        <w:rPr>
          <w:rFonts w:ascii="Arial" w:eastAsia="Arial" w:hAnsi="Arial" w:cs="Arial"/>
          <w:kern w:val="2"/>
          <w:sz w:val="20"/>
          <w:szCs w:val="20"/>
        </w:rPr>
        <w:fldChar w:fldCharType="begin">
          <w:fldData xml:space="preserve">PEVuZE5vdGU+PENpdGU+PEF1dGhvcj5TemtsYXJjenlrPC9BdXRob3I+PFllYXI+MjAxNjwvWWVh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</w:fldData>
        </w:fldChar>
      </w:r>
      <w:r>
        <w:rPr>
          <w:rFonts w:ascii="Arial" w:eastAsia="Arial" w:hAnsi="Arial" w:cs="Arial"/>
          <w:kern w:val="2"/>
          <w:sz w:val="20"/>
          <w:szCs w:val="20"/>
        </w:rPr>
        <w:instrText xml:space="preserve"> ADDIN EN.CITE </w:instrText>
      </w:r>
      <w:r>
        <w:rPr>
          <w:rFonts w:ascii="Arial" w:eastAsia="Arial" w:hAnsi="Arial" w:cs="Arial"/>
          <w:kern w:val="2"/>
          <w:sz w:val="20"/>
          <w:szCs w:val="20"/>
        </w:rPr>
        <w:fldChar w:fldCharType="begin">
          <w:fldData xml:space="preserve">PEVuZE5vdGU+PENpdGU+PEF1dGhvcj5TemtsYXJjenlrPC9BdXRob3I+PFllYXI+MjAxNjwvWWVh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</w:fldData>
        </w:fldChar>
      </w:r>
      <w:r>
        <w:rPr>
          <w:rFonts w:ascii="Arial" w:eastAsia="Arial" w:hAnsi="Arial" w:cs="Arial"/>
          <w:kern w:val="2"/>
          <w:sz w:val="20"/>
          <w:szCs w:val="20"/>
        </w:rPr>
        <w:instrText xml:space="preserve"> ADDIN EN.CITE.DATA </w:instrText>
      </w:r>
      <w:r>
        <w:rPr>
          <w:rFonts w:ascii="Arial" w:eastAsia="Arial" w:hAnsi="Arial" w:cs="Arial"/>
          <w:kern w:val="2"/>
          <w:sz w:val="20"/>
          <w:szCs w:val="20"/>
        </w:rPr>
      </w:r>
      <w:r>
        <w:rPr>
          <w:rFonts w:ascii="Arial" w:eastAsia="Arial" w:hAnsi="Arial" w:cs="Arial"/>
          <w:kern w:val="2"/>
          <w:sz w:val="20"/>
          <w:szCs w:val="20"/>
        </w:rPr>
        <w:fldChar w:fldCharType="end"/>
      </w:r>
      <w:r>
        <w:rPr>
          <w:rFonts w:ascii="Arial" w:eastAsia="Arial" w:hAnsi="Arial" w:cs="Arial"/>
          <w:kern w:val="2"/>
          <w:sz w:val="20"/>
          <w:szCs w:val="20"/>
        </w:rPr>
      </w:r>
      <w:r>
        <w:rPr>
          <w:rFonts w:ascii="Arial" w:eastAsia="Arial" w:hAnsi="Arial" w:cs="Arial"/>
          <w:kern w:val="2"/>
          <w:sz w:val="20"/>
          <w:szCs w:val="20"/>
        </w:rPr>
        <w:fldChar w:fldCharType="separate"/>
      </w:r>
      <w:r>
        <w:rPr>
          <w:rFonts w:ascii="Arial" w:eastAsia="Arial" w:hAnsi="Arial" w:cs="Arial"/>
          <w:kern w:val="2"/>
          <w:sz w:val="20"/>
          <w:szCs w:val="20"/>
          <w:vertAlign w:val="superscript"/>
        </w:rPr>
        <w:t>7</w:t>
      </w:r>
      <w:r>
        <w:rPr>
          <w:rFonts w:ascii="Arial" w:eastAsia="Arial" w:hAnsi="Arial" w:cs="Arial"/>
          <w:kern w:val="2"/>
          <w:sz w:val="20"/>
          <w:szCs w:val="20"/>
        </w:rPr>
        <w:fldChar w:fldCharType="end"/>
      </w:r>
    </w:p>
    <w:p w14:paraId="089BB202" w14:textId="77777777" w:rsidR="00325A3B" w:rsidRDefault="00325A3B">
      <w:pPr>
        <w:spacing w:before="0" w:beforeAutospacing="0" w:after="0" w:line="240" w:lineRule="auto"/>
        <w:rPr>
          <w:rFonts w:ascii="Arial" w:eastAsiaTheme="minorEastAsia" w:hAnsi="Arial" w:cs="Arial"/>
          <w:kern w:val="2"/>
          <w:sz w:val="20"/>
          <w:szCs w:val="20"/>
        </w:rPr>
      </w:pPr>
    </w:p>
    <w:p w14:paraId="5808B750" w14:textId="77777777" w:rsidR="00325A3B" w:rsidRDefault="00000000">
      <w:pPr>
        <w:spacing w:before="0" w:beforeAutospacing="0" w:after="0" w:line="480" w:lineRule="auto"/>
        <w:rPr>
          <w:rFonts w:ascii="Arial" w:eastAsia="Arial" w:hAnsi="Arial" w:cs="Arial"/>
          <w:b/>
          <w:bCs/>
          <w:sz w:val="32"/>
          <w:szCs w:val="32"/>
        </w:rPr>
      </w:pPr>
      <w:r>
        <w:rPr>
          <w:rFonts w:ascii="Arial" w:eastAsia="Arial" w:hAnsi="Arial" w:cs="Arial"/>
          <w:b/>
          <w:bCs/>
          <w:sz w:val="32"/>
          <w:szCs w:val="32"/>
        </w:rPr>
        <w:t>References</w:t>
      </w:r>
    </w:p>
    <w:p w14:paraId="616D67EE" w14:textId="77777777" w:rsidR="00325A3B" w:rsidRDefault="00000000">
      <w:pPr>
        <w:pStyle w:val="EndNoteBibliography"/>
        <w:spacing w:before="0" w:beforeAutospacing="0" w:after="0" w:line="480" w:lineRule="auto"/>
        <w:rPr>
          <w:rFonts w:ascii="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 xml:space="preserve"> ADDIN EN.REFLIST </w:instrText>
      </w:r>
      <w:r>
        <w:rPr>
          <w:rFonts w:ascii="Arial" w:eastAsia="Arial" w:hAnsi="Arial" w:cs="Arial"/>
          <w:sz w:val="20"/>
          <w:szCs w:val="20"/>
        </w:rPr>
        <w:fldChar w:fldCharType="separate"/>
      </w:r>
      <w:r>
        <w:t>1.</w:t>
      </w:r>
      <w:r>
        <w:tab/>
      </w:r>
      <w:r>
        <w:rPr>
          <w:rFonts w:ascii="Arial" w:hAnsi="Arial" w:cs="Arial"/>
          <w:sz w:val="20"/>
          <w:szCs w:val="20"/>
        </w:rPr>
        <w:t xml:space="preserve">Li SS, Liu Y, Li H, et al. Identification of psoriasis vulgaris biomarkers in human plasma by non-targeted metabolomics based on UPLC-Q-TOF/MS. </w:t>
      </w:r>
      <w:r>
        <w:rPr>
          <w:rFonts w:ascii="Arial" w:hAnsi="Arial" w:cs="Arial"/>
          <w:i/>
          <w:sz w:val="20"/>
          <w:szCs w:val="20"/>
        </w:rPr>
        <w:t xml:space="preserve">Eur Rev Med Pharmacol Sci. </w:t>
      </w:r>
      <w:r>
        <w:rPr>
          <w:rFonts w:ascii="Arial" w:hAnsi="Arial" w:cs="Arial"/>
          <w:sz w:val="20"/>
          <w:szCs w:val="20"/>
        </w:rPr>
        <w:t>2019;23(9):3940-3950.</w:t>
      </w:r>
    </w:p>
    <w:p w14:paraId="3D38F692" w14:textId="77777777" w:rsidR="00325A3B" w:rsidRDefault="00000000">
      <w:pPr>
        <w:pStyle w:val="EndNoteBibliography"/>
        <w:spacing w:before="0" w:beforeAutospacing="0" w:after="0" w:line="480" w:lineRule="auto"/>
        <w:rPr>
          <w:rFonts w:ascii="Arial" w:hAnsi="Arial" w:cs="Arial"/>
          <w:sz w:val="20"/>
          <w:szCs w:val="20"/>
        </w:rPr>
      </w:pPr>
      <w:r>
        <w:rPr>
          <w:rFonts w:ascii="Arial" w:hAnsi="Arial" w:cs="Arial"/>
          <w:sz w:val="20"/>
          <w:szCs w:val="20"/>
        </w:rPr>
        <w:t>2.</w:t>
      </w:r>
      <w:r>
        <w:rPr>
          <w:rFonts w:ascii="Arial" w:hAnsi="Arial" w:cs="Arial"/>
          <w:sz w:val="20"/>
          <w:szCs w:val="20"/>
        </w:rPr>
        <w:tab/>
        <w:t xml:space="preserve">Wen B, Mei ZL, Zeng CW, Liu SQ. metaX: a flexible and comprehensive software for processing metabolomics data. </w:t>
      </w:r>
      <w:r>
        <w:rPr>
          <w:rFonts w:ascii="Arial" w:hAnsi="Arial" w:cs="Arial"/>
          <w:i/>
          <w:sz w:val="20"/>
          <w:szCs w:val="20"/>
        </w:rPr>
        <w:t xml:space="preserve">BMC Bioinformatics. </w:t>
      </w:r>
      <w:r>
        <w:rPr>
          <w:rFonts w:ascii="Arial" w:hAnsi="Arial" w:cs="Arial"/>
          <w:sz w:val="20"/>
          <w:szCs w:val="20"/>
        </w:rPr>
        <w:t>2017;18(1):183.</w:t>
      </w:r>
    </w:p>
    <w:p w14:paraId="4D580219" w14:textId="77777777" w:rsidR="00325A3B" w:rsidRDefault="00000000">
      <w:pPr>
        <w:pStyle w:val="EndNoteBibliography"/>
        <w:spacing w:before="0" w:beforeAutospacing="0" w:after="0" w:line="480" w:lineRule="auto"/>
        <w:rPr>
          <w:rFonts w:ascii="Arial" w:hAnsi="Arial" w:cs="Arial"/>
          <w:sz w:val="20"/>
          <w:szCs w:val="20"/>
        </w:rPr>
      </w:pPr>
      <w:r>
        <w:rPr>
          <w:rFonts w:ascii="Arial" w:hAnsi="Arial" w:cs="Arial"/>
          <w:sz w:val="20"/>
          <w:szCs w:val="20"/>
        </w:rPr>
        <w:t>3.</w:t>
      </w:r>
      <w:r>
        <w:rPr>
          <w:rFonts w:ascii="Arial" w:hAnsi="Arial" w:cs="Arial"/>
          <w:sz w:val="20"/>
          <w:szCs w:val="20"/>
        </w:rPr>
        <w:tab/>
        <w:t xml:space="preserve">Troyanskaya O, Cantor M, Sherlock G, et al. Missing value estimation methods for DNA microarrays. </w:t>
      </w:r>
      <w:r>
        <w:rPr>
          <w:rFonts w:ascii="Arial" w:hAnsi="Arial" w:cs="Arial"/>
          <w:i/>
          <w:sz w:val="20"/>
          <w:szCs w:val="20"/>
        </w:rPr>
        <w:t xml:space="preserve">Bioinformatics. </w:t>
      </w:r>
      <w:r>
        <w:rPr>
          <w:rFonts w:ascii="Arial" w:hAnsi="Arial" w:cs="Arial"/>
          <w:sz w:val="20"/>
          <w:szCs w:val="20"/>
        </w:rPr>
        <w:t>2001;17(6):520-525.</w:t>
      </w:r>
    </w:p>
    <w:p w14:paraId="445568BA" w14:textId="77777777" w:rsidR="00325A3B" w:rsidRDefault="00000000">
      <w:pPr>
        <w:pStyle w:val="EndNoteBibliography"/>
        <w:spacing w:before="0" w:beforeAutospacing="0" w:after="0" w:line="480" w:lineRule="auto"/>
        <w:rPr>
          <w:rFonts w:ascii="Arial" w:hAnsi="Arial" w:cs="Arial"/>
          <w:sz w:val="20"/>
          <w:szCs w:val="20"/>
        </w:rPr>
      </w:pPr>
      <w:r>
        <w:rPr>
          <w:rFonts w:ascii="Arial" w:hAnsi="Arial" w:cs="Arial"/>
          <w:sz w:val="20"/>
          <w:szCs w:val="20"/>
        </w:rPr>
        <w:t>4.</w:t>
      </w:r>
      <w:r>
        <w:rPr>
          <w:rFonts w:ascii="Arial" w:hAnsi="Arial" w:cs="Arial"/>
          <w:sz w:val="20"/>
          <w:szCs w:val="20"/>
        </w:rPr>
        <w:tab/>
        <w:t xml:space="preserve">Di Guida R, Engel J, Allwood JW, et al. Non-targeted UHPLC-MS metabolomic data processing methods: a comparative investigation of normalisation, missing value imputation, transformation and scaling. </w:t>
      </w:r>
      <w:r>
        <w:rPr>
          <w:rFonts w:ascii="Arial" w:hAnsi="Arial" w:cs="Arial"/>
          <w:i/>
          <w:sz w:val="20"/>
          <w:szCs w:val="20"/>
        </w:rPr>
        <w:t xml:space="preserve">Metabolomics. </w:t>
      </w:r>
      <w:r>
        <w:rPr>
          <w:rFonts w:ascii="Arial" w:hAnsi="Arial" w:cs="Arial"/>
          <w:sz w:val="20"/>
          <w:szCs w:val="20"/>
        </w:rPr>
        <w:t>2016;12:93.</w:t>
      </w:r>
    </w:p>
    <w:p w14:paraId="1B9F73C6" w14:textId="77777777" w:rsidR="00325A3B" w:rsidRDefault="00000000">
      <w:pPr>
        <w:pStyle w:val="EndNoteBibliography"/>
        <w:spacing w:before="0" w:beforeAutospacing="0" w:after="0" w:line="480" w:lineRule="auto"/>
        <w:rPr>
          <w:rFonts w:ascii="Arial" w:hAnsi="Arial" w:cs="Arial"/>
          <w:sz w:val="20"/>
          <w:szCs w:val="20"/>
        </w:rPr>
      </w:pPr>
      <w:r>
        <w:rPr>
          <w:rFonts w:ascii="Arial" w:hAnsi="Arial" w:cs="Arial"/>
          <w:sz w:val="20"/>
          <w:szCs w:val="20"/>
        </w:rPr>
        <w:lastRenderedPageBreak/>
        <w:t>5.</w:t>
      </w:r>
      <w:r>
        <w:rPr>
          <w:rFonts w:ascii="Arial" w:hAnsi="Arial" w:cs="Arial"/>
          <w:sz w:val="20"/>
          <w:szCs w:val="20"/>
        </w:rPr>
        <w:tab/>
        <w:t xml:space="preserve">Chong J, Wishart DS, Xia J. Using MetaboAnalyst 4.0 for comprehensive and integrative metabolomics data analysis. </w:t>
      </w:r>
      <w:r>
        <w:rPr>
          <w:rFonts w:ascii="Arial" w:hAnsi="Arial" w:cs="Arial"/>
          <w:i/>
          <w:sz w:val="20"/>
          <w:szCs w:val="20"/>
        </w:rPr>
        <w:t xml:space="preserve">Curr Protoc Bioinformatics. </w:t>
      </w:r>
      <w:r>
        <w:rPr>
          <w:rFonts w:ascii="Arial" w:hAnsi="Arial" w:cs="Arial"/>
          <w:sz w:val="20"/>
          <w:szCs w:val="20"/>
        </w:rPr>
        <w:t>2019;68(1):e86.</w:t>
      </w:r>
    </w:p>
    <w:p w14:paraId="4F29425A" w14:textId="77777777" w:rsidR="00325A3B" w:rsidRDefault="00000000">
      <w:pPr>
        <w:pStyle w:val="EndNoteBibliography"/>
        <w:spacing w:before="0" w:beforeAutospacing="0" w:after="0" w:line="480" w:lineRule="auto"/>
        <w:rPr>
          <w:rFonts w:ascii="Arial" w:hAnsi="Arial" w:cs="Arial"/>
          <w:sz w:val="20"/>
          <w:szCs w:val="20"/>
        </w:rPr>
      </w:pPr>
      <w:r>
        <w:rPr>
          <w:rFonts w:ascii="Arial" w:hAnsi="Arial" w:cs="Arial"/>
          <w:sz w:val="20"/>
          <w:szCs w:val="20"/>
        </w:rPr>
        <w:t>6.</w:t>
      </w:r>
      <w:r>
        <w:rPr>
          <w:rFonts w:ascii="Arial" w:hAnsi="Arial" w:cs="Arial"/>
          <w:sz w:val="20"/>
          <w:szCs w:val="20"/>
        </w:rPr>
        <w:tab/>
        <w:t xml:space="preserve">Kim M-S, Pinto SM, Getnet D, et al. A draft map of the human proteome. </w:t>
      </w:r>
      <w:r>
        <w:rPr>
          <w:rFonts w:ascii="Arial" w:hAnsi="Arial" w:cs="Arial"/>
          <w:i/>
          <w:sz w:val="20"/>
          <w:szCs w:val="20"/>
        </w:rPr>
        <w:t xml:space="preserve">Nature. </w:t>
      </w:r>
      <w:r>
        <w:rPr>
          <w:rFonts w:ascii="Arial" w:hAnsi="Arial" w:cs="Arial"/>
          <w:sz w:val="20"/>
          <w:szCs w:val="20"/>
        </w:rPr>
        <w:t>2014;509(7502):575-581.</w:t>
      </w:r>
    </w:p>
    <w:p w14:paraId="7CE36536" w14:textId="77777777" w:rsidR="00325A3B" w:rsidRDefault="00000000">
      <w:pPr>
        <w:pStyle w:val="EndNoteBibliography"/>
        <w:spacing w:before="0" w:beforeAutospacing="0" w:line="480" w:lineRule="auto"/>
      </w:pPr>
      <w:r>
        <w:rPr>
          <w:rFonts w:ascii="Arial" w:hAnsi="Arial" w:cs="Arial"/>
          <w:sz w:val="20"/>
          <w:szCs w:val="20"/>
        </w:rPr>
        <w:t>7.</w:t>
      </w:r>
      <w:r>
        <w:rPr>
          <w:rFonts w:ascii="Arial" w:hAnsi="Arial" w:cs="Arial"/>
          <w:sz w:val="20"/>
          <w:szCs w:val="20"/>
        </w:rPr>
        <w:tab/>
        <w:t xml:space="preserve">Szklarczyk D, Santos A, von Mering C, Jensen LJ, Bork P, Kuhn M. STITCH 5: augmenting protein-chemical interaction networks with tissue and affinity data. </w:t>
      </w:r>
      <w:r>
        <w:rPr>
          <w:rFonts w:ascii="Arial" w:hAnsi="Arial" w:cs="Arial"/>
          <w:i/>
          <w:sz w:val="20"/>
          <w:szCs w:val="20"/>
        </w:rPr>
        <w:t xml:space="preserve">Nucleic Acids Res. </w:t>
      </w:r>
      <w:r>
        <w:rPr>
          <w:rFonts w:ascii="Arial" w:hAnsi="Arial" w:cs="Arial"/>
          <w:sz w:val="20"/>
          <w:szCs w:val="20"/>
        </w:rPr>
        <w:t>2016;44(D1):D380-D384.</w:t>
      </w:r>
    </w:p>
    <w:p w14:paraId="3AAEC5C0" w14:textId="77777777" w:rsidR="00325A3B" w:rsidRDefault="00000000">
      <w:pPr>
        <w:spacing w:before="0" w:beforeAutospacing="0" w:after="0" w:line="480" w:lineRule="auto"/>
        <w:rPr>
          <w:rFonts w:ascii="Arial" w:hAnsi="Arial" w:cs="Arial"/>
          <w:sz w:val="20"/>
          <w:szCs w:val="20"/>
        </w:rPr>
      </w:pPr>
      <w:r>
        <w:rPr>
          <w:rFonts w:ascii="Arial" w:eastAsia="Arial" w:hAnsi="Arial" w:cs="Arial"/>
          <w:sz w:val="20"/>
          <w:szCs w:val="20"/>
        </w:rPr>
        <w:fldChar w:fldCharType="end"/>
      </w:r>
      <w:r>
        <w:rPr>
          <w:rFonts w:ascii="Arial" w:hAnsi="Arial" w:cs="Arial" w:hint="eastAsia"/>
          <w:noProof/>
          <w:sz w:val="20"/>
          <w:szCs w:val="20"/>
        </w:rPr>
        <w:drawing>
          <wp:inline distT="0" distB="0" distL="114300" distR="114300" wp14:anchorId="294F5B4C" wp14:editId="646E3CF0">
            <wp:extent cx="5273675" cy="2633980"/>
            <wp:effectExtent l="0" t="0" r="14605" b="2540"/>
            <wp:docPr id="2" name="图片 2" descr="RO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OC1"/>
                    <pic:cNvPicPr>
                      <a:picLocks noChangeAspect="1"/>
                    </pic:cNvPicPr>
                  </pic:nvPicPr>
                  <pic:blipFill>
                    <a:blip r:embed="rId9"/>
                    <a:stretch>
                      <a:fillRect/>
                    </a:stretch>
                  </pic:blipFill>
                  <pic:spPr>
                    <a:xfrm>
                      <a:off x="0" y="0"/>
                      <a:ext cx="5273675" cy="2633980"/>
                    </a:xfrm>
                    <a:prstGeom prst="rect">
                      <a:avLst/>
                    </a:prstGeom>
                  </pic:spPr>
                </pic:pic>
              </a:graphicData>
            </a:graphic>
          </wp:inline>
        </w:drawing>
      </w:r>
    </w:p>
    <w:p w14:paraId="5DE51769" w14:textId="77777777" w:rsidR="00325A3B" w:rsidRDefault="00000000">
      <w:pPr>
        <w:spacing w:before="0" w:beforeAutospacing="0" w:after="0" w:line="480" w:lineRule="auto"/>
        <w:rPr>
          <w:rFonts w:ascii="Arial" w:hAnsi="Arial" w:cs="Arial"/>
          <w:sz w:val="20"/>
          <w:szCs w:val="20"/>
        </w:rPr>
      </w:pPr>
      <w:r>
        <w:rPr>
          <w:rFonts w:ascii="Arial" w:hAnsi="Arial" w:cs="Arial" w:hint="eastAsia"/>
          <w:noProof/>
          <w:sz w:val="20"/>
          <w:szCs w:val="20"/>
        </w:rPr>
        <w:drawing>
          <wp:inline distT="0" distB="0" distL="114300" distR="114300" wp14:anchorId="7424A437" wp14:editId="3CBCDACD">
            <wp:extent cx="5273040" cy="2639060"/>
            <wp:effectExtent l="0" t="0" r="0" b="12700"/>
            <wp:docPr id="3" name="图片 3" descr="RO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ROC2"/>
                    <pic:cNvPicPr>
                      <a:picLocks noChangeAspect="1"/>
                    </pic:cNvPicPr>
                  </pic:nvPicPr>
                  <pic:blipFill>
                    <a:blip r:embed="rId10"/>
                    <a:stretch>
                      <a:fillRect/>
                    </a:stretch>
                  </pic:blipFill>
                  <pic:spPr>
                    <a:xfrm>
                      <a:off x="0" y="0"/>
                      <a:ext cx="5273040" cy="2639060"/>
                    </a:xfrm>
                    <a:prstGeom prst="rect">
                      <a:avLst/>
                    </a:prstGeom>
                  </pic:spPr>
                </pic:pic>
              </a:graphicData>
            </a:graphic>
          </wp:inline>
        </w:drawing>
      </w:r>
    </w:p>
    <w:p w14:paraId="38C00DFB" w14:textId="77777777" w:rsidR="00325A3B" w:rsidRDefault="00000000">
      <w:pPr>
        <w:spacing w:before="0" w:beforeAutospacing="0" w:after="0" w:line="480" w:lineRule="auto"/>
        <w:rPr>
          <w:rFonts w:ascii="Arial" w:hAnsi="Arial" w:cs="Arial"/>
          <w:sz w:val="20"/>
          <w:szCs w:val="20"/>
        </w:rPr>
      </w:pPr>
      <w:r>
        <w:rPr>
          <w:rFonts w:ascii="Arial" w:hAnsi="Arial" w:cs="Arial" w:hint="eastAsia"/>
          <w:noProof/>
          <w:sz w:val="20"/>
          <w:szCs w:val="20"/>
        </w:rPr>
        <w:lastRenderedPageBreak/>
        <w:drawing>
          <wp:inline distT="0" distB="0" distL="114300" distR="114300" wp14:anchorId="3422B806" wp14:editId="32FA97F2">
            <wp:extent cx="5269230" cy="2646045"/>
            <wp:effectExtent l="0" t="0" r="3810" b="5715"/>
            <wp:docPr id="4" name="图片 4" descr="RO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OC3"/>
                    <pic:cNvPicPr>
                      <a:picLocks noChangeAspect="1"/>
                    </pic:cNvPicPr>
                  </pic:nvPicPr>
                  <pic:blipFill>
                    <a:blip r:embed="rId11"/>
                    <a:stretch>
                      <a:fillRect/>
                    </a:stretch>
                  </pic:blipFill>
                  <pic:spPr>
                    <a:xfrm>
                      <a:off x="0" y="0"/>
                      <a:ext cx="5269230" cy="2646045"/>
                    </a:xfrm>
                    <a:prstGeom prst="rect">
                      <a:avLst/>
                    </a:prstGeom>
                  </pic:spPr>
                </pic:pic>
              </a:graphicData>
            </a:graphic>
          </wp:inline>
        </w:drawing>
      </w:r>
    </w:p>
    <w:p w14:paraId="3AE5332C" w14:textId="77777777" w:rsidR="00325A3B" w:rsidRDefault="00000000">
      <w:pPr>
        <w:spacing w:before="0" w:beforeAutospacing="0" w:after="0" w:line="480" w:lineRule="auto"/>
        <w:rPr>
          <w:rFonts w:ascii="Arial" w:hAnsi="Arial" w:cs="Arial"/>
          <w:sz w:val="20"/>
          <w:szCs w:val="20"/>
        </w:rPr>
      </w:pPr>
      <w:r>
        <w:rPr>
          <w:rFonts w:ascii="Arial" w:hAnsi="Arial" w:cs="Arial" w:hint="eastAsia"/>
          <w:noProof/>
          <w:sz w:val="20"/>
          <w:szCs w:val="20"/>
        </w:rPr>
        <w:drawing>
          <wp:inline distT="0" distB="0" distL="114300" distR="114300" wp14:anchorId="52A3E99E" wp14:editId="75462FE8">
            <wp:extent cx="5269230" cy="2652395"/>
            <wp:effectExtent l="0" t="0" r="3810" b="14605"/>
            <wp:docPr id="5" name="图片 5" descr="RO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ROC4"/>
                    <pic:cNvPicPr>
                      <a:picLocks noChangeAspect="1"/>
                    </pic:cNvPicPr>
                  </pic:nvPicPr>
                  <pic:blipFill>
                    <a:blip r:embed="rId12"/>
                    <a:stretch>
                      <a:fillRect/>
                    </a:stretch>
                  </pic:blipFill>
                  <pic:spPr>
                    <a:xfrm>
                      <a:off x="0" y="0"/>
                      <a:ext cx="5269230" cy="2652395"/>
                    </a:xfrm>
                    <a:prstGeom prst="rect">
                      <a:avLst/>
                    </a:prstGeom>
                  </pic:spPr>
                </pic:pic>
              </a:graphicData>
            </a:graphic>
          </wp:inline>
        </w:drawing>
      </w:r>
    </w:p>
    <w:p w14:paraId="05E8E26C" w14:textId="77777777" w:rsidR="00325A3B" w:rsidRDefault="00000000">
      <w:pPr>
        <w:spacing w:before="0" w:beforeAutospacing="0" w:after="0" w:line="480" w:lineRule="auto"/>
        <w:rPr>
          <w:rFonts w:ascii="Arial" w:hAnsi="Arial" w:cs="Arial"/>
          <w:sz w:val="20"/>
          <w:szCs w:val="20"/>
        </w:rPr>
      </w:pPr>
      <w:r>
        <w:rPr>
          <w:rFonts w:ascii="Arial" w:hAnsi="Arial" w:cs="Arial" w:hint="eastAsia"/>
          <w:noProof/>
          <w:sz w:val="20"/>
          <w:szCs w:val="20"/>
        </w:rPr>
        <w:drawing>
          <wp:inline distT="0" distB="0" distL="114300" distR="114300" wp14:anchorId="20A8CB7F" wp14:editId="0693967D">
            <wp:extent cx="5269230" cy="2633980"/>
            <wp:effectExtent l="0" t="0" r="3810" b="2540"/>
            <wp:docPr id="6" name="图片 6" descr="RO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ROC5"/>
                    <pic:cNvPicPr>
                      <a:picLocks noChangeAspect="1"/>
                    </pic:cNvPicPr>
                  </pic:nvPicPr>
                  <pic:blipFill>
                    <a:blip r:embed="rId13"/>
                    <a:stretch>
                      <a:fillRect/>
                    </a:stretch>
                  </pic:blipFill>
                  <pic:spPr>
                    <a:xfrm>
                      <a:off x="0" y="0"/>
                      <a:ext cx="5269230" cy="2633980"/>
                    </a:xfrm>
                    <a:prstGeom prst="rect">
                      <a:avLst/>
                    </a:prstGeom>
                  </pic:spPr>
                </pic:pic>
              </a:graphicData>
            </a:graphic>
          </wp:inline>
        </w:drawing>
      </w:r>
    </w:p>
    <w:p w14:paraId="52430EFE" w14:textId="77777777" w:rsidR="00325A3B" w:rsidRDefault="00000000">
      <w:pPr>
        <w:spacing w:before="0" w:beforeAutospacing="0" w:after="0" w:line="480" w:lineRule="auto"/>
        <w:jc w:val="center"/>
        <w:rPr>
          <w:rFonts w:ascii="Arial" w:hAnsi="Arial" w:cs="Arial"/>
          <w:sz w:val="20"/>
          <w:szCs w:val="20"/>
        </w:rPr>
      </w:pPr>
      <w:r>
        <w:rPr>
          <w:rFonts w:ascii="Arial" w:eastAsia="Arial" w:hAnsi="Arial" w:cs="Arial"/>
          <w:sz w:val="20"/>
          <w:szCs w:val="20"/>
        </w:rPr>
        <w:t>Figure S1</w:t>
      </w:r>
      <w:r>
        <w:rPr>
          <w:rFonts w:ascii="Arial" w:hAnsi="Arial" w:cs="Arial" w:hint="eastAsia"/>
          <w:sz w:val="20"/>
          <w:szCs w:val="20"/>
        </w:rPr>
        <w:t>.</w:t>
      </w:r>
      <w:r>
        <w:rPr>
          <w:rFonts w:ascii="Arial" w:eastAsia="Arial" w:hAnsi="Arial" w:cs="Arial" w:hint="eastAsia"/>
          <w:sz w:val="20"/>
          <w:szCs w:val="20"/>
        </w:rPr>
        <w:t xml:space="preserve"> ROC curves of univariate analysis of </w:t>
      </w:r>
      <w:r>
        <w:rPr>
          <w:rFonts w:ascii="Arial" w:hAnsi="Arial" w:cs="Arial" w:hint="eastAsia"/>
          <w:sz w:val="20"/>
          <w:szCs w:val="20"/>
        </w:rPr>
        <w:t xml:space="preserve">10 </w:t>
      </w:r>
      <w:r>
        <w:rPr>
          <w:rFonts w:ascii="Arial" w:eastAsia="Arial" w:hAnsi="Arial" w:cs="Arial" w:hint="eastAsia"/>
          <w:sz w:val="20"/>
          <w:szCs w:val="20"/>
        </w:rPr>
        <w:t>biomarkers.</w:t>
      </w:r>
    </w:p>
    <w:p w14:paraId="71A3043B" w14:textId="48C709CD" w:rsidR="00325A3B" w:rsidRDefault="00000000">
      <w:pPr>
        <w:spacing w:before="0" w:beforeAutospacing="0" w:after="0" w:line="480" w:lineRule="auto"/>
        <w:jc w:val="center"/>
        <w:rPr>
          <w:rFonts w:ascii="Arial" w:hAnsi="Arial" w:cs="Arial"/>
          <w:sz w:val="20"/>
          <w:szCs w:val="20"/>
        </w:rPr>
      </w:pPr>
      <w:r>
        <w:rPr>
          <w:rFonts w:ascii="Arial" w:hAnsi="Arial" w:cs="Arial" w:hint="eastAsia"/>
          <w:sz w:val="20"/>
          <w:szCs w:val="20"/>
        </w:rPr>
        <w:lastRenderedPageBreak/>
        <w:t>Tabl</w:t>
      </w:r>
      <w:r w:rsidR="00046770">
        <w:rPr>
          <w:rFonts w:ascii="Arial" w:hAnsi="Arial" w:cs="Arial"/>
          <w:sz w:val="20"/>
          <w:szCs w:val="20"/>
        </w:rPr>
        <w:t>e</w:t>
      </w:r>
      <w:r>
        <w:rPr>
          <w:rFonts w:ascii="Arial" w:hAnsi="Arial" w:cs="Arial" w:hint="eastAsia"/>
          <w:sz w:val="20"/>
          <w:szCs w:val="20"/>
        </w:rPr>
        <w:t xml:space="preserve"> S2. Table of proteins that interact with metabolites.</w:t>
      </w:r>
    </w:p>
    <w:tbl>
      <w:tblPr>
        <w:tblW w:w="8220" w:type="dxa"/>
        <w:tblInd w:w="96" w:type="dxa"/>
        <w:tblLook w:val="04A0" w:firstRow="1" w:lastRow="0" w:firstColumn="1" w:lastColumn="0" w:noHBand="0" w:noVBand="1"/>
      </w:tblPr>
      <w:tblGrid>
        <w:gridCol w:w="812"/>
        <w:gridCol w:w="1070"/>
        <w:gridCol w:w="3861"/>
        <w:gridCol w:w="2664"/>
      </w:tblGrid>
      <w:tr w:rsidR="00325A3B" w14:paraId="47530BE9" w14:textId="77777777">
        <w:trPr>
          <w:trHeight w:val="288"/>
        </w:trPr>
        <w:tc>
          <w:tcPr>
            <w:tcW w:w="7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E64319" w14:textId="77777777" w:rsidR="00325A3B" w:rsidRDefault="00000000">
            <w:pPr>
              <w:jc w:val="center"/>
              <w:textAlignment w:val="center"/>
              <w:rPr>
                <w:rFonts w:ascii="Times New Roman" w:hAnsi="Times New Roman"/>
                <w:b/>
                <w:bCs/>
                <w:color w:val="000000"/>
                <w:sz w:val="16"/>
                <w:szCs w:val="16"/>
              </w:rPr>
            </w:pPr>
            <w:r>
              <w:rPr>
                <w:rFonts w:ascii="Times New Roman" w:hAnsi="Times New Roman"/>
                <w:b/>
                <w:bCs/>
                <w:color w:val="000000"/>
                <w:sz w:val="16"/>
                <w:szCs w:val="16"/>
                <w:lang w:bidi="ar"/>
              </w:rPr>
              <w:t>Entry</w:t>
            </w:r>
          </w:p>
        </w:tc>
        <w:tc>
          <w:tcPr>
            <w:tcW w:w="9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8CCB5" w14:textId="77777777" w:rsidR="00325A3B" w:rsidRDefault="00000000">
            <w:pPr>
              <w:jc w:val="center"/>
              <w:textAlignment w:val="center"/>
              <w:rPr>
                <w:rFonts w:ascii="Times New Roman" w:hAnsi="Times New Roman"/>
                <w:b/>
                <w:bCs/>
                <w:color w:val="000000"/>
                <w:sz w:val="16"/>
                <w:szCs w:val="16"/>
              </w:rPr>
            </w:pPr>
            <w:r>
              <w:rPr>
                <w:rFonts w:ascii="Times New Roman" w:hAnsi="Times New Roman"/>
                <w:b/>
                <w:bCs/>
                <w:color w:val="000000"/>
                <w:sz w:val="16"/>
                <w:szCs w:val="16"/>
                <w:lang w:bidi="ar"/>
              </w:rPr>
              <w:t>Gene name</w:t>
            </w:r>
          </w:p>
        </w:tc>
        <w:tc>
          <w:tcPr>
            <w:tcW w:w="38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1FF31" w14:textId="77777777" w:rsidR="00325A3B" w:rsidRDefault="00000000">
            <w:pPr>
              <w:jc w:val="center"/>
              <w:textAlignment w:val="center"/>
              <w:rPr>
                <w:rFonts w:ascii="Times New Roman" w:hAnsi="Times New Roman"/>
                <w:b/>
                <w:bCs/>
                <w:color w:val="000000"/>
                <w:sz w:val="16"/>
                <w:szCs w:val="16"/>
              </w:rPr>
            </w:pPr>
            <w:r>
              <w:rPr>
                <w:rFonts w:ascii="Times New Roman" w:hAnsi="Times New Roman"/>
                <w:b/>
                <w:bCs/>
                <w:color w:val="000000"/>
                <w:sz w:val="16"/>
                <w:szCs w:val="16"/>
                <w:lang w:bidi="ar"/>
              </w:rPr>
              <w:t>Protein names</w:t>
            </w:r>
          </w:p>
        </w:tc>
        <w:tc>
          <w:tcPr>
            <w:tcW w:w="266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67C090" w14:textId="77777777" w:rsidR="00325A3B" w:rsidRDefault="00000000">
            <w:pPr>
              <w:jc w:val="center"/>
              <w:textAlignment w:val="center"/>
              <w:rPr>
                <w:rFonts w:ascii="Times New Roman" w:hAnsi="Times New Roman"/>
                <w:b/>
                <w:bCs/>
                <w:color w:val="000000"/>
                <w:sz w:val="16"/>
                <w:szCs w:val="16"/>
              </w:rPr>
            </w:pPr>
            <w:r>
              <w:rPr>
                <w:rFonts w:ascii="Times New Roman" w:hAnsi="Times New Roman"/>
                <w:b/>
                <w:bCs/>
                <w:color w:val="000000"/>
                <w:sz w:val="16"/>
                <w:szCs w:val="16"/>
                <w:lang w:bidi="ar"/>
              </w:rPr>
              <w:t>Biological process</w:t>
            </w:r>
          </w:p>
        </w:tc>
      </w:tr>
      <w:tr w:rsidR="00325A3B" w14:paraId="0236E2DF" w14:textId="77777777">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FCBAF1"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P28845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9C8C77"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HSD11B1</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56DB3"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11-beta-hydroxysteroid dehydrogenase 1 (11-DH) (11-beta-HSD1) (EC 1.1.1.146) (7-oxosteroid reductase) (EC 1.1.1.201) (Corticosteroid 11-beta-dehydrogenase isozyme 1) (Short chain dehydrogenase/reductase family 26C member 1)</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E35E7"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reaction</w:t>
            </w:r>
          </w:p>
        </w:tc>
      </w:tr>
      <w:tr w:rsidR="00325A3B" w14:paraId="25202DD5" w14:textId="77777777">
        <w:trPr>
          <w:trHeight w:val="40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A338C"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P03372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882D9F"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ESR1</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AFA3D"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Estrogen receptor (ER) (ER-alpha) (Estradiol receptor) (Nuclear receptor subfamily 3 group A member 1)</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EC8F5"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reaction, cell proliferation</w:t>
            </w:r>
          </w:p>
        </w:tc>
      </w:tr>
      <w:tr w:rsidR="00325A3B" w14:paraId="4E06C9BA" w14:textId="77777777">
        <w:trPr>
          <w:trHeight w:val="40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8AFB26"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P35372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D1D88B"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OPRM1</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D0A03"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Mu-type opioid receptor (M-OR-1) (MOR-1) (Mu opiate receptor) (Mu opioid receptor) (MOP) (hMOP)</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5F3C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reaction, cell proliferation</w:t>
            </w:r>
          </w:p>
        </w:tc>
      </w:tr>
      <w:tr w:rsidR="00325A3B" w14:paraId="40D9F16B"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75BEA2"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P51681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1F336E"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CCR5</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D00F"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C-C chemokine receptor type 5 (C-C CKR-5) (CC-CKR-5) (CCR-5) (CCR5) (CHEMR13) (HIV-1 fusion coreceptor) (CD antigen CD195)</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ECC22"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reaction, immune response</w:t>
            </w:r>
          </w:p>
        </w:tc>
      </w:tr>
      <w:tr w:rsidR="00325A3B" w14:paraId="0690B84D" w14:textId="77777777">
        <w:trPr>
          <w:trHeight w:val="40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0F7123"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P08908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740855"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HTR1A</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07CB3"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5-hydroxytryptamine receptor 1A (5-HT-1A) (5-HT1A) (G-21) (Serotonin receptor 1A)</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C8E02"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7D053EEB" w14:textId="77777777">
        <w:trPr>
          <w:trHeight w:val="204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B0B2E"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P48023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E8E02B"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FASLG</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A038"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Tumor necrosis factor ligand superfamily member 6 (Apoptosis antigen ligand) (APTL) (CD95 ligand) (CD95-L) (Fas antigen ligand) (Fas ligand) (FasL) (CD antigen CD178) [Cleaved into: Tumor necrosis factor ligand superfamily member 6,  membrane form; Tumor necrosis factor ligand superfamily member 6,  soluble form (Receptor-binding FasL ectodomain) (Soluble Fas ligand) (sFasL); ADAM10-processed FasL form (APL); FasL intracellular domain (FasL ICD) (SPPL2A-processed FasL form) (SPA)]</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B72F1"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 immune response</w:t>
            </w:r>
          </w:p>
        </w:tc>
      </w:tr>
      <w:tr w:rsidR="00325A3B" w14:paraId="13B2B5C5" w14:textId="77777777">
        <w:trPr>
          <w:trHeight w:val="40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BC67D"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P04150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0A92D5"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NR3C1</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FE507"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Glucocorticoid receptor (GR) (Nuclear receptor subfamily 3 group C member 1)</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1E389"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reaction, cell proliferation</w:t>
            </w:r>
          </w:p>
        </w:tc>
      </w:tr>
      <w:tr w:rsidR="00325A3B" w14:paraId="454985EE" w14:textId="77777777">
        <w:trPr>
          <w:trHeight w:val="10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F4067B"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P04626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97433"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ERBB2</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BA85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Receptor tyrosine-protein kinase erbB-2 (EC 2.7.10.1) (Metastatic lymph node gene 19 protein) (MLN 19) (Proto-oncogene Neu) (Proto-oncogene c-ErbB-2) (Tyrosine kinase-type cell surface receptor HER2) (p185erbB2) (CD antigen CD340)</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6B77A"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20F58AF8" w14:textId="77777777">
        <w:trPr>
          <w:trHeight w:val="142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A3E7A9"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lastRenderedPageBreak/>
              <w:t>P27487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FAFCF6"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DPP4</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7368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Dipeptidyl peptidase 4 (EC 3.4.14.5) (ADABP) (Adenosine deaminase complexing protein 2) (ADCP-2) (Dipeptidyl peptidase IV) (DPP IV) (T-cell activation antigen CD26) (TP103) (CD antigen CD26) [Cleaved into: Dipeptidyl peptidase 4 membrane form (Dipeptidyl peptidase IV membrane form); Dipeptidyl peptidase 4 soluble form (Dipeptidyl peptidase IV soluble form)]</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44FC8"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4F2CEF36" w14:textId="77777777">
        <w:trPr>
          <w:trHeight w:val="1224"/>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1015F"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Q14790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E529C"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CASP8</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3EDE2"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Caspase-8 (CASP-8) (EC 3.4.22.61) (Apoptotic cysteine protease) (Apoptotic protease Mch-5) (CAP4) (FADD-homologous ICE/ced-3-like protease) (FADD-like ICE) (FLICE) (ICE-like apoptotic protease 5) (MORT1-associated ced-3 homolog) (MACH) [Cleaved into: Caspase-8 subunit p18; Caspase-8 subunit p10]</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9CE53"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6E38F70F" w14:textId="77777777">
        <w:trPr>
          <w:trHeight w:val="183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E1D924"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O15519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53EA7C"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CFLAR</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5790"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CASP8 and FADD-like apoptosis regulator (Caspase homolog) (CASH) (Caspase-eight-related protein) (Casper) (Caspase-like apoptosis regulatory protein) (CLARP) (Cellular FLICE-like inhibitory protein) (c-FLIP) (FADD-like antiapoptotic molecule 1) (FLAME-1) (Inhibitor of FLICE) (I-FLICE) (MACH-related inducer of toxicity) (MRIT) (Usurpin) [Cleaved into: CASP8 and FADD-like apoptosis regulator subunit p43; CASP8 and FADD-like apoptosis regulator subunit p12]</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6F1D9"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1358CD6D"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6AE380"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Q13158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A67274"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FADD</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19486"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FAS-associated death domain protein (FAS-associating death domain-containing protein) (Growth-inhibiting gene 3 protein) (Mediator of receptor induced toxicity)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B9DFD"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7309BCDB"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CD9242"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P05783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0C8A3"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KRT18</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E0D2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Keratin,  type I cytoskeletal 18 (Cell proliferation-inducing gene 46 protein) (Cytokeratin-18) (CK-18) (Keratin-18) (K18)</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C49D8"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0CB2A9B5" w14:textId="77777777">
        <w:trPr>
          <w:trHeight w:val="183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9F1225"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P01189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880790"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POMC</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6C4ED"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Pro-opiomelanocortin (POMC) (Corticotropin-lipotropin) [Cleaved into: NPP; Melanotropin gamma (Gamma-MSH); Potential peptide; Corticotropin (Adrenocorticotropic hormone) (ACTH); Melanocyte-stimulating hormone alpha (Alpha-MSH) (Melanotropin alpha); Corticotropin-like intermediary peptide (CLIP); Lipotropin beta (Beta-LPH); Lipotropin gamma (Gamma-LPH); Melanocyte-stimulating hormone beta (Beta-MSH) (Melanotropin beta); Beta-endorphin; Met-enkephalin]</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D98F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3F07D734" w14:textId="77777777">
        <w:trPr>
          <w:trHeight w:val="183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253409"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lastRenderedPageBreak/>
              <w:t>P49327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4A0859"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FAS</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2F1852"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Fatty acid synthase (EC 2.3.1.85) (Type I fatty acid synthase) [Includes: [Acyl-carrier-protein] S-acetyltransferase (EC 2.3.1.38); [Acyl-carrier-protein] S-malonyltransferase (EC 2.3.1.39); 3-oxoacyl-[acyl-carrier-protein] synthase (EC 2.3.1.41); 3-oxoacyl-[acyl-carrier-protein] reductase (EC 1.1.1.100); 3-hydroxyacyl-[acyl-carrier-protein] dehydratase (EC 4.2.1.59); Enoyl-[acyl-carrier-protein] reductase (EC 1.3.1.39); Acyl-[acyl-carrier-protein] hydrolase (EC 3.1.2.14)]</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4E165"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response</w:t>
            </w:r>
          </w:p>
        </w:tc>
      </w:tr>
      <w:tr w:rsidR="00325A3B" w14:paraId="0B02EE3C"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D7B4F1"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P49662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454D3B"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CASP4</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09571"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Caspase-4 (CASP-4) (EC 3.4.22.57) (ICE and Ced-3 homolog 2) (ICH-2) (ICE(rel)-II) (Mih1) (Protease TX) [Cleaved into: Caspase-4 subunit p10; Caspase-4 subunit p20]</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1F50E"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33F3F687" w14:textId="77777777">
        <w:trPr>
          <w:trHeight w:val="408"/>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7A269A"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Q92731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79B45"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ESR2</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C57D3"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Estrogen receptor beta (ER-beta) (Nuclear receptor subfamily 3 group A member 2)</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1DE26"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3F610FD4"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55EA8"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Q9NZC4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4D13B2"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EHF</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96424"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ETS homologous factor (hEHF) (ETS domain-containing transcription factor) (Epithelium-specific Ets transcription factor 3) (ESE-3)</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36FB4"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cell proliferation</w:t>
            </w:r>
          </w:p>
        </w:tc>
      </w:tr>
      <w:tr w:rsidR="00325A3B" w14:paraId="4A09889A" w14:textId="77777777">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A8FDC7"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P55210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C72E4"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CASP7</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6620"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Caspase-7 (CASP-7) (EC 3.4.22.60) (Apoptotic protease Mch-3) (CMH-1) (ICE-like apoptotic protease 3) (ICE-LAP3) [Cleaved into: Caspase-7 subunit p20; Caspase-7 subunit p11]</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AB68A"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response</w:t>
            </w:r>
          </w:p>
        </w:tc>
      </w:tr>
      <w:tr w:rsidR="00325A3B" w14:paraId="181E4EF7" w14:textId="77777777">
        <w:trPr>
          <w:trHeight w:val="10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A45D3"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Q92851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E58D3C"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CASP10</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8320E"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Caspase-10 (CASP-10) (EC 3.4.22.63) (Apoptotic protease Mch-4) (FAS-associated death domain protein interleukin-1B-converting enzyme 2) (FLICE2) (ICE-like apoptotic protease 4) [Cleaved into: Caspase-10 subunit p23/17; Caspase-10 subunit p12]</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1548"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response</w:t>
            </w:r>
          </w:p>
        </w:tc>
      </w:tr>
      <w:tr w:rsidR="00325A3B" w14:paraId="2D7FDBA3"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C80B1B"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Q15628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5EFF8C"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TRADD</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E778C"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Tumor necrosis factor receptor type 1-associated DEATH domain protein (TNFR1-associated DEATH domain protein) (TNFRSF1A-associated via death domain)</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1FF4"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inflammatory response</w:t>
            </w:r>
          </w:p>
        </w:tc>
      </w:tr>
      <w:tr w:rsidR="00325A3B" w14:paraId="2141C51E" w14:textId="77777777">
        <w:trPr>
          <w:trHeight w:val="102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9C9C5"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P98170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5E3DF9"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XIAP</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C1DCD"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 xml:space="preserve">E3 ubiquitin-protein ligase XIAP (EC 2.3.2.27) (Baculoviral IAP repeat-containing protein 4) (IAP-like protein) (ILP) (hILP) (Inhibitor of apoptosis protein 3) (IAP-3) (hIAP-3) (hIAP3) (RING-type E3 ubiquitin </w:t>
            </w:r>
            <w:r>
              <w:rPr>
                <w:rFonts w:ascii="Times New Roman" w:hAnsi="Times New Roman"/>
                <w:color w:val="000000"/>
                <w:sz w:val="16"/>
                <w:szCs w:val="16"/>
                <w:lang w:bidi="ar"/>
              </w:rPr>
              <w:lastRenderedPageBreak/>
              <w:t>transferase XIAP) (X-linked inhibitor of apoptosis protein) (X-linked IAP)</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FF8A0"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lastRenderedPageBreak/>
              <w:t>cell proliferation,  immune response</w:t>
            </w:r>
          </w:p>
        </w:tc>
      </w:tr>
      <w:tr w:rsidR="00325A3B" w14:paraId="2BD9E885" w14:textId="77777777">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3C774"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O14763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7B480"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TNFRSF10B</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45E68"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Tumor necrosis factor receptor superfamily member 10B (Death receptor 5) (TNF-related apoptosis-inducing ligand receptor 2) (TRAIL receptor 2) (TRAIL-R2) (CD antigen CD262)</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66F56"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r w:rsidR="00325A3B" w14:paraId="7EEC7418" w14:textId="77777777">
        <w:trPr>
          <w:trHeight w:val="612"/>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A0B96"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P50591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B5F18" w14:textId="77777777" w:rsidR="00325A3B" w:rsidRDefault="00000000">
            <w:pPr>
              <w:jc w:val="center"/>
              <w:textAlignment w:val="center"/>
              <w:rPr>
                <w:rFonts w:ascii="Times New Roman" w:hAnsi="Times New Roman"/>
                <w:color w:val="000000"/>
                <w:sz w:val="16"/>
                <w:szCs w:val="16"/>
              </w:rPr>
            </w:pPr>
            <w:r>
              <w:rPr>
                <w:rFonts w:ascii="Times New Roman" w:hAnsi="Times New Roman"/>
                <w:color w:val="000000"/>
                <w:sz w:val="16"/>
                <w:szCs w:val="16"/>
                <w:lang w:bidi="ar"/>
              </w:rPr>
              <w:t>TNFSF10</w:t>
            </w:r>
          </w:p>
        </w:tc>
        <w:tc>
          <w:tcPr>
            <w:tcW w:w="3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C0140"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Tumor necrosis factor ligand superfamily member 10 (Apo-2 ligand) (Apo-2L) (TNF-related apoptosis-inducing ligand) (Protein TRAIL) (CD antigen CD253)</w:t>
            </w:r>
          </w:p>
        </w:tc>
        <w:tc>
          <w:tcPr>
            <w:tcW w:w="26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AC72" w14:textId="77777777" w:rsidR="00325A3B" w:rsidRDefault="00000000">
            <w:pPr>
              <w:textAlignment w:val="center"/>
              <w:rPr>
                <w:rFonts w:ascii="Times New Roman" w:hAnsi="Times New Roman"/>
                <w:color w:val="000000"/>
                <w:sz w:val="16"/>
                <w:szCs w:val="16"/>
              </w:rPr>
            </w:pPr>
            <w:r>
              <w:rPr>
                <w:rFonts w:ascii="Times New Roman" w:hAnsi="Times New Roman"/>
                <w:color w:val="000000"/>
                <w:sz w:val="16"/>
                <w:szCs w:val="16"/>
                <w:lang w:bidi="ar"/>
              </w:rPr>
              <w:t>immune response</w:t>
            </w:r>
          </w:p>
        </w:tc>
      </w:tr>
    </w:tbl>
    <w:p w14:paraId="502EAA7D" w14:textId="77777777" w:rsidR="00325A3B" w:rsidRDefault="00325A3B">
      <w:pPr>
        <w:spacing w:before="0" w:beforeAutospacing="0" w:after="0" w:line="480" w:lineRule="auto"/>
        <w:rPr>
          <w:rFonts w:ascii="Arial" w:hAnsi="Arial" w:cs="Arial"/>
          <w:sz w:val="20"/>
          <w:szCs w:val="20"/>
        </w:rPr>
      </w:pPr>
    </w:p>
    <w:sectPr w:rsidR="00325A3B">
      <w:footerReference w:type="even" r:id="rId14"/>
      <w:footerReference w:type="defaul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A80E7" w14:textId="77777777" w:rsidR="003D63FA" w:rsidRDefault="003D63FA">
      <w:pPr>
        <w:spacing w:line="240" w:lineRule="auto"/>
      </w:pPr>
      <w:r>
        <w:separator/>
      </w:r>
    </w:p>
  </w:endnote>
  <w:endnote w:type="continuationSeparator" w:id="0">
    <w:p w14:paraId="124EB1E3" w14:textId="77777777" w:rsidR="003D63FA" w:rsidRDefault="003D6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ACF0" w14:textId="659A77F5" w:rsidR="00046770" w:rsidRDefault="00046770">
    <w:pPr>
      <w:pStyle w:val="Footer"/>
    </w:pPr>
    <w:r>
      <w:rPr>
        <w:noProof/>
      </w:rPr>
      <mc:AlternateContent>
        <mc:Choice Requires="wps">
          <w:drawing>
            <wp:anchor distT="0" distB="0" distL="0" distR="0" simplePos="0" relativeHeight="251659264" behindDoc="0" locked="0" layoutInCell="1" allowOverlap="1" wp14:anchorId="71F8E564" wp14:editId="4F51FFF3">
              <wp:simplePos x="635" y="635"/>
              <wp:positionH relativeFrom="page">
                <wp:align>left</wp:align>
              </wp:positionH>
              <wp:positionV relativeFrom="page">
                <wp:align>bottom</wp:align>
              </wp:positionV>
              <wp:extent cx="443865" cy="443865"/>
              <wp:effectExtent l="0" t="0" r="9525" b="0"/>
              <wp:wrapNone/>
              <wp:docPr id="1018222724"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BABE8" w14:textId="2FFECCA2"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F8E564"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76FBABE8" w14:textId="2FFECCA2"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812D" w14:textId="5D76DE49" w:rsidR="00046770" w:rsidRDefault="00046770">
    <w:pPr>
      <w:pStyle w:val="Footer"/>
    </w:pPr>
    <w:r>
      <w:rPr>
        <w:noProof/>
      </w:rPr>
      <mc:AlternateContent>
        <mc:Choice Requires="wps">
          <w:drawing>
            <wp:anchor distT="0" distB="0" distL="0" distR="0" simplePos="0" relativeHeight="251660288" behindDoc="0" locked="0" layoutInCell="1" allowOverlap="1" wp14:anchorId="343A79BA" wp14:editId="3796BE46">
              <wp:simplePos x="1143000" y="9906000"/>
              <wp:positionH relativeFrom="page">
                <wp:align>left</wp:align>
              </wp:positionH>
              <wp:positionV relativeFrom="page">
                <wp:align>bottom</wp:align>
              </wp:positionV>
              <wp:extent cx="443865" cy="443865"/>
              <wp:effectExtent l="0" t="0" r="9525" b="0"/>
              <wp:wrapNone/>
              <wp:docPr id="1874145764"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3076BF" w14:textId="5D483701"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3A79BA" id="_x0000_t202" coordsize="21600,21600" o:spt="202" path="m,l,21600r21600,l21600,xe">
              <v:stroke joinstyle="miter"/>
              <v:path gradientshapeok="t" o:connecttype="rect"/>
            </v:shapetype>
            <v:shape id="Text Box 3" o:spid="_x0000_s1027" type="#_x0000_t202" alt="Information Classification: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0B3076BF" w14:textId="5D483701"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0196" w14:textId="2E193B00" w:rsidR="00046770" w:rsidRDefault="00046770">
    <w:pPr>
      <w:pStyle w:val="Footer"/>
    </w:pPr>
    <w:r>
      <w:rPr>
        <w:noProof/>
      </w:rPr>
      <mc:AlternateContent>
        <mc:Choice Requires="wps">
          <w:drawing>
            <wp:anchor distT="0" distB="0" distL="0" distR="0" simplePos="0" relativeHeight="251658240" behindDoc="0" locked="0" layoutInCell="1" allowOverlap="1" wp14:anchorId="18F948B1" wp14:editId="5D478E02">
              <wp:simplePos x="635" y="635"/>
              <wp:positionH relativeFrom="page">
                <wp:align>left</wp:align>
              </wp:positionH>
              <wp:positionV relativeFrom="page">
                <wp:align>bottom</wp:align>
              </wp:positionV>
              <wp:extent cx="443865" cy="443865"/>
              <wp:effectExtent l="0" t="0" r="9525" b="0"/>
              <wp:wrapNone/>
              <wp:docPr id="1604101143"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8FFF65" w14:textId="7145987C"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F948B1"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2A8FFF65" w14:textId="7145987C" w:rsidR="00046770" w:rsidRPr="00046770" w:rsidRDefault="00046770" w:rsidP="00046770">
                    <w:pPr>
                      <w:spacing w:after="0"/>
                      <w:rPr>
                        <w:rFonts w:ascii="Rockwell" w:eastAsia="Rockwell" w:hAnsi="Rockwell" w:cs="Rockwell"/>
                        <w:noProof/>
                        <w:color w:val="0078D7"/>
                        <w:sz w:val="18"/>
                        <w:szCs w:val="18"/>
                      </w:rPr>
                    </w:pPr>
                    <w:r w:rsidRPr="00046770">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D074A" w14:textId="77777777" w:rsidR="003D63FA" w:rsidRDefault="003D63FA">
      <w:pPr>
        <w:spacing w:before="0" w:after="0"/>
      </w:pPr>
      <w:r>
        <w:separator/>
      </w:r>
    </w:p>
  </w:footnote>
  <w:footnote w:type="continuationSeparator" w:id="0">
    <w:p w14:paraId="101ED98D" w14:textId="77777777" w:rsidR="003D63FA" w:rsidRDefault="003D63FA">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I3M2M3YjgxODJlN2EyZjI1N2NjNTQzNGVlNTRjY2YifQ=="/>
    <w:docVar w:name="EN.InstantFormat" w:val="&lt;ENInstantFormat&gt;&lt;Enabled&gt;1&lt;/Enabled&gt;&lt;ScanUnformatted&gt;1&lt;/ScanUnformatted&gt;&lt;ScanChanges&gt;1&lt;/ScanChanges&gt;&lt;Suspended&gt;0&lt;/Suspended&gt;&lt;/ENInstantFormat&gt;"/>
    <w:docVar w:name="EN.Layout" w:val="&lt;ENLayout&gt;&lt;Style&gt;JAMA 副本&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dxz2rr59a5w2ieetwqp9ver5w5fpzttvvf0&quot;&gt;psoriasis&lt;record-ids&gt;&lt;item&gt;39&lt;/item&gt;&lt;item&gt;55&lt;/item&gt;&lt;item&gt;56&lt;/item&gt;&lt;item&gt;59&lt;/item&gt;&lt;item&gt;82&lt;/item&gt;&lt;item&gt;83&lt;/item&gt;&lt;item&gt;99&lt;/item&gt;&lt;/record-ids&gt;&lt;/item&gt;&lt;/Libraries&gt;"/>
  </w:docVars>
  <w:rsids>
    <w:rsidRoot w:val="00823840"/>
    <w:rsid w:val="000035A5"/>
    <w:rsid w:val="00046770"/>
    <w:rsid w:val="000B6D5F"/>
    <w:rsid w:val="00177B49"/>
    <w:rsid w:val="00195E9E"/>
    <w:rsid w:val="00325A3B"/>
    <w:rsid w:val="003D63FA"/>
    <w:rsid w:val="00422207"/>
    <w:rsid w:val="005E2CD1"/>
    <w:rsid w:val="005E71F6"/>
    <w:rsid w:val="00645E2D"/>
    <w:rsid w:val="006A4C61"/>
    <w:rsid w:val="007271E5"/>
    <w:rsid w:val="00823840"/>
    <w:rsid w:val="008A690F"/>
    <w:rsid w:val="008F637C"/>
    <w:rsid w:val="009E7367"/>
    <w:rsid w:val="00B62590"/>
    <w:rsid w:val="00BE3453"/>
    <w:rsid w:val="00C355A6"/>
    <w:rsid w:val="00C5336B"/>
    <w:rsid w:val="00E76EEE"/>
    <w:rsid w:val="00EE3D67"/>
    <w:rsid w:val="00F06B38"/>
    <w:rsid w:val="00F55867"/>
    <w:rsid w:val="00FA5125"/>
    <w:rsid w:val="00FB0B21"/>
    <w:rsid w:val="02682844"/>
    <w:rsid w:val="06426774"/>
    <w:rsid w:val="064F05DB"/>
    <w:rsid w:val="083047F3"/>
    <w:rsid w:val="0A2C751F"/>
    <w:rsid w:val="0C0C1842"/>
    <w:rsid w:val="19DB7698"/>
    <w:rsid w:val="1A50725A"/>
    <w:rsid w:val="1B5543FC"/>
    <w:rsid w:val="20833120"/>
    <w:rsid w:val="224156DA"/>
    <w:rsid w:val="22C50B18"/>
    <w:rsid w:val="279F53F6"/>
    <w:rsid w:val="28767A0D"/>
    <w:rsid w:val="29D33100"/>
    <w:rsid w:val="373E529A"/>
    <w:rsid w:val="3D6C4360"/>
    <w:rsid w:val="3DD44E0F"/>
    <w:rsid w:val="3E0B6AEE"/>
    <w:rsid w:val="40267B86"/>
    <w:rsid w:val="41BD4926"/>
    <w:rsid w:val="41E974C9"/>
    <w:rsid w:val="44613F04"/>
    <w:rsid w:val="446F7A2D"/>
    <w:rsid w:val="46E9789B"/>
    <w:rsid w:val="49C03205"/>
    <w:rsid w:val="4DFE04D5"/>
    <w:rsid w:val="4EB470B0"/>
    <w:rsid w:val="5248023B"/>
    <w:rsid w:val="52AB63F8"/>
    <w:rsid w:val="542206A4"/>
    <w:rsid w:val="5EB37A8E"/>
    <w:rsid w:val="60C72C73"/>
    <w:rsid w:val="62092E18"/>
    <w:rsid w:val="641E2BAA"/>
    <w:rsid w:val="66E77BCB"/>
    <w:rsid w:val="6A197ABD"/>
    <w:rsid w:val="6B2D401B"/>
    <w:rsid w:val="6B5334FE"/>
    <w:rsid w:val="6FD917B7"/>
    <w:rsid w:val="7A421D8F"/>
    <w:rsid w:val="7D2148E8"/>
    <w:rsid w:val="7D912B77"/>
    <w:rsid w:val="7F324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2F6F5"/>
  <w15:docId w15:val="{E9C4FFA0-C865-4B5A-90C8-0594EF68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60" w:line="256" w:lineRule="auto"/>
    </w:pPr>
    <w:rPr>
      <w:rFonts w:ascii="Calibri" w:hAnsi="Calibri"/>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widowControl w:val="0"/>
      <w:tabs>
        <w:tab w:val="center" w:pos="4153"/>
        <w:tab w:val="right" w:pos="8306"/>
      </w:tabs>
      <w:snapToGrid w:val="0"/>
      <w:spacing w:before="0" w:beforeAutospacing="0" w:after="0" w:line="240" w:lineRule="auto"/>
    </w:pPr>
    <w:rPr>
      <w:rFonts w:asciiTheme="minorHAnsi" w:eastAsiaTheme="minorEastAsia" w:hAnsiTheme="minorHAnsi" w:cstheme="minorBidi"/>
      <w:kern w:val="2"/>
      <w:sz w:val="18"/>
      <w:szCs w:val="18"/>
    </w:rPr>
  </w:style>
  <w:style w:type="paragraph" w:styleId="Header">
    <w:name w:val="header"/>
    <w:basedOn w:val="Normal"/>
    <w:link w:val="HeaderChar"/>
    <w:uiPriority w:val="99"/>
    <w:unhideWhenUsed/>
    <w:qFormat/>
    <w:pPr>
      <w:widowControl w:val="0"/>
      <w:pBdr>
        <w:bottom w:val="single" w:sz="6" w:space="1" w:color="auto"/>
      </w:pBdr>
      <w:tabs>
        <w:tab w:val="center" w:pos="4153"/>
        <w:tab w:val="right" w:pos="8306"/>
      </w:tabs>
      <w:snapToGrid w:val="0"/>
      <w:spacing w:before="0" w:beforeAutospacing="0" w:after="0" w:line="240" w:lineRule="auto"/>
      <w:jc w:val="center"/>
    </w:pPr>
    <w:rPr>
      <w:rFonts w:asciiTheme="minorHAnsi" w:eastAsiaTheme="minorEastAsia" w:hAnsiTheme="minorHAnsi" w:cstheme="minorBidi"/>
      <w:kern w:val="2"/>
      <w:sz w:val="18"/>
      <w:szCs w:val="18"/>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EndNoteBibliographyTitle">
    <w:name w:val="EndNote Bibliography Title"/>
    <w:basedOn w:val="Normal"/>
    <w:link w:val="EndNoteBibliographyTitle0"/>
    <w:qFormat/>
    <w:pPr>
      <w:spacing w:after="0"/>
      <w:jc w:val="center"/>
    </w:pPr>
    <w:rPr>
      <w:rFonts w:cs="Calibri"/>
    </w:rPr>
  </w:style>
  <w:style w:type="character" w:customStyle="1" w:styleId="EndNoteBibliographyTitle0">
    <w:name w:val="EndNote Bibliography Title 字符"/>
    <w:basedOn w:val="DefaultParagraphFont"/>
    <w:link w:val="EndNoteBibliographyTitle"/>
    <w:qFormat/>
    <w:rPr>
      <w:rFonts w:ascii="Calibri" w:hAnsi="Calibri" w:cs="Calibri"/>
      <w:sz w:val="22"/>
      <w:szCs w:val="22"/>
    </w:rPr>
  </w:style>
  <w:style w:type="paragraph" w:customStyle="1" w:styleId="EndNoteBibliography">
    <w:name w:val="EndNote Bibliography"/>
    <w:basedOn w:val="Normal"/>
    <w:link w:val="EndNoteBibliography0"/>
    <w:qFormat/>
    <w:pPr>
      <w:spacing w:line="240" w:lineRule="auto"/>
    </w:pPr>
    <w:rPr>
      <w:rFonts w:cs="Calibri"/>
    </w:rPr>
  </w:style>
  <w:style w:type="character" w:customStyle="1" w:styleId="EndNoteBibliography0">
    <w:name w:val="EndNote Bibliography 字符"/>
    <w:basedOn w:val="DefaultParagraphFont"/>
    <w:link w:val="EndNoteBibliography"/>
    <w:qFormat/>
    <w:rPr>
      <w:rFonts w:ascii="Calibri" w:hAnsi="Calibri" w:cs="Calibri"/>
      <w:sz w:val="22"/>
      <w:szCs w:val="22"/>
    </w:rPr>
  </w:style>
  <w:style w:type="paragraph" w:customStyle="1" w:styleId="Revision1">
    <w:name w:val="Revision1"/>
    <w:hidden/>
    <w:uiPriority w:val="99"/>
    <w:semiHidden/>
    <w:qFormat/>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etaboanalyst.ca"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hmdb.ca/"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www.genome.jp/kegg/" TargetMode="External"/><Relationship Id="rId11" Type="http://schemas.openxmlformats.org/officeDocument/2006/relationships/image" Target="media/image3.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3046</Words>
  <Characters>17367</Characters>
  <Application>Microsoft Office Word</Application>
  <DocSecurity>0</DocSecurity>
  <Lines>144</Lines>
  <Paragraphs>40</Paragraphs>
  <ScaleCrop>false</ScaleCrop>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刘杰(Jie Liu)</dc:creator>
  <cp:lastModifiedBy>Thadani, Lavina</cp:lastModifiedBy>
  <cp:revision>3</cp:revision>
  <dcterms:created xsi:type="dcterms:W3CDTF">2023-10-13T10:15:00Z</dcterms:created>
  <dcterms:modified xsi:type="dcterms:W3CDTF">2023-10-18T03:11:00Z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1E1C180F6A1940ACBC65661E553E9B57_13</vt:lpwstr>
  </property>
  <property fmtid="{D5CDD505-2E9C-101B-9397-08002B2CF9AE}" pid="4" name="ClassificationContentMarkingFooterShapeIds">
    <vt:lpwstr>5f9ca417,3cb0d884,6fb531e4</vt:lpwstr>
  </property>
  <property fmtid="{D5CDD505-2E9C-101B-9397-08002B2CF9AE}" pid="5" name="ClassificationContentMarkingFooterFontProps">
    <vt:lpwstr>#0078d7,9,Rockwell</vt:lpwstr>
  </property>
  <property fmtid="{D5CDD505-2E9C-101B-9397-08002B2CF9AE}" pid="6" name="ClassificationContentMarkingFooterText">
    <vt:lpwstr>Information Classification: General</vt:lpwstr>
  </property>
  <property fmtid="{D5CDD505-2E9C-101B-9397-08002B2CF9AE}" pid="7" name="MSIP_Label_2bbab825-a111-45e4-86a1-18cee0005896_Enabled">
    <vt:lpwstr>true</vt:lpwstr>
  </property>
  <property fmtid="{D5CDD505-2E9C-101B-9397-08002B2CF9AE}" pid="8" name="MSIP_Label_2bbab825-a111-45e4-86a1-18cee0005896_SetDate">
    <vt:lpwstr>2023-10-18T03:11:21Z</vt:lpwstr>
  </property>
  <property fmtid="{D5CDD505-2E9C-101B-9397-08002B2CF9AE}" pid="9" name="MSIP_Label_2bbab825-a111-45e4-86a1-18cee0005896_Method">
    <vt:lpwstr>Standard</vt:lpwstr>
  </property>
  <property fmtid="{D5CDD505-2E9C-101B-9397-08002B2CF9AE}" pid="10" name="MSIP_Label_2bbab825-a111-45e4-86a1-18cee0005896_Name">
    <vt:lpwstr>2bbab825-a111-45e4-86a1-18cee0005896</vt:lpwstr>
  </property>
  <property fmtid="{D5CDD505-2E9C-101B-9397-08002B2CF9AE}" pid="11" name="MSIP_Label_2bbab825-a111-45e4-86a1-18cee0005896_SiteId">
    <vt:lpwstr>2567d566-604c-408a-8a60-55d0dc9d9d6b</vt:lpwstr>
  </property>
  <property fmtid="{D5CDD505-2E9C-101B-9397-08002B2CF9AE}" pid="12" name="MSIP_Label_2bbab825-a111-45e4-86a1-18cee0005896_ActionId">
    <vt:lpwstr>cb7be0d3-8e7b-4b0b-9157-eabc5bb3f92e</vt:lpwstr>
  </property>
  <property fmtid="{D5CDD505-2E9C-101B-9397-08002B2CF9AE}" pid="13" name="MSIP_Label_2bbab825-a111-45e4-86a1-18cee0005896_ContentBits">
    <vt:lpwstr>2</vt:lpwstr>
  </property>
</Properties>
</file>