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ED012" w14:textId="77777777" w:rsidR="005B664F" w:rsidRDefault="005B664F" w:rsidP="00A5210F">
      <w:pPr>
        <w:spacing w:after="0" w:line="276" w:lineRule="auto"/>
        <w:jc w:val="center"/>
        <w:rPr>
          <w:rFonts w:ascii="Arial" w:eastAsia="Arial" w:hAnsi="Arial" w:cs="Arial"/>
          <w:b/>
          <w:i/>
        </w:rPr>
      </w:pPr>
      <w:bookmarkStart w:id="0" w:name="_Hlk113911559"/>
      <w:r w:rsidRPr="005B664F">
        <w:rPr>
          <w:rFonts w:ascii="Arial" w:eastAsia="Arial" w:hAnsi="Arial" w:cs="Arial"/>
          <w:b/>
          <w:i/>
        </w:rPr>
        <w:t>Real-World Evaluation of a Pharmacoinvasive Strategy for STEMI in Latin America: A Cost-Effective Approach with Short-Term Benefits</w:t>
      </w:r>
    </w:p>
    <w:p w14:paraId="1A72F81C" w14:textId="4BB10FCA" w:rsidR="00A5210F" w:rsidRDefault="00A5210F" w:rsidP="00A5210F">
      <w:pPr>
        <w:spacing w:after="0" w:line="276" w:lineRule="auto"/>
        <w:jc w:val="center"/>
        <w:rPr>
          <w:rFonts w:ascii="Arial" w:eastAsia="Arial" w:hAnsi="Arial" w:cs="Arial"/>
          <w:b/>
          <w:i/>
        </w:rPr>
      </w:pPr>
      <w:r w:rsidRPr="00B2423A">
        <w:rPr>
          <w:rFonts w:ascii="Arial" w:eastAsia="Arial" w:hAnsi="Arial" w:cs="Arial"/>
          <w:b/>
          <w:i/>
        </w:rPr>
        <w:t>Supplementary</w:t>
      </w:r>
      <w:r>
        <w:rPr>
          <w:rFonts w:ascii="Arial" w:eastAsia="Arial" w:hAnsi="Arial" w:cs="Arial"/>
          <w:b/>
          <w:i/>
        </w:rPr>
        <w:t xml:space="preserve">: </w:t>
      </w:r>
    </w:p>
    <w:bookmarkEnd w:id="0"/>
    <w:p w14:paraId="3CB43011" w14:textId="12E8FAA4" w:rsidR="00F73C30" w:rsidRPr="00820F24" w:rsidRDefault="00F73C30" w:rsidP="00F73C30">
      <w:pPr>
        <w:spacing w:before="240" w:after="0" w:line="360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  <w:b/>
        </w:rPr>
        <w:t xml:space="preserve">Table </w:t>
      </w:r>
      <w:r w:rsidR="00B2423A">
        <w:rPr>
          <w:rFonts w:ascii="Arial" w:eastAsia="Arial" w:hAnsi="Arial" w:cs="Arial"/>
          <w:b/>
        </w:rPr>
        <w:t>S1</w:t>
      </w:r>
      <w:r w:rsidRPr="00820F24">
        <w:rPr>
          <w:rFonts w:ascii="Arial" w:eastAsia="Arial" w:hAnsi="Arial" w:cs="Arial"/>
          <w:b/>
        </w:rPr>
        <w:t xml:space="preserve">. </w:t>
      </w:r>
      <w:r w:rsidRPr="00820F24">
        <w:rPr>
          <w:rFonts w:ascii="Arial" w:eastAsia="Arial" w:hAnsi="Arial" w:cs="Arial"/>
        </w:rPr>
        <w:t>ICER cost difference and effect difference in the cohort for outcomes</w:t>
      </w:r>
    </w:p>
    <w:tbl>
      <w:tblPr>
        <w:tblW w:w="112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6"/>
        <w:gridCol w:w="3201"/>
        <w:gridCol w:w="3250"/>
        <w:gridCol w:w="2752"/>
      </w:tblGrid>
      <w:tr w:rsidR="00F73C30" w:rsidRPr="00820F24" w14:paraId="4DC3A339" w14:textId="77777777" w:rsidTr="008C2A9A">
        <w:trPr>
          <w:trHeight w:val="515"/>
        </w:trPr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4C7DA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Length of stay</w:t>
            </w:r>
          </w:p>
        </w:tc>
        <w:tc>
          <w:tcPr>
            <w:tcW w:w="32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E192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ICER ($ USD/Effect)</w:t>
            </w:r>
          </w:p>
        </w:tc>
        <w:tc>
          <w:tcPr>
            <w:tcW w:w="3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5CAE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Cost difference ($ USD)</w:t>
            </w:r>
          </w:p>
        </w:tc>
        <w:tc>
          <w:tcPr>
            <w:tcW w:w="27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535B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Effect difference (days)</w:t>
            </w:r>
          </w:p>
        </w:tc>
      </w:tr>
      <w:tr w:rsidR="00F73C30" w:rsidRPr="00820F24" w14:paraId="48933EED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9A163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pPCI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5172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-765.99 (-4,020.68, 3,141.65)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E4D44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-215.58 (-601.41, 171.10)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1527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0.28 (-0.71,1.31)</w:t>
            </w:r>
          </w:p>
        </w:tc>
      </w:tr>
      <w:tr w:rsidR="00F73C30" w:rsidRPr="00820F24" w14:paraId="61033AEE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1E80F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NR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58C0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-283.40(-304.95, -252.76)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744C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-1,221.69 (896.22, 1,567.181)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6A71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4.31 (3.44-5.21)</w:t>
            </w:r>
          </w:p>
        </w:tc>
      </w:tr>
      <w:tr w:rsidR="00F73C30" w:rsidRPr="00820F24" w14:paraId="264A2617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9A0C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30-day mortality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932F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ICER ($ USD/Effect)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16DC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Cost difference ($ USD)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FD3E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Effect difference (%)</w:t>
            </w:r>
          </w:p>
        </w:tc>
      </w:tr>
      <w:tr w:rsidR="00F73C30" w:rsidRPr="00820F24" w14:paraId="37C2F63B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0FC9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pPCI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33D1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-129.50 (-810.57, 455.06)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8955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-215.58 (-601.41, 171.10)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4265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1.64 (-1.05, 4.43)</w:t>
            </w:r>
          </w:p>
        </w:tc>
      </w:tr>
      <w:tr w:rsidR="00F73C30" w:rsidRPr="00820F24" w14:paraId="20BD054A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1198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NR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DE17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-165.27 (-224.06, -123.52)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0B72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-1,221.69 (896.22, 1,567.181)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EE41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7.39 (4.91, 10.26)</w:t>
            </w:r>
          </w:p>
        </w:tc>
      </w:tr>
      <w:tr w:rsidR="00F73C30" w:rsidRPr="00820F24" w14:paraId="4792FC77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9AEA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MACE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AADE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ICER ($ USD/Effect)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EF8C4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Cost difference ($ USD)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4341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Effect difference (%)</w:t>
            </w:r>
          </w:p>
        </w:tc>
      </w:tr>
      <w:tr w:rsidR="00F73C30" w:rsidRPr="00820F24" w14:paraId="710AC5E6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31A0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pPCI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C382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-35.81 (-114.73, 64.81)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119C8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-215.58 (-601.41, 171.10)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F967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4.5 (1.23, 10.74)</w:t>
            </w:r>
          </w:p>
        </w:tc>
      </w:tr>
      <w:tr w:rsidR="00F73C30" w:rsidRPr="00820F24" w14:paraId="5D8E6022" w14:textId="77777777" w:rsidTr="008C2A9A">
        <w:trPr>
          <w:trHeight w:val="515"/>
        </w:trPr>
        <w:tc>
          <w:tcPr>
            <w:tcW w:w="2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EE88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  <w:b/>
              </w:rPr>
            </w:pPr>
            <w:r w:rsidRPr="00820F24">
              <w:rPr>
                <w:rFonts w:ascii="Arial" w:eastAsia="Arial" w:hAnsi="Arial" w:cs="Arial"/>
                <w:b/>
              </w:rPr>
              <w:t>PI vs NR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B97D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-271.60(-1,086.10, -144.93)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C156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-1,221.69 (896.22, 1,567.181)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BA4F" w14:textId="77777777" w:rsidR="00F73C30" w:rsidRPr="00820F24" w:rsidRDefault="00F73C30" w:rsidP="008C2A9A">
            <w:pPr>
              <w:spacing w:before="240" w:after="0" w:line="276" w:lineRule="auto"/>
              <w:rPr>
                <w:rFonts w:ascii="Arial" w:eastAsia="Arial" w:hAnsi="Arial" w:cs="Arial"/>
              </w:rPr>
            </w:pPr>
            <w:r w:rsidRPr="00820F24">
              <w:rPr>
                <w:rFonts w:ascii="Arial" w:eastAsia="Arial" w:hAnsi="Arial" w:cs="Arial"/>
              </w:rPr>
              <w:t>6.02 (0.61, 8.63)</w:t>
            </w:r>
          </w:p>
        </w:tc>
      </w:tr>
    </w:tbl>
    <w:p w14:paraId="7F0DA3E7" w14:textId="2D37EFA5" w:rsidR="007F33DD" w:rsidRPr="008E7F60" w:rsidRDefault="00F73C30" w:rsidP="007F33DD">
      <w:pPr>
        <w:spacing w:after="0" w:line="276" w:lineRule="auto"/>
        <w:rPr>
          <w:rFonts w:ascii="Arial" w:eastAsia="Arial" w:hAnsi="Arial" w:cs="Arial"/>
          <w:lang w:val="en-US"/>
        </w:rPr>
      </w:pPr>
      <w:r w:rsidRPr="00820F24">
        <w:rPr>
          <w:rFonts w:ascii="Arial" w:eastAsia="Arial" w:hAnsi="Arial" w:cs="Arial"/>
        </w:rPr>
        <w:t xml:space="preserve"> PI, pharmacoinvasive strategy; pPCI, primary percutaneous coronary intervention; NR, non-</w:t>
      </w:r>
      <w:proofErr w:type="spellStart"/>
      <w:r w:rsidRPr="00820F24">
        <w:rPr>
          <w:rFonts w:ascii="Arial" w:eastAsia="Arial" w:hAnsi="Arial" w:cs="Arial"/>
        </w:rPr>
        <w:t>reperfused</w:t>
      </w:r>
      <w:proofErr w:type="spellEnd"/>
      <w:r w:rsidR="0008509E">
        <w:rPr>
          <w:rFonts w:ascii="Arial" w:eastAsia="Arial" w:hAnsi="Arial" w:cs="Arial"/>
        </w:rPr>
        <w:t>;</w:t>
      </w:r>
      <w:r w:rsidR="007F33DD">
        <w:rPr>
          <w:rFonts w:ascii="Arial" w:eastAsia="Arial" w:hAnsi="Arial" w:cs="Arial"/>
        </w:rPr>
        <w:t xml:space="preserve"> </w:t>
      </w:r>
      <w:r w:rsidR="007F33DD">
        <w:rPr>
          <w:rFonts w:ascii="Arial" w:eastAsia="Arial" w:hAnsi="Arial" w:cs="Arial"/>
          <w:lang w:val="en-US"/>
        </w:rPr>
        <w:t>USD</w:t>
      </w:r>
      <w:r w:rsidR="0008509E">
        <w:rPr>
          <w:rFonts w:ascii="Arial" w:eastAsia="Arial" w:hAnsi="Arial" w:cs="Arial"/>
          <w:lang w:val="en-US"/>
        </w:rPr>
        <w:t>,</w:t>
      </w:r>
      <w:r w:rsidR="007F33DD">
        <w:rPr>
          <w:rFonts w:ascii="Arial" w:eastAsia="Arial" w:hAnsi="Arial" w:cs="Arial"/>
          <w:lang w:val="en-US"/>
        </w:rPr>
        <w:t xml:space="preserve"> US dollars</w:t>
      </w:r>
      <w:r w:rsidR="007F33DD" w:rsidRPr="008E7F60">
        <w:rPr>
          <w:rFonts w:ascii="Arial" w:eastAsia="Arial" w:hAnsi="Arial" w:cs="Arial"/>
          <w:lang w:val="en-US"/>
        </w:rPr>
        <w:t>.</w:t>
      </w:r>
    </w:p>
    <w:p w14:paraId="3A0AE6DF" w14:textId="4955D053" w:rsidR="00F73C30" w:rsidRPr="00820F24" w:rsidRDefault="00F73C30" w:rsidP="00F73C30">
      <w:pPr>
        <w:spacing w:after="0" w:line="276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</w:rPr>
        <w:t>.</w:t>
      </w:r>
    </w:p>
    <w:p w14:paraId="59B0B81C" w14:textId="40B1AB00" w:rsidR="00F73C30" w:rsidRDefault="00F73C30" w:rsidP="00F73C30">
      <w:pPr>
        <w:spacing w:after="0" w:line="276" w:lineRule="auto"/>
      </w:pPr>
    </w:p>
    <w:p w14:paraId="7AF9F6BD" w14:textId="627BA566" w:rsidR="00F73C30" w:rsidRDefault="00F73C30" w:rsidP="00F73C30">
      <w:pPr>
        <w:spacing w:after="0" w:line="276" w:lineRule="auto"/>
      </w:pPr>
    </w:p>
    <w:p w14:paraId="3C8513E5" w14:textId="047AFB12" w:rsidR="00F73C30" w:rsidRDefault="00DB5361" w:rsidP="00F73C30">
      <w:pPr>
        <w:spacing w:after="0" w:line="276" w:lineRule="auto"/>
      </w:pPr>
      <w:r>
        <w:rPr>
          <w:noProof/>
        </w:rPr>
        <w:drawing>
          <wp:inline distT="0" distB="0" distL="0" distR="0" wp14:anchorId="7CFEA2CC" wp14:editId="2D75F075">
            <wp:extent cx="6770915" cy="507818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05" cy="50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413E" w14:textId="11FE73C6" w:rsidR="00F73C30" w:rsidRPr="00820F24" w:rsidRDefault="00F73C30" w:rsidP="00F73C30">
      <w:pPr>
        <w:spacing w:after="0" w:line="276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  <w:b/>
        </w:rPr>
        <w:lastRenderedPageBreak/>
        <w:t xml:space="preserve">Figure </w:t>
      </w:r>
      <w:r w:rsidR="002764B8">
        <w:rPr>
          <w:rFonts w:ascii="Arial" w:eastAsia="Arial" w:hAnsi="Arial" w:cs="Arial"/>
          <w:b/>
        </w:rPr>
        <w:t>S1</w:t>
      </w:r>
      <w:r w:rsidRPr="00820F24">
        <w:rPr>
          <w:rFonts w:ascii="Arial" w:eastAsia="Arial" w:hAnsi="Arial" w:cs="Arial"/>
          <w:b/>
        </w:rPr>
        <w:t xml:space="preserve">. </w:t>
      </w:r>
      <w:r w:rsidRPr="00820F24">
        <w:rPr>
          <w:rFonts w:ascii="Arial" w:eastAsia="Arial" w:hAnsi="Arial" w:cs="Arial"/>
        </w:rPr>
        <w:t>Comparison of length of stay by treatment strategy.</w:t>
      </w:r>
    </w:p>
    <w:p w14:paraId="5CC2DF55" w14:textId="77777777" w:rsidR="00F73C30" w:rsidRPr="00820F24" w:rsidRDefault="00F73C30" w:rsidP="00F73C30">
      <w:pPr>
        <w:spacing w:after="0" w:line="276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</w:rPr>
        <w:t>PI, pharmacoinvasive strategy; pPCI, primary percutaneous coronary intervention; NR, non-</w:t>
      </w:r>
      <w:proofErr w:type="spellStart"/>
      <w:r w:rsidRPr="00820F24">
        <w:rPr>
          <w:rFonts w:ascii="Arial" w:eastAsia="Arial" w:hAnsi="Arial" w:cs="Arial"/>
        </w:rPr>
        <w:t>reperfused</w:t>
      </w:r>
      <w:proofErr w:type="spellEnd"/>
      <w:r w:rsidRPr="00820F24">
        <w:rPr>
          <w:rFonts w:ascii="Arial" w:eastAsia="Arial" w:hAnsi="Arial" w:cs="Arial"/>
        </w:rPr>
        <w:t xml:space="preserve">. </w:t>
      </w:r>
    </w:p>
    <w:p w14:paraId="3AFEAABA" w14:textId="59FB073D" w:rsidR="00F73C30" w:rsidRPr="00820F24" w:rsidRDefault="00F73C30" w:rsidP="00F73C30">
      <w:pPr>
        <w:spacing w:after="0" w:line="276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</w:rPr>
        <w:t xml:space="preserve"> </w:t>
      </w:r>
      <w:r w:rsidR="00DB5361">
        <w:rPr>
          <w:rFonts w:ascii="Arial" w:eastAsia="Arial" w:hAnsi="Arial" w:cs="Arial"/>
          <w:noProof/>
        </w:rPr>
        <w:drawing>
          <wp:inline distT="0" distB="0" distL="0" distR="0" wp14:anchorId="0E518688" wp14:editId="2F821CF9">
            <wp:extent cx="8120743" cy="41153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032" cy="41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299D" w14:textId="0FB29B4C" w:rsidR="00F73C30" w:rsidRDefault="00F73C30" w:rsidP="00F73C30">
      <w:pPr>
        <w:spacing w:after="0" w:line="276" w:lineRule="auto"/>
        <w:rPr>
          <w:rFonts w:ascii="Arial" w:eastAsia="Arial" w:hAnsi="Arial" w:cs="Arial"/>
        </w:rPr>
      </w:pPr>
      <w:r w:rsidRPr="00820F24">
        <w:rPr>
          <w:rFonts w:ascii="Arial" w:eastAsia="Arial" w:hAnsi="Arial" w:cs="Arial"/>
          <w:b/>
        </w:rPr>
        <w:t xml:space="preserve">Figure </w:t>
      </w:r>
      <w:r w:rsidR="002764B8">
        <w:rPr>
          <w:rFonts w:ascii="Arial" w:eastAsia="Arial" w:hAnsi="Arial" w:cs="Arial"/>
          <w:b/>
        </w:rPr>
        <w:t>S2</w:t>
      </w:r>
      <w:r w:rsidRPr="00820F24">
        <w:rPr>
          <w:rFonts w:ascii="Arial" w:eastAsia="Arial" w:hAnsi="Arial" w:cs="Arial"/>
          <w:b/>
        </w:rPr>
        <w:t xml:space="preserve">. </w:t>
      </w:r>
      <w:r w:rsidRPr="00820F24">
        <w:rPr>
          <w:rFonts w:ascii="Arial" w:eastAsia="Arial" w:hAnsi="Arial" w:cs="Arial"/>
        </w:rPr>
        <w:t xml:space="preserve">Forest plot of Cox proportional hazard multivariable </w:t>
      </w:r>
      <w:proofErr w:type="spellStart"/>
      <w:r w:rsidRPr="00820F24">
        <w:rPr>
          <w:rFonts w:ascii="Arial" w:eastAsia="Arial" w:hAnsi="Arial" w:cs="Arial"/>
        </w:rPr>
        <w:t>modeling</w:t>
      </w:r>
      <w:proofErr w:type="spellEnd"/>
      <w:r w:rsidRPr="00820F24">
        <w:rPr>
          <w:rFonts w:ascii="Arial" w:eastAsia="Arial" w:hAnsi="Arial" w:cs="Arial"/>
        </w:rPr>
        <w:t xml:space="preserve"> on length of stay and mortality. Adjusted by age, sex, diabetes, active smoking status, Killip–Kimball score, history of acute myocardial infarction, heart failure, TIMI risk score, MACE, in-hospital stay</w:t>
      </w:r>
      <w:r w:rsidR="00AE122D">
        <w:rPr>
          <w:rFonts w:ascii="Arial" w:eastAsia="Arial" w:hAnsi="Arial" w:cs="Arial"/>
        </w:rPr>
        <w:t>,</w:t>
      </w:r>
      <w:r w:rsidRPr="00820F24">
        <w:rPr>
          <w:rFonts w:ascii="Arial" w:eastAsia="Arial" w:hAnsi="Arial" w:cs="Arial"/>
        </w:rPr>
        <w:t xml:space="preserve"> and mortality.</w:t>
      </w:r>
      <w:r w:rsidR="00DB5361">
        <w:rPr>
          <w:rFonts w:ascii="Arial" w:eastAsia="Arial" w:hAnsi="Arial" w:cs="Arial"/>
        </w:rPr>
        <w:t xml:space="preserve"> </w:t>
      </w:r>
      <w:r w:rsidRPr="00820F24">
        <w:rPr>
          <w:rFonts w:ascii="Arial" w:eastAsia="Arial" w:hAnsi="Arial" w:cs="Arial"/>
        </w:rPr>
        <w:t xml:space="preserve">PI, pharmacoinvasive strategy; pPCI, primary percutaneous coronary intervention.  </w:t>
      </w:r>
    </w:p>
    <w:p w14:paraId="135A2354" w14:textId="0409FC5A" w:rsidR="00DB5361" w:rsidRDefault="00DB5361" w:rsidP="00F73C30">
      <w:pPr>
        <w:spacing w:after="0" w:line="276" w:lineRule="auto"/>
        <w:rPr>
          <w:rFonts w:ascii="Arial" w:eastAsia="Arial" w:hAnsi="Arial" w:cs="Arial"/>
        </w:rPr>
      </w:pPr>
    </w:p>
    <w:p w14:paraId="0E22A9F8" w14:textId="62DF3515" w:rsidR="00DB5361" w:rsidRDefault="00DB5361" w:rsidP="00F73C30">
      <w:pPr>
        <w:spacing w:after="0" w:line="276" w:lineRule="auto"/>
        <w:rPr>
          <w:rFonts w:ascii="Arial" w:eastAsia="Arial" w:hAnsi="Arial" w:cs="Arial"/>
        </w:rPr>
      </w:pPr>
    </w:p>
    <w:p w14:paraId="4444C302" w14:textId="1CFA0CB4" w:rsidR="00DB5361" w:rsidRDefault="00DB5361" w:rsidP="00F73C30">
      <w:pPr>
        <w:spacing w:after="0" w:line="276" w:lineRule="auto"/>
        <w:rPr>
          <w:rFonts w:ascii="Arial" w:eastAsia="Arial" w:hAnsi="Arial" w:cs="Arial"/>
        </w:rPr>
      </w:pPr>
    </w:p>
    <w:p w14:paraId="3FC61B39" w14:textId="2E0F3EA3" w:rsidR="00DB5361" w:rsidRDefault="00DB5361" w:rsidP="00F73C30">
      <w:pPr>
        <w:spacing w:after="0" w:line="276" w:lineRule="auto"/>
        <w:rPr>
          <w:rFonts w:ascii="Arial" w:eastAsia="Arial" w:hAnsi="Arial" w:cs="Arial"/>
        </w:rPr>
      </w:pPr>
    </w:p>
    <w:p w14:paraId="19E2C065" w14:textId="1140FB59" w:rsidR="00DB5361" w:rsidRPr="00820F24" w:rsidRDefault="00DB5361" w:rsidP="00F73C3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4F73A9C" wp14:editId="52190A0F">
            <wp:extent cx="6814457" cy="4637437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64" cy="46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B811" w14:textId="77777777" w:rsidR="00F73C30" w:rsidRDefault="00F73C30" w:rsidP="00F73C30">
      <w:pPr>
        <w:shd w:val="clear" w:color="auto" w:fill="FFFFFF"/>
        <w:spacing w:after="0" w:line="276" w:lineRule="auto"/>
        <w:rPr>
          <w:rFonts w:ascii="Arial" w:eastAsia="Arial" w:hAnsi="Arial" w:cs="Arial"/>
          <w:b/>
          <w:bCs/>
        </w:rPr>
      </w:pPr>
    </w:p>
    <w:p w14:paraId="780B1DA0" w14:textId="36437AC6" w:rsidR="005D5F6D" w:rsidRPr="008E7F60" w:rsidRDefault="00F73C30" w:rsidP="005D5F6D">
      <w:pPr>
        <w:spacing w:after="0" w:line="276" w:lineRule="auto"/>
        <w:rPr>
          <w:rFonts w:ascii="Arial" w:eastAsia="Arial" w:hAnsi="Arial" w:cs="Arial"/>
          <w:lang w:val="en-US"/>
        </w:rPr>
      </w:pPr>
      <w:r w:rsidRPr="00820F24">
        <w:rPr>
          <w:rFonts w:ascii="Arial" w:eastAsia="Arial" w:hAnsi="Arial" w:cs="Arial"/>
          <w:b/>
          <w:bCs/>
        </w:rPr>
        <w:t xml:space="preserve">Figure </w:t>
      </w:r>
      <w:r w:rsidR="002764B8">
        <w:rPr>
          <w:rFonts w:ascii="Arial" w:eastAsia="Arial" w:hAnsi="Arial" w:cs="Arial"/>
          <w:b/>
          <w:bCs/>
        </w:rPr>
        <w:t>S3</w:t>
      </w:r>
      <w:r w:rsidRPr="00820F24">
        <w:rPr>
          <w:rFonts w:ascii="Arial" w:eastAsia="Arial" w:hAnsi="Arial" w:cs="Arial"/>
          <w:b/>
          <w:bCs/>
        </w:rPr>
        <w:t>.</w:t>
      </w:r>
      <w:r w:rsidRPr="00820F24">
        <w:rPr>
          <w:rFonts w:ascii="Arial" w:eastAsia="Arial" w:hAnsi="Arial" w:cs="Arial"/>
        </w:rPr>
        <w:t xml:space="preserve"> One-way tornado plot is color-coded to identify different willingness-to-pay (WTP) thresholds</w:t>
      </w:r>
      <w:r w:rsidR="005D5F6D">
        <w:rPr>
          <w:rFonts w:ascii="Arial" w:eastAsia="Arial" w:hAnsi="Arial" w:cs="Arial"/>
        </w:rPr>
        <w:t xml:space="preserve"> in $ </w:t>
      </w:r>
      <w:r w:rsidR="005D5F6D">
        <w:rPr>
          <w:rFonts w:ascii="Arial" w:eastAsia="Arial" w:hAnsi="Arial" w:cs="Arial"/>
          <w:lang w:val="en-US"/>
        </w:rPr>
        <w:t>US dollars</w:t>
      </w:r>
      <w:r w:rsidR="005D5F6D" w:rsidRPr="008E7F60">
        <w:rPr>
          <w:rFonts w:ascii="Arial" w:eastAsia="Arial" w:hAnsi="Arial" w:cs="Arial"/>
          <w:lang w:val="en-US"/>
        </w:rPr>
        <w:t>.</w:t>
      </w:r>
    </w:p>
    <w:p w14:paraId="75809E46" w14:textId="5D7C7D1B" w:rsidR="00BA6E9E" w:rsidRDefault="00F73C30" w:rsidP="00C11698">
      <w:pPr>
        <w:shd w:val="clear" w:color="auto" w:fill="FFFFFF"/>
        <w:spacing w:after="0" w:line="276" w:lineRule="auto"/>
      </w:pPr>
      <w:r w:rsidRPr="00820F24">
        <w:rPr>
          <w:rFonts w:ascii="Arial" w:eastAsia="Arial" w:hAnsi="Arial" w:cs="Arial"/>
        </w:rPr>
        <w:lastRenderedPageBreak/>
        <w:t>. Green indicates a cost-saving ICER &lt;0. Yellow indicates a very cost-effective 0–1</w:t>
      </w:r>
      <w:r w:rsidRPr="00820F24">
        <w:rPr>
          <w:rFonts w:ascii="Arial" w:eastAsia="Arial" w:hAnsi="Arial" w:cs="Arial"/>
        </w:rPr>
        <w:sym w:font="Symbol" w:char="F0B4"/>
      </w:r>
      <w:r w:rsidRPr="00820F24">
        <w:rPr>
          <w:rFonts w:ascii="Arial" w:eastAsia="Arial" w:hAnsi="Arial" w:cs="Arial"/>
        </w:rPr>
        <w:t xml:space="preserve"> Mx-GDP. Orange indicates a WTP threshold 1–3</w:t>
      </w:r>
      <w:r w:rsidRPr="00820F24">
        <w:rPr>
          <w:rFonts w:ascii="Arial" w:eastAsia="Arial" w:hAnsi="Arial" w:cs="Arial"/>
        </w:rPr>
        <w:sym w:font="Symbol" w:char="F0B4"/>
      </w:r>
      <w:r w:rsidRPr="00820F24">
        <w:rPr>
          <w:rFonts w:ascii="Arial" w:eastAsia="Arial" w:hAnsi="Arial" w:cs="Arial"/>
        </w:rPr>
        <w:t xml:space="preserve"> Mx-GDP. Red indicates variable inputs that exceed a WTP threshold (&gt;3</w:t>
      </w:r>
      <w:r w:rsidRPr="00820F24">
        <w:rPr>
          <w:rFonts w:ascii="Arial" w:eastAsia="Arial" w:hAnsi="Arial" w:cs="Arial"/>
        </w:rPr>
        <w:sym w:font="Symbol" w:char="F0B4"/>
      </w:r>
      <w:r w:rsidRPr="00820F24">
        <w:rPr>
          <w:rFonts w:ascii="Arial" w:eastAsia="Arial" w:hAnsi="Arial" w:cs="Arial"/>
        </w:rPr>
        <w:t xml:space="preserve"> Mx-GDP).</w:t>
      </w:r>
      <w:r w:rsidR="00DB5361">
        <w:rPr>
          <w:rFonts w:ascii="Arial" w:eastAsia="Arial" w:hAnsi="Arial" w:cs="Arial"/>
        </w:rPr>
        <w:t xml:space="preserve"> </w:t>
      </w:r>
      <w:r w:rsidRPr="00820F24">
        <w:rPr>
          <w:rFonts w:ascii="Arial" w:eastAsia="Arial" w:hAnsi="Arial" w:cs="Arial"/>
        </w:rPr>
        <w:t xml:space="preserve">Mx-GDP, Mexico’s monthly gross domestic product per capita. </w:t>
      </w:r>
    </w:p>
    <w:sectPr w:rsidR="00BA6E9E" w:rsidSect="00F73C3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zNDMxMDY1MzIysrRQ0lEKTi0uzszPAymwrAUA/OvdRiwAAAA="/>
  </w:docVars>
  <w:rsids>
    <w:rsidRoot w:val="00542235"/>
    <w:rsid w:val="0008509E"/>
    <w:rsid w:val="002764B8"/>
    <w:rsid w:val="00542235"/>
    <w:rsid w:val="005B664F"/>
    <w:rsid w:val="005D5F6D"/>
    <w:rsid w:val="006F3FF8"/>
    <w:rsid w:val="007F33DD"/>
    <w:rsid w:val="00A5210F"/>
    <w:rsid w:val="00AE122D"/>
    <w:rsid w:val="00B2423A"/>
    <w:rsid w:val="00BA6E9E"/>
    <w:rsid w:val="00BF40FB"/>
    <w:rsid w:val="00C11698"/>
    <w:rsid w:val="00D417B7"/>
    <w:rsid w:val="00DB5361"/>
    <w:rsid w:val="00DD5C2E"/>
    <w:rsid w:val="00DE649F"/>
    <w:rsid w:val="00F7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8376F"/>
  <w15:chartTrackingRefBased/>
  <w15:docId w15:val="{AB32AF9F-CF33-4227-9030-35244D80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30"/>
    <w:rPr>
      <w:rFonts w:ascii="Calibri" w:eastAsia="Calibri" w:hAnsi="Calibri" w:cs="Calibri"/>
      <w:lang w:val="en-GB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 Ortega</dc:creator>
  <cp:keywords/>
  <dc:description/>
  <cp:lastModifiedBy>Jorge A Ortega</cp:lastModifiedBy>
  <cp:revision>17</cp:revision>
  <dcterms:created xsi:type="dcterms:W3CDTF">2022-11-23T16:49:00Z</dcterms:created>
  <dcterms:modified xsi:type="dcterms:W3CDTF">2023-10-21T01:05:00Z</dcterms:modified>
</cp:coreProperties>
</file>