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24C7" w14:textId="555828AE" w:rsidR="005646BA" w:rsidRPr="005555C9" w:rsidRDefault="00F3532C" w:rsidP="005646BA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5555C9">
        <w:rPr>
          <w:rFonts w:ascii="Arial" w:hAnsi="Arial" w:cs="Arial"/>
          <w:b/>
          <w:bCs/>
          <w:sz w:val="20"/>
          <w:szCs w:val="20"/>
        </w:rPr>
        <w:t>Supplementary materials</w:t>
      </w:r>
      <w:r w:rsidRPr="005555C9">
        <w:rPr>
          <w:rFonts w:ascii="Arial" w:hAnsi="Arial" w:cs="Arial"/>
          <w:b/>
          <w:bCs/>
          <w:sz w:val="20"/>
          <w:szCs w:val="20"/>
        </w:rPr>
        <w:br/>
      </w:r>
      <w:r w:rsidR="005646BA" w:rsidRPr="005555C9">
        <w:rPr>
          <w:rFonts w:ascii="Arial" w:hAnsi="Arial" w:cs="Arial"/>
          <w:b/>
          <w:bCs/>
          <w:sz w:val="20"/>
          <w:szCs w:val="20"/>
        </w:rPr>
        <w:t>Supplementary Table 1.</w:t>
      </w:r>
      <w:r w:rsidR="005646BA" w:rsidRPr="005555C9">
        <w:rPr>
          <w:rFonts w:ascii="Arial" w:hAnsi="Arial" w:cs="Arial"/>
          <w:sz w:val="20"/>
          <w:szCs w:val="20"/>
        </w:rPr>
        <w:t xml:space="preserve"> </w:t>
      </w:r>
      <w:r w:rsidR="00441FBB" w:rsidRPr="005555C9">
        <w:rPr>
          <w:rFonts w:ascii="Arial" w:hAnsi="Arial" w:cs="Arial"/>
          <w:sz w:val="20"/>
          <w:szCs w:val="20"/>
        </w:rPr>
        <w:t>ICD-10-CM codes for ST-elevation myocardial infarction and non-ST-elevation myocardial infarction</w:t>
      </w:r>
      <w:r w:rsidR="00E46706" w:rsidRPr="005555C9">
        <w:rPr>
          <w:rFonts w:ascii="Arial" w:hAnsi="Arial" w:cs="Arial"/>
          <w:sz w:val="20"/>
          <w:szCs w:val="20"/>
        </w:rPr>
        <w:t>.</w:t>
      </w:r>
    </w:p>
    <w:p w14:paraId="5D0D7664" w14:textId="6212F07D" w:rsidR="00E46706" w:rsidRPr="005555C9" w:rsidRDefault="005646BA" w:rsidP="0000186B">
      <w:pPr>
        <w:rPr>
          <w:rFonts w:ascii="Arial" w:hAnsi="Arial" w:cs="Arial"/>
          <w:b/>
          <w:bCs/>
          <w:sz w:val="20"/>
          <w:szCs w:val="20"/>
        </w:rPr>
      </w:pPr>
      <w:r w:rsidRPr="005555C9">
        <w:rPr>
          <w:rFonts w:ascii="Arial" w:hAnsi="Arial" w:cs="Arial"/>
          <w:b/>
          <w:bCs/>
          <w:sz w:val="20"/>
          <w:szCs w:val="20"/>
        </w:rPr>
        <w:t>Supplementary Table 2.</w:t>
      </w:r>
      <w:r w:rsidRPr="005555C9">
        <w:rPr>
          <w:rFonts w:ascii="Arial" w:hAnsi="Arial" w:cs="Arial"/>
          <w:sz w:val="20"/>
          <w:szCs w:val="20"/>
        </w:rPr>
        <w:t xml:space="preserve"> </w:t>
      </w:r>
      <w:r w:rsidR="00E46706" w:rsidRPr="005555C9">
        <w:rPr>
          <w:rFonts w:ascii="Arial" w:hAnsi="Arial" w:cs="Arial"/>
          <w:sz w:val="20"/>
          <w:szCs w:val="20"/>
        </w:rPr>
        <w:t>Keywords used for screening the diagnos</w:t>
      </w:r>
      <w:r w:rsidR="009126E7" w:rsidRPr="005555C9">
        <w:rPr>
          <w:rFonts w:ascii="Arial" w:hAnsi="Arial" w:cs="Arial"/>
          <w:sz w:val="20"/>
          <w:szCs w:val="20"/>
        </w:rPr>
        <w:t>es</w:t>
      </w:r>
      <w:r w:rsidR="00E46706" w:rsidRPr="005555C9">
        <w:rPr>
          <w:rFonts w:ascii="Arial" w:hAnsi="Arial" w:cs="Arial"/>
          <w:sz w:val="20"/>
          <w:szCs w:val="20"/>
        </w:rPr>
        <w:t xml:space="preserve"> in </w:t>
      </w:r>
      <w:r w:rsidR="009126E7" w:rsidRPr="005555C9">
        <w:rPr>
          <w:rFonts w:ascii="Arial" w:hAnsi="Arial" w:cs="Arial"/>
          <w:sz w:val="20"/>
          <w:szCs w:val="20"/>
        </w:rPr>
        <w:t xml:space="preserve">the </w:t>
      </w:r>
      <w:r w:rsidR="00E46706" w:rsidRPr="005555C9">
        <w:rPr>
          <w:rFonts w:ascii="Arial" w:hAnsi="Arial" w:cs="Arial"/>
          <w:sz w:val="20"/>
          <w:szCs w:val="20"/>
        </w:rPr>
        <w:t xml:space="preserve">discharge </w:t>
      </w:r>
      <w:r w:rsidR="009126E7" w:rsidRPr="005555C9">
        <w:rPr>
          <w:rFonts w:ascii="Arial" w:hAnsi="Arial" w:cs="Arial"/>
          <w:sz w:val="20"/>
          <w:szCs w:val="20"/>
        </w:rPr>
        <w:t>summary</w:t>
      </w:r>
      <w:r w:rsidR="00E46706" w:rsidRPr="005555C9">
        <w:rPr>
          <w:rFonts w:ascii="Arial" w:hAnsi="Arial" w:cs="Arial"/>
          <w:sz w:val="20"/>
          <w:szCs w:val="20"/>
        </w:rPr>
        <w:t>.</w:t>
      </w:r>
    </w:p>
    <w:p w14:paraId="53926AA9" w14:textId="77777777" w:rsidR="00E46706" w:rsidRPr="005555C9" w:rsidRDefault="0000186B" w:rsidP="00E46706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b/>
          <w:bCs/>
          <w:sz w:val="20"/>
          <w:szCs w:val="20"/>
        </w:rPr>
        <w:t>Supplementary Table 3.</w:t>
      </w:r>
      <w:r w:rsidRPr="005555C9">
        <w:rPr>
          <w:rFonts w:ascii="Arial" w:hAnsi="Arial" w:cs="Arial"/>
          <w:sz w:val="20"/>
          <w:szCs w:val="20"/>
        </w:rPr>
        <w:t xml:space="preserve"> </w:t>
      </w:r>
      <w:r w:rsidR="00E46706" w:rsidRPr="005555C9">
        <w:rPr>
          <w:rFonts w:ascii="Arial" w:hAnsi="Arial" w:cs="Arial"/>
          <w:sz w:val="20"/>
          <w:szCs w:val="20"/>
        </w:rPr>
        <w:t>Procedure codes used for screening potential cases of acute myocardial infarction.</w:t>
      </w:r>
    </w:p>
    <w:p w14:paraId="29FA351C" w14:textId="759C39AF" w:rsidR="009B0903" w:rsidRPr="005555C9" w:rsidRDefault="009B0903" w:rsidP="00E46706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b/>
          <w:bCs/>
          <w:sz w:val="20"/>
          <w:szCs w:val="20"/>
        </w:rPr>
        <w:t xml:space="preserve">Supplementary Table 4. </w:t>
      </w:r>
      <w:r w:rsidRPr="005555C9">
        <w:rPr>
          <w:rFonts w:ascii="Arial" w:hAnsi="Arial" w:cs="Arial"/>
          <w:sz w:val="20"/>
          <w:szCs w:val="20"/>
        </w:rPr>
        <w:t>Diagnostic criteria of ST-elevation myocardial infarction and non-ST-elevation myocardial infarction based on medical record review.</w:t>
      </w:r>
    </w:p>
    <w:p w14:paraId="40F5C3CA" w14:textId="4ED47BD8" w:rsidR="0000186B" w:rsidRPr="005555C9" w:rsidRDefault="0000186B" w:rsidP="00E46706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b/>
          <w:bCs/>
          <w:sz w:val="20"/>
          <w:szCs w:val="20"/>
          <w:lang w:val="en-GB"/>
        </w:rPr>
        <w:t xml:space="preserve">Supplementary Table </w:t>
      </w:r>
      <w:r w:rsidR="009B0903" w:rsidRPr="005555C9">
        <w:rPr>
          <w:rFonts w:ascii="Arial" w:hAnsi="Arial" w:cs="Arial"/>
          <w:b/>
          <w:bCs/>
          <w:sz w:val="20"/>
          <w:szCs w:val="20"/>
          <w:lang w:val="en-GB"/>
        </w:rPr>
        <w:t>5</w:t>
      </w:r>
      <w:r w:rsidRPr="005555C9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E46706" w:rsidRPr="005555C9">
        <w:rPr>
          <w:rFonts w:ascii="Arial" w:hAnsi="Arial" w:cs="Arial"/>
          <w:b/>
          <w:bCs/>
          <w:sz w:val="20"/>
          <w:szCs w:val="20"/>
        </w:rPr>
        <w:t xml:space="preserve"> </w:t>
      </w:r>
      <w:r w:rsidR="00E46706" w:rsidRPr="005555C9">
        <w:rPr>
          <w:rFonts w:ascii="Arial" w:hAnsi="Arial" w:cs="Arial"/>
          <w:sz w:val="20"/>
          <w:szCs w:val="20"/>
          <w:lang w:val="en-GB"/>
        </w:rPr>
        <w:t>Performance of algorithms for all patients (n = 197,490)</w:t>
      </w:r>
      <w:r w:rsidR="00D35C9B" w:rsidRPr="005555C9">
        <w:rPr>
          <w:rFonts w:ascii="Arial" w:hAnsi="Arial" w:cs="Arial"/>
          <w:sz w:val="20"/>
          <w:szCs w:val="20"/>
          <w:lang w:val="en-GB"/>
        </w:rPr>
        <w:t xml:space="preserve"> in the development cohort</w:t>
      </w:r>
      <w:r w:rsidR="00E46706" w:rsidRPr="005555C9">
        <w:rPr>
          <w:rFonts w:ascii="Arial" w:hAnsi="Arial" w:cs="Arial"/>
          <w:sz w:val="20"/>
          <w:szCs w:val="20"/>
          <w:lang w:val="en-GB"/>
        </w:rPr>
        <w:t>.</w:t>
      </w:r>
    </w:p>
    <w:p w14:paraId="0DE2018C" w14:textId="77777777" w:rsidR="005646BA" w:rsidRPr="005555C9" w:rsidRDefault="005646BA" w:rsidP="005646BA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23B8230" w14:textId="77777777" w:rsidR="005646BA" w:rsidRPr="005555C9" w:rsidRDefault="005646BA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sz w:val="20"/>
          <w:szCs w:val="20"/>
        </w:rPr>
        <w:br w:type="page"/>
      </w:r>
    </w:p>
    <w:p w14:paraId="1D9935CA" w14:textId="33E8253F" w:rsidR="005646BA" w:rsidRPr="005555C9" w:rsidRDefault="00441FBB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5555C9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1. </w:t>
      </w:r>
      <w:r w:rsidRPr="005555C9">
        <w:rPr>
          <w:rFonts w:ascii="Arial" w:hAnsi="Arial" w:cs="Arial"/>
          <w:sz w:val="20"/>
          <w:szCs w:val="20"/>
        </w:rPr>
        <w:t>ICD-10-CM codes for ST-elevation myocardial infarction and non-ST-elevation myocardial infarction</w:t>
      </w:r>
    </w:p>
    <w:tbl>
      <w:tblPr>
        <w:tblW w:w="0" w:type="auto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8300"/>
      </w:tblGrid>
      <w:tr w:rsidR="005555C9" w:rsidRPr="005555C9" w14:paraId="18FE6953" w14:textId="77777777" w:rsidTr="00441FBB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2C032A9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6432D2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5555C9" w:rsidRPr="005555C9" w14:paraId="437FCD80" w14:textId="77777777" w:rsidTr="00441FBB">
        <w:trPr>
          <w:trHeight w:val="387"/>
        </w:trPr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1B501E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ST-segment elevation myocardial infarction </w:t>
            </w:r>
          </w:p>
        </w:tc>
      </w:tr>
      <w:tr w:rsidR="005555C9" w:rsidRPr="005555C9" w14:paraId="72339AFE" w14:textId="77777777" w:rsidTr="00441FB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FB82D7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I21.0x</w:t>
            </w: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D735B2" w14:textId="0FBE6EEC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ST-elevation myocardial infarction of anterior wall</w:t>
            </w:r>
          </w:p>
        </w:tc>
      </w:tr>
      <w:tr w:rsidR="005555C9" w:rsidRPr="005555C9" w14:paraId="594DD0AD" w14:textId="77777777" w:rsidTr="00441FB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CDFE5B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I21.1x</w:t>
            </w: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A3BB1B" w14:textId="2695C42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ST-elevation myocardial infarction of inferior wall</w:t>
            </w:r>
          </w:p>
        </w:tc>
      </w:tr>
      <w:tr w:rsidR="005555C9" w:rsidRPr="005555C9" w14:paraId="40D97819" w14:textId="77777777" w:rsidTr="00441FB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4B5CD5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I21.2x</w:t>
            </w: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352500" w14:textId="4F5F6A0B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ST-elevation myocardial infarction of other sites</w:t>
            </w:r>
          </w:p>
        </w:tc>
      </w:tr>
      <w:tr w:rsidR="005555C9" w:rsidRPr="005555C9" w14:paraId="566C4E4F" w14:textId="77777777" w:rsidTr="00441FB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E11DBD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I21.3</w:t>
            </w: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3EC083" w14:textId="6E71AC2E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ST-elevation myocardial infarction of unspecified site</w:t>
            </w:r>
          </w:p>
        </w:tc>
      </w:tr>
      <w:tr w:rsidR="005555C9" w:rsidRPr="005555C9" w14:paraId="778147D8" w14:textId="77777777" w:rsidTr="00441FB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4051C0C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I21.9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311A8B1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Acute myocardial infarction, unspecified</w:t>
            </w:r>
          </w:p>
        </w:tc>
      </w:tr>
      <w:tr w:rsidR="005555C9" w:rsidRPr="005555C9" w14:paraId="3D443CC8" w14:textId="77777777" w:rsidTr="00441FBB">
        <w:trPr>
          <w:trHeight w:val="318"/>
        </w:trPr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AE167E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Non-ST-segment elevation myocardial infarction </w:t>
            </w:r>
          </w:p>
        </w:tc>
      </w:tr>
      <w:tr w:rsidR="005555C9" w:rsidRPr="005555C9" w14:paraId="72059C7D" w14:textId="77777777" w:rsidTr="00441FBB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DDCA217" w14:textId="77777777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I21.4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443399B" w14:textId="61B494B2" w:rsidR="00441FBB" w:rsidRPr="005555C9" w:rsidRDefault="00441F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Non-ST</w:t>
            </w:r>
            <w:r w:rsidR="005F41C1" w:rsidRPr="005555C9">
              <w:rPr>
                <w:rFonts w:ascii="Arial" w:hAnsi="Arial" w:cs="Arial"/>
                <w:sz w:val="20"/>
                <w:szCs w:val="20"/>
              </w:rPr>
              <w:t>-</w:t>
            </w:r>
            <w:r w:rsidRPr="005555C9">
              <w:rPr>
                <w:rFonts w:ascii="Arial" w:hAnsi="Arial" w:cs="Arial"/>
                <w:sz w:val="20"/>
                <w:szCs w:val="20"/>
              </w:rPr>
              <w:t>elevation myocardial infarction</w:t>
            </w:r>
          </w:p>
        </w:tc>
      </w:tr>
    </w:tbl>
    <w:p w14:paraId="42791093" w14:textId="49BE5C69" w:rsidR="002B78DE" w:rsidRPr="005555C9" w:rsidRDefault="00441FBB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b/>
          <w:bCs/>
          <w:sz w:val="20"/>
          <w:szCs w:val="20"/>
          <w:lang w:val="en-GB"/>
        </w:rPr>
        <w:t>Abbreviations:</w:t>
      </w:r>
      <w:r w:rsidRPr="005555C9">
        <w:rPr>
          <w:rFonts w:ascii="Arial" w:hAnsi="Arial" w:cs="Arial"/>
          <w:sz w:val="20"/>
          <w:szCs w:val="20"/>
          <w:lang w:val="en-GB"/>
        </w:rPr>
        <w:t xml:space="preserve"> ICD-10-CM, International Classification of Diseases, Tenth Revision, Clinical Modification.</w:t>
      </w:r>
    </w:p>
    <w:p w14:paraId="23E90183" w14:textId="3CEBB91C" w:rsidR="002B78DE" w:rsidRPr="005555C9" w:rsidRDefault="002B78DE">
      <w:pPr>
        <w:rPr>
          <w:rFonts w:ascii="Arial" w:hAnsi="Arial" w:cs="Arial"/>
          <w:sz w:val="20"/>
          <w:szCs w:val="20"/>
        </w:rPr>
      </w:pPr>
    </w:p>
    <w:p w14:paraId="3A293BB1" w14:textId="72496E1B" w:rsidR="002B78DE" w:rsidRPr="005555C9" w:rsidRDefault="002B78DE">
      <w:pPr>
        <w:rPr>
          <w:rFonts w:ascii="Arial" w:hAnsi="Arial" w:cs="Arial"/>
          <w:sz w:val="20"/>
          <w:szCs w:val="20"/>
        </w:rPr>
      </w:pPr>
    </w:p>
    <w:p w14:paraId="67098433" w14:textId="73219608" w:rsidR="005646BA" w:rsidRPr="005555C9" w:rsidRDefault="005646BA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sz w:val="20"/>
          <w:szCs w:val="20"/>
        </w:rPr>
        <w:br w:type="page"/>
      </w:r>
    </w:p>
    <w:p w14:paraId="6A859442" w14:textId="1CC6C941" w:rsidR="005646BA" w:rsidRPr="005555C9" w:rsidRDefault="00E46706">
      <w:pPr>
        <w:rPr>
          <w:rFonts w:ascii="Arial" w:hAnsi="Arial" w:cs="Arial"/>
          <w:i/>
          <w:iCs/>
          <w:sz w:val="20"/>
          <w:szCs w:val="20"/>
        </w:rPr>
      </w:pPr>
      <w:r w:rsidRPr="005555C9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2. </w:t>
      </w:r>
      <w:r w:rsidRPr="005555C9">
        <w:rPr>
          <w:rFonts w:ascii="Arial" w:hAnsi="Arial" w:cs="Arial"/>
          <w:sz w:val="20"/>
          <w:szCs w:val="20"/>
        </w:rPr>
        <w:t>Keywords used for screening the diagnos</w:t>
      </w:r>
      <w:r w:rsidR="00215F56" w:rsidRPr="005555C9">
        <w:rPr>
          <w:rFonts w:ascii="Arial" w:hAnsi="Arial" w:cs="Arial"/>
          <w:sz w:val="20"/>
          <w:szCs w:val="20"/>
        </w:rPr>
        <w:t>es</w:t>
      </w:r>
      <w:r w:rsidRPr="005555C9">
        <w:rPr>
          <w:rFonts w:ascii="Arial" w:hAnsi="Arial" w:cs="Arial"/>
          <w:sz w:val="20"/>
          <w:szCs w:val="20"/>
        </w:rPr>
        <w:t xml:space="preserve"> in </w:t>
      </w:r>
      <w:r w:rsidR="00215F56" w:rsidRPr="005555C9">
        <w:rPr>
          <w:rFonts w:ascii="Arial" w:hAnsi="Arial" w:cs="Arial"/>
          <w:sz w:val="20"/>
          <w:szCs w:val="20"/>
        </w:rPr>
        <w:t xml:space="preserve">the </w:t>
      </w:r>
      <w:r w:rsidRPr="005555C9">
        <w:rPr>
          <w:rFonts w:ascii="Arial" w:hAnsi="Arial" w:cs="Arial"/>
          <w:sz w:val="20"/>
          <w:szCs w:val="20"/>
        </w:rPr>
        <w:t xml:space="preserve">discharge </w:t>
      </w:r>
      <w:proofErr w:type="gramStart"/>
      <w:r w:rsidR="00215F56" w:rsidRPr="005555C9">
        <w:rPr>
          <w:rFonts w:ascii="Arial" w:hAnsi="Arial" w:cs="Arial"/>
          <w:sz w:val="20"/>
          <w:szCs w:val="20"/>
        </w:rPr>
        <w:t>summary</w:t>
      </w:r>
      <w:proofErr w:type="gramEnd"/>
    </w:p>
    <w:tbl>
      <w:tblPr>
        <w:tblW w:w="0" w:type="auto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0"/>
      </w:tblGrid>
      <w:tr w:rsidR="005555C9" w:rsidRPr="005555C9" w14:paraId="3042B816" w14:textId="77777777" w:rsidTr="00E46706">
        <w:trPr>
          <w:trHeight w:val="320"/>
        </w:trPr>
        <w:tc>
          <w:tcPr>
            <w:tcW w:w="9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A260F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Acute myocardial infarction</w:t>
            </w:r>
          </w:p>
        </w:tc>
      </w:tr>
      <w:tr w:rsidR="005555C9" w:rsidRPr="005555C9" w14:paraId="400B30DC" w14:textId="77777777" w:rsidTr="00E46706">
        <w:trPr>
          <w:trHeight w:val="32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</w:tcPr>
          <w:p w14:paraId="0A9CE509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ST-elevation myocardial infarction</w:t>
            </w:r>
          </w:p>
        </w:tc>
      </w:tr>
      <w:tr w:rsidR="005555C9" w:rsidRPr="005555C9" w14:paraId="206FE5A6" w14:textId="77777777" w:rsidTr="00E46706">
        <w:trPr>
          <w:trHeight w:val="32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</w:tcPr>
          <w:p w14:paraId="085E304E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Non-ST-elevation myocardial infarction</w:t>
            </w:r>
          </w:p>
        </w:tc>
      </w:tr>
      <w:tr w:rsidR="005555C9" w:rsidRPr="005555C9" w14:paraId="7AA8DD29" w14:textId="77777777" w:rsidTr="00E46706">
        <w:trPr>
          <w:trHeight w:val="32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</w:tcPr>
          <w:p w14:paraId="7FC9C574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Myocardial infarct*</w:t>
            </w:r>
          </w:p>
        </w:tc>
      </w:tr>
      <w:tr w:rsidR="005555C9" w:rsidRPr="005555C9" w14:paraId="25640547" w14:textId="77777777" w:rsidTr="00E46706">
        <w:trPr>
          <w:trHeight w:val="320"/>
        </w:trPr>
        <w:tc>
          <w:tcPr>
            <w:tcW w:w="97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396EFF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exclude:</w:t>
            </w:r>
            <w:r w:rsidRPr="005555C9">
              <w:rPr>
                <w:rFonts w:ascii="Arial" w:hAnsi="Arial" w:cs="Arial"/>
                <w:sz w:val="20"/>
                <w:szCs w:val="20"/>
              </w:rPr>
              <w:t xml:space="preserve"> old myocardial infarct*</w:t>
            </w:r>
          </w:p>
        </w:tc>
      </w:tr>
    </w:tbl>
    <w:p w14:paraId="24CB379F" w14:textId="4705B0AA" w:rsidR="00E46706" w:rsidRPr="005555C9" w:rsidRDefault="00E46706">
      <w:pPr>
        <w:rPr>
          <w:rFonts w:ascii="Arial" w:hAnsi="Arial" w:cs="Arial"/>
          <w:sz w:val="20"/>
          <w:szCs w:val="20"/>
        </w:rPr>
      </w:pPr>
    </w:p>
    <w:p w14:paraId="40573D01" w14:textId="77777777" w:rsidR="00E46706" w:rsidRPr="005555C9" w:rsidRDefault="00E46706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sz w:val="20"/>
          <w:szCs w:val="20"/>
        </w:rPr>
        <w:br w:type="page"/>
      </w:r>
    </w:p>
    <w:p w14:paraId="017D828B" w14:textId="6DBBAF54" w:rsidR="005D65C1" w:rsidRPr="005555C9" w:rsidRDefault="00E46706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b/>
          <w:bCs/>
          <w:sz w:val="20"/>
          <w:szCs w:val="20"/>
        </w:rPr>
        <w:lastRenderedPageBreak/>
        <w:t>Supplementary Table 3.</w:t>
      </w:r>
      <w:r w:rsidRPr="005555C9">
        <w:rPr>
          <w:rFonts w:ascii="Arial" w:hAnsi="Arial" w:cs="Arial"/>
          <w:sz w:val="20"/>
          <w:szCs w:val="20"/>
        </w:rPr>
        <w:t xml:space="preserve"> Procedure codes used for screening potential cases of acute myocardial </w:t>
      </w:r>
      <w:proofErr w:type="gramStart"/>
      <w:r w:rsidRPr="005555C9">
        <w:rPr>
          <w:rFonts w:ascii="Arial" w:hAnsi="Arial" w:cs="Arial"/>
          <w:sz w:val="20"/>
          <w:szCs w:val="20"/>
        </w:rPr>
        <w:t>infarction</w:t>
      </w:r>
      <w:proofErr w:type="gramEnd"/>
    </w:p>
    <w:tbl>
      <w:tblPr>
        <w:tblW w:w="0" w:type="auto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0"/>
        <w:gridCol w:w="7229"/>
      </w:tblGrid>
      <w:tr w:rsidR="005555C9" w:rsidRPr="005555C9" w14:paraId="5E2030E3" w14:textId="77777777" w:rsidTr="00E46706">
        <w:trPr>
          <w:trHeight w:val="320"/>
        </w:trPr>
        <w:tc>
          <w:tcPr>
            <w:tcW w:w="2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4EEF8F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Procedure codes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4903B5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5555C9" w:rsidRPr="005555C9" w14:paraId="711429BD" w14:textId="77777777" w:rsidTr="00E46706">
        <w:trPr>
          <w:trHeight w:val="3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1400514E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18022B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3BD2D5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Coronary angiography</w:t>
            </w:r>
          </w:p>
        </w:tc>
      </w:tr>
      <w:tr w:rsidR="005555C9" w:rsidRPr="005555C9" w14:paraId="606D793C" w14:textId="77777777" w:rsidTr="00E46706">
        <w:trPr>
          <w:trHeight w:val="3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2D923B50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18020B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FA2515" w14:textId="4DB958A0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Cardiac cath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 xml:space="preserve">eterization </w:t>
            </w:r>
            <w:r w:rsidRPr="005555C9">
              <w:rPr>
                <w:rFonts w:ascii="Arial" w:hAnsi="Arial" w:cs="Arial"/>
                <w:sz w:val="20"/>
                <w:szCs w:val="20"/>
              </w:rPr>
              <w:t>- one side</w:t>
            </w:r>
          </w:p>
        </w:tc>
      </w:tr>
      <w:tr w:rsidR="005555C9" w:rsidRPr="005555C9" w14:paraId="0CF6D5AC" w14:textId="77777777" w:rsidTr="00E46706">
        <w:trPr>
          <w:trHeight w:val="320"/>
        </w:trPr>
        <w:tc>
          <w:tcPr>
            <w:tcW w:w="2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D0CE22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18021B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80D84C" w14:textId="1328F29F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Cardiac cath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 xml:space="preserve">eterization </w:t>
            </w:r>
            <w:r w:rsidRPr="005555C9">
              <w:rPr>
                <w:rFonts w:ascii="Arial" w:hAnsi="Arial" w:cs="Arial"/>
                <w:sz w:val="20"/>
                <w:szCs w:val="20"/>
              </w:rPr>
              <w:t>- both side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5555C9" w:rsidRPr="005555C9" w14:paraId="3EFEBFED" w14:textId="77777777" w:rsidTr="00E46706">
        <w:trPr>
          <w:trHeight w:val="3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746FD6E9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33076B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94A807" w14:textId="5543E85A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Percutaneous coronary dilatation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5C9">
              <w:rPr>
                <w:rFonts w:ascii="Arial" w:hAnsi="Arial" w:cs="Arial"/>
                <w:sz w:val="20"/>
                <w:szCs w:val="20"/>
              </w:rPr>
              <w:t>-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5C9">
              <w:rPr>
                <w:rFonts w:ascii="Arial" w:hAnsi="Arial" w:cs="Arial"/>
                <w:sz w:val="20"/>
                <w:szCs w:val="20"/>
              </w:rPr>
              <w:t>one vessel</w:t>
            </w:r>
          </w:p>
        </w:tc>
      </w:tr>
      <w:tr w:rsidR="005555C9" w:rsidRPr="005555C9" w14:paraId="53100203" w14:textId="77777777" w:rsidTr="00E46706">
        <w:trPr>
          <w:trHeight w:val="3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4E15C775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33077B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91A913" w14:textId="3EF085DB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Percutaneous coronary dilatation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5C9">
              <w:rPr>
                <w:rFonts w:ascii="Arial" w:hAnsi="Arial" w:cs="Arial"/>
                <w:sz w:val="20"/>
                <w:szCs w:val="20"/>
              </w:rPr>
              <w:t>-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5C9">
              <w:rPr>
                <w:rFonts w:ascii="Arial" w:hAnsi="Arial" w:cs="Arial"/>
                <w:sz w:val="20"/>
                <w:szCs w:val="20"/>
              </w:rPr>
              <w:t>two vessels</w:t>
            </w:r>
          </w:p>
        </w:tc>
      </w:tr>
      <w:tr w:rsidR="005555C9" w:rsidRPr="005555C9" w14:paraId="45314782" w14:textId="77777777" w:rsidTr="00E46706">
        <w:trPr>
          <w:trHeight w:val="320"/>
        </w:trPr>
        <w:tc>
          <w:tcPr>
            <w:tcW w:w="2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2A0B34" w14:textId="77777777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33078B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FC82C2" w14:textId="03E9A730" w:rsidR="00E46706" w:rsidRPr="005555C9" w:rsidRDefault="00E46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Percutaneous coronary dilatation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5C9">
              <w:rPr>
                <w:rFonts w:ascii="Arial" w:hAnsi="Arial" w:cs="Arial"/>
                <w:sz w:val="20"/>
                <w:szCs w:val="20"/>
              </w:rPr>
              <w:t>-</w:t>
            </w:r>
            <w:r w:rsidR="007F6D54" w:rsidRPr="00555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5C9">
              <w:rPr>
                <w:rFonts w:ascii="Arial" w:hAnsi="Arial" w:cs="Arial"/>
                <w:sz w:val="20"/>
                <w:szCs w:val="20"/>
              </w:rPr>
              <w:t>three vessels</w:t>
            </w:r>
          </w:p>
        </w:tc>
      </w:tr>
    </w:tbl>
    <w:p w14:paraId="4FB9FF24" w14:textId="2D7DE092" w:rsidR="004B0972" w:rsidRPr="005555C9" w:rsidRDefault="004B0972">
      <w:pPr>
        <w:rPr>
          <w:rFonts w:ascii="Arial" w:hAnsi="Arial" w:cs="Arial"/>
          <w:sz w:val="20"/>
          <w:szCs w:val="20"/>
        </w:rPr>
      </w:pPr>
      <w:r w:rsidRPr="005555C9">
        <w:rPr>
          <w:rFonts w:ascii="Arial" w:hAnsi="Arial" w:cs="Arial"/>
          <w:sz w:val="20"/>
          <w:szCs w:val="20"/>
        </w:rPr>
        <w:br w:type="page"/>
      </w:r>
    </w:p>
    <w:tbl>
      <w:tblPr>
        <w:tblW w:w="12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0"/>
      </w:tblGrid>
      <w:tr w:rsidR="005555C9" w:rsidRPr="005555C9" w14:paraId="7828A6CE" w14:textId="77777777" w:rsidTr="00940B3F">
        <w:trPr>
          <w:trHeight w:val="420"/>
        </w:trPr>
        <w:tc>
          <w:tcPr>
            <w:tcW w:w="1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18CF0" w14:textId="57562C09" w:rsidR="00070235" w:rsidRPr="005555C9" w:rsidRDefault="00070235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Supplementary Table 4</w:t>
            </w:r>
            <w:r w:rsidRPr="005555C9">
              <w:rPr>
                <w:rFonts w:ascii="Arial" w:hAnsi="Arial" w:cs="Arial"/>
                <w:sz w:val="20"/>
                <w:szCs w:val="20"/>
              </w:rPr>
              <w:t>. Diagnostic criteria of ST-elevation myocardial infarction and non-ST-elevation myocardial infarction based on medical record review.</w:t>
            </w:r>
          </w:p>
        </w:tc>
      </w:tr>
      <w:tr w:rsidR="005555C9" w:rsidRPr="005555C9" w14:paraId="2FE73D85" w14:textId="77777777" w:rsidTr="00940B3F">
        <w:trPr>
          <w:trHeight w:val="392"/>
        </w:trPr>
        <w:tc>
          <w:tcPr>
            <w:tcW w:w="1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421F3" w14:textId="77777777" w:rsidR="00070235" w:rsidRPr="005555C9" w:rsidRDefault="000702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Diagnostic criteria for STEMI</w:t>
            </w:r>
          </w:p>
        </w:tc>
      </w:tr>
      <w:tr w:rsidR="005555C9" w:rsidRPr="005555C9" w14:paraId="2BA7F8AE" w14:textId="77777777" w:rsidTr="00940B3F">
        <w:trPr>
          <w:trHeight w:val="42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FF3C7" w14:textId="77777777" w:rsidR="00070235" w:rsidRPr="005555C9" w:rsidRDefault="00070235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The patient’s cardiac troponin value needed to exceed the 99</w:t>
            </w:r>
            <w:r w:rsidRPr="005555C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555C9">
              <w:rPr>
                <w:rFonts w:ascii="Arial" w:hAnsi="Arial" w:cs="Arial"/>
                <w:sz w:val="20"/>
                <w:szCs w:val="20"/>
              </w:rPr>
              <w:t xml:space="preserve"> percentile upper reference limit (female &gt; 0.016 ng/mL; mela &gt; 0.034 ng/mL), and this value had to change by over 20% in serial examination.</w:t>
            </w:r>
          </w:p>
        </w:tc>
      </w:tr>
      <w:tr w:rsidR="005555C9" w:rsidRPr="005555C9" w14:paraId="0BEB287B" w14:textId="77777777" w:rsidTr="00070235">
        <w:trPr>
          <w:trHeight w:val="52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BE774" w14:textId="390FA4A4" w:rsidR="00070235" w:rsidRPr="005555C9" w:rsidRDefault="00036738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AND</w:t>
            </w:r>
            <w:r w:rsidR="00070235" w:rsidRPr="005555C9">
              <w:rPr>
                <w:rFonts w:ascii="Arial" w:hAnsi="Arial" w:cs="Arial"/>
                <w:sz w:val="20"/>
                <w:szCs w:val="20"/>
              </w:rPr>
              <w:t xml:space="preserve"> new ischemic ECG changes with ST-segment elevation.</w:t>
            </w:r>
          </w:p>
        </w:tc>
      </w:tr>
      <w:tr w:rsidR="005555C9" w:rsidRPr="005555C9" w14:paraId="6702BCC2" w14:textId="77777777" w:rsidTr="00940B3F">
        <w:trPr>
          <w:trHeight w:val="81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BA45" w14:textId="77777777" w:rsidR="00070235" w:rsidRPr="005555C9" w:rsidRDefault="00070235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AND the presence of a coronary thrombus or occlusion of the coronary artery</w:t>
            </w:r>
          </w:p>
        </w:tc>
      </w:tr>
      <w:tr w:rsidR="005555C9" w:rsidRPr="005555C9" w14:paraId="616EF1FE" w14:textId="77777777" w:rsidTr="00940B3F">
        <w:trPr>
          <w:trHeight w:val="197"/>
        </w:trPr>
        <w:tc>
          <w:tcPr>
            <w:tcW w:w="1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05A8E" w14:textId="77777777" w:rsidR="00070235" w:rsidRPr="005555C9" w:rsidRDefault="000702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Diagnostic criteria for NSTEMI</w:t>
            </w:r>
          </w:p>
        </w:tc>
      </w:tr>
      <w:tr w:rsidR="005555C9" w:rsidRPr="005555C9" w14:paraId="477EA9B8" w14:textId="77777777" w:rsidTr="00070235">
        <w:trPr>
          <w:trHeight w:val="76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9994" w14:textId="77777777" w:rsidR="00070235" w:rsidRPr="005555C9" w:rsidRDefault="00070235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The patient’s cardiac troponin value needed to exceed the 99</w:t>
            </w:r>
            <w:r w:rsidRPr="005555C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555C9">
              <w:rPr>
                <w:rFonts w:ascii="Arial" w:hAnsi="Arial" w:cs="Arial"/>
                <w:sz w:val="20"/>
                <w:szCs w:val="20"/>
              </w:rPr>
              <w:t xml:space="preserve"> percentile upper reference limit (female &gt; 0.016 ng/mL; mela &gt; 0.034 ng/mL), and this value had to change by over 20% in serial examination.</w:t>
            </w:r>
          </w:p>
        </w:tc>
      </w:tr>
      <w:tr w:rsidR="005555C9" w:rsidRPr="005555C9" w14:paraId="32A9142E" w14:textId="77777777" w:rsidTr="00940B3F">
        <w:trPr>
          <w:trHeight w:val="62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1C17F" w14:textId="27D6CF6E" w:rsidR="00070235" w:rsidRPr="005555C9" w:rsidRDefault="00070235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 xml:space="preserve">AND new ischemic ECG changes with no ST-segment elevation or with a medical record of signs or symptoms of clinical myocardial ischemia (chest pain, dyspnea, shortness of breath, </w:t>
            </w:r>
            <w:r w:rsidR="004070BF" w:rsidRPr="005555C9">
              <w:rPr>
                <w:rFonts w:ascii="Arial" w:hAnsi="Arial" w:cs="Arial"/>
                <w:sz w:val="20"/>
                <w:szCs w:val="20"/>
              </w:rPr>
              <w:t>etc.</w:t>
            </w:r>
            <w:r w:rsidRPr="005555C9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5555C9" w:rsidRPr="005555C9" w14:paraId="67206038" w14:textId="77777777" w:rsidTr="00940B3F">
        <w:trPr>
          <w:trHeight w:val="319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09E5" w14:textId="77777777" w:rsidR="00070235" w:rsidRPr="005555C9" w:rsidRDefault="00070235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AND the presence of a coronary thrombus or occlusion of the coronary artery</w:t>
            </w:r>
          </w:p>
        </w:tc>
      </w:tr>
      <w:tr w:rsidR="005555C9" w:rsidRPr="005555C9" w14:paraId="1AF1243A" w14:textId="77777777" w:rsidTr="00940B3F">
        <w:trPr>
          <w:trHeight w:val="359"/>
        </w:trPr>
        <w:tc>
          <w:tcPr>
            <w:tcW w:w="1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82FDD" w14:textId="77777777" w:rsidR="00070235" w:rsidRPr="005555C9" w:rsidRDefault="000702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Exclusion criteria</w:t>
            </w:r>
          </w:p>
        </w:tc>
      </w:tr>
      <w:tr w:rsidR="005555C9" w:rsidRPr="005555C9" w14:paraId="2D517A5F" w14:textId="77777777" w:rsidTr="00070235">
        <w:trPr>
          <w:trHeight w:val="52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90F9" w14:textId="77777777" w:rsidR="00070235" w:rsidRPr="005555C9" w:rsidRDefault="00070235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Serial high-sensitivity cardiac troponin-I level less than sex-specific 99</w:t>
            </w:r>
            <w:r w:rsidRPr="005555C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555C9">
              <w:rPr>
                <w:rFonts w:ascii="Arial" w:hAnsi="Arial" w:cs="Arial"/>
                <w:sz w:val="20"/>
                <w:szCs w:val="20"/>
              </w:rPr>
              <w:t xml:space="preserve"> percentile (female ≤ 0.016 ng/mL; male ≤ 0.034 ng/mL) </w:t>
            </w:r>
          </w:p>
        </w:tc>
      </w:tr>
      <w:tr w:rsidR="005555C9" w:rsidRPr="005555C9" w14:paraId="3B121870" w14:textId="77777777" w:rsidTr="00940B3F">
        <w:trPr>
          <w:trHeight w:val="325"/>
        </w:trPr>
        <w:tc>
          <w:tcPr>
            <w:tcW w:w="1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06727" w14:textId="77777777" w:rsidR="00070235" w:rsidRPr="005555C9" w:rsidRDefault="00070235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No evidence of a coronary thrombus or occlusion detected on angiography.</w:t>
            </w:r>
          </w:p>
        </w:tc>
      </w:tr>
    </w:tbl>
    <w:p w14:paraId="65B0F142" w14:textId="75491C1E" w:rsidR="00D0524F" w:rsidRPr="005555C9" w:rsidRDefault="00070235">
      <w:pPr>
        <w:rPr>
          <w:rFonts w:ascii="Arial" w:hAnsi="Arial" w:cs="Arial"/>
          <w:b/>
          <w:bCs/>
          <w:sz w:val="20"/>
          <w:szCs w:val="20"/>
        </w:rPr>
      </w:pPr>
      <w:r w:rsidRPr="005555C9">
        <w:rPr>
          <w:rFonts w:ascii="Arial" w:hAnsi="Arial" w:cs="Arial"/>
          <w:b/>
          <w:bCs/>
          <w:sz w:val="20"/>
          <w:szCs w:val="20"/>
        </w:rPr>
        <w:t>Abbreviations:</w:t>
      </w:r>
      <w:r w:rsidR="00036738" w:rsidRPr="005555C9">
        <w:rPr>
          <w:rFonts w:ascii="Arial" w:hAnsi="Arial" w:cs="Arial"/>
          <w:b/>
          <w:bCs/>
          <w:sz w:val="20"/>
          <w:szCs w:val="20"/>
        </w:rPr>
        <w:t xml:space="preserve"> </w:t>
      </w:r>
      <w:r w:rsidR="00036738" w:rsidRPr="005555C9">
        <w:rPr>
          <w:rFonts w:ascii="Arial" w:hAnsi="Arial" w:cs="Arial"/>
          <w:sz w:val="20"/>
          <w:szCs w:val="20"/>
        </w:rPr>
        <w:t>ECG: electrocardiogram</w:t>
      </w:r>
      <w:r w:rsidRPr="005555C9">
        <w:rPr>
          <w:rFonts w:ascii="Arial" w:hAnsi="Arial" w:cs="Arial"/>
          <w:sz w:val="20"/>
          <w:szCs w:val="20"/>
        </w:rPr>
        <w:t>, STEMI, ST-elevation myocardial infarction, NSTEMI: non-ST-elevation myocardial infarction</w:t>
      </w:r>
      <w:r w:rsidR="00D0524F" w:rsidRPr="005555C9">
        <w:rPr>
          <w:rFonts w:ascii="Arial" w:hAnsi="Arial" w:cs="Arial"/>
          <w:b/>
          <w:bCs/>
          <w:sz w:val="20"/>
          <w:szCs w:val="20"/>
        </w:rPr>
        <w:br w:type="page"/>
      </w:r>
    </w:p>
    <w:p w14:paraId="7A00F310" w14:textId="508A9713" w:rsidR="00542A5B" w:rsidRPr="005555C9" w:rsidRDefault="00542A5B" w:rsidP="00542A5B">
      <w:pPr>
        <w:rPr>
          <w:rFonts w:ascii="Arial" w:eastAsia="Times New Roman" w:hAnsi="Arial" w:cs="Arial"/>
          <w:sz w:val="20"/>
          <w:szCs w:val="20"/>
          <w:lang w:val="en-GB"/>
        </w:rPr>
      </w:pPr>
      <w:r w:rsidRPr="005555C9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 w:rsidR="00D0524F" w:rsidRPr="005555C9">
        <w:rPr>
          <w:rFonts w:ascii="Arial" w:hAnsi="Arial" w:cs="Arial"/>
          <w:b/>
          <w:bCs/>
          <w:sz w:val="20"/>
          <w:szCs w:val="20"/>
        </w:rPr>
        <w:t>5</w:t>
      </w:r>
      <w:r w:rsidRPr="005555C9">
        <w:rPr>
          <w:rFonts w:ascii="Arial" w:hAnsi="Arial" w:cs="Arial"/>
          <w:b/>
          <w:bCs/>
          <w:sz w:val="20"/>
          <w:szCs w:val="20"/>
        </w:rPr>
        <w:t xml:space="preserve">. </w:t>
      </w:r>
      <w:r w:rsidR="00E46706" w:rsidRPr="005555C9">
        <w:rPr>
          <w:rFonts w:ascii="Arial" w:hAnsi="Arial" w:cs="Arial"/>
          <w:sz w:val="20"/>
          <w:szCs w:val="20"/>
          <w:lang w:val="en-GB"/>
        </w:rPr>
        <w:t>Performance of algorithms for all patients (n = 197,490)</w:t>
      </w:r>
      <w:r w:rsidR="00D35C9B" w:rsidRPr="005555C9">
        <w:rPr>
          <w:rFonts w:ascii="Arial" w:hAnsi="Arial" w:cs="Arial"/>
          <w:sz w:val="20"/>
          <w:szCs w:val="20"/>
          <w:lang w:val="en-GB"/>
        </w:rPr>
        <w:t xml:space="preserve"> in the development cohort</w:t>
      </w:r>
    </w:p>
    <w:tbl>
      <w:tblPr>
        <w:tblW w:w="141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001"/>
        <w:gridCol w:w="2493"/>
        <w:gridCol w:w="175"/>
        <w:gridCol w:w="2143"/>
        <w:gridCol w:w="329"/>
        <w:gridCol w:w="1797"/>
        <w:gridCol w:w="350"/>
        <w:gridCol w:w="1777"/>
        <w:gridCol w:w="370"/>
        <w:gridCol w:w="2182"/>
        <w:gridCol w:w="371"/>
      </w:tblGrid>
      <w:tr w:rsidR="005555C9" w:rsidRPr="005555C9" w14:paraId="41B0D60A" w14:textId="77777777" w:rsidTr="00E46706">
        <w:trPr>
          <w:gridAfter w:val="1"/>
          <w:wAfter w:w="371" w:type="dxa"/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B27A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Diagnosis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6DFDF9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Algorithm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297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Sensitivity (%) (95% CI)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F61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Specificity (%) (95% CI)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1F0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PPV (%) (95% CI)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21F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NPV (%) (95% CI)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F92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Kappa (95% CI)</w:t>
            </w:r>
          </w:p>
        </w:tc>
      </w:tr>
      <w:tr w:rsidR="005555C9" w:rsidRPr="005555C9" w14:paraId="7C1FE468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1B4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STEMI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3E80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9684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88.3 (85.8–90.4)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334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0F4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92.6 (90.5–94.4)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E04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(99.9–100.0)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6EAF0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0.903 (0.888–0.919)</w:t>
            </w:r>
          </w:p>
        </w:tc>
      </w:tr>
      <w:tr w:rsidR="005555C9" w:rsidRPr="005555C9" w14:paraId="614B6836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6735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65F2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419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93.6 (91.7–95.2)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49A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(99.9–100.0)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231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89.4 (87.1–91.4)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376B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DB95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0.914 (0.900–0.928)</w:t>
            </w:r>
          </w:p>
        </w:tc>
      </w:tr>
      <w:tr w:rsidR="005555C9" w:rsidRPr="005555C9" w14:paraId="4BA90FA0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9CF43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098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E8E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95.7 (94.0–97.0)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6DE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99.9 (99.9–99.9)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9A99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86.6 (84.2–88.7)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A019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4A19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0.909 (0.894–0.923)</w:t>
            </w:r>
          </w:p>
        </w:tc>
      </w:tr>
      <w:tr w:rsidR="005555C9" w:rsidRPr="005555C9" w14:paraId="7247580E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9562D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BC92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0979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84.4 (81.7–86.9)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2F9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F674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93.8 (91.8–95.5)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919A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99.9 (99.9–99.9)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B05B9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0.888 (0.872–0.905)</w:t>
            </w:r>
          </w:p>
        </w:tc>
      </w:tr>
      <w:tr w:rsidR="005555C9" w:rsidRPr="005555C9" w14:paraId="01A0B0A2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A06B9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0C7F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2F2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87.8 (85.3–89.9)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4093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337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92.7 (90.6–94.4)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B237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99.9 (99.9–100.0)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B888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0.901 (0.886–0.917)</w:t>
            </w:r>
          </w:p>
        </w:tc>
      </w:tr>
      <w:tr w:rsidR="005555C9" w:rsidRPr="005555C9" w14:paraId="155D50F3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4E7C8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CAE9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880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89.2 (86.9–91.3)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A0480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B4CE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91.6 (89.5–93.5)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2592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(99.9–100.0)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936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0.904 (0.889–0.919)</w:t>
            </w:r>
          </w:p>
        </w:tc>
      </w:tr>
      <w:tr w:rsidR="005555C9" w:rsidRPr="005555C9" w14:paraId="6D1A2C04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74A3A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765A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324D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82.8 (80.0–85.4)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9F56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007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94.0 (92.0–95.6)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45D2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99.9 (99.9–99.9)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8AC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0.880 (0.863–0.897)</w:t>
            </w:r>
          </w:p>
        </w:tc>
      </w:tr>
      <w:tr w:rsidR="005555C9" w:rsidRPr="005555C9" w14:paraId="52CC7896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77DFB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8C8A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403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85.4 (82.8–87.8)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D1B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8C7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93.3 (91.2–95.0)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F227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99.9 (99.9–100.0)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A37D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0.891 (0.875–0.908)</w:t>
            </w:r>
          </w:p>
        </w:tc>
      </w:tr>
      <w:tr w:rsidR="005555C9" w:rsidRPr="005555C9" w14:paraId="2E9C6DD8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AF1BB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8413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A4B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86.5 (84.0–88.8)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BCFD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205A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92.8 (90.8–94.6)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FCF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99.9 (99.9–100.0)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37A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0.895 (0.879–0.911)</w:t>
            </w:r>
          </w:p>
        </w:tc>
      </w:tr>
      <w:tr w:rsidR="005555C9" w:rsidRPr="005555C9" w14:paraId="2A2CA7F5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BF5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NSTEMI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B46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F12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66.5 (64.2–68.7)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ED97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10A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98.9 (98.1–99.4)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D059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99.7 (99.7–99.7)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83E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0.793 (0.777–0.810)</w:t>
            </w:r>
          </w:p>
        </w:tc>
      </w:tr>
      <w:tr w:rsidR="005555C9" w:rsidRPr="005555C9" w14:paraId="45FB04FC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42BA9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BB1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A91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77.5 (75.4–79.5)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77B0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715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97.5 (96.5–98.2)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4007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99.8 (99.8–99.8)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3B6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0.862 (0.849–0.875)</w:t>
            </w:r>
          </w:p>
        </w:tc>
      </w:tr>
      <w:tr w:rsidR="005555C9" w:rsidRPr="005555C9" w14:paraId="59465AB0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0938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82B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348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82.6 (80.7–84.4)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C46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A24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96.5 (95.3–97.4)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F450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99.8 (99.8–99.9)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719D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0.889 (0.878–0.901)</w:t>
            </w:r>
          </w:p>
        </w:tc>
      </w:tr>
      <w:tr w:rsidR="005555C9" w:rsidRPr="005555C9" w14:paraId="59E4E037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0420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38E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605A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56.9 (54.5–59.3)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4005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91E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99.3 (98.5–99.7)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3EAC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99.6 (99.6–99.7)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425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0.722 (0.703–0.741)</w:t>
            </w:r>
          </w:p>
        </w:tc>
      </w:tr>
      <w:tr w:rsidR="005555C9" w:rsidRPr="005555C9" w14:paraId="61E16FA3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8B4D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E35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365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63.0 (60.6–65.3)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176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5B1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98.9 (98.1–99.4)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30E19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99.7 (99.7–99.7)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083E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0.768 (0.751–0.786)</w:t>
            </w:r>
          </w:p>
        </w:tc>
      </w:tr>
      <w:tr w:rsidR="005555C9" w:rsidRPr="005555C9" w14:paraId="7BF5CEEA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B2EF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31D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2B90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65.8 (63.5–68.1)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13130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904A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98.6 (97.7–99.2)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3A0F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99.7 (99.7–99.7)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86C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0.788 (0.771–0.805)</w:t>
            </w:r>
          </w:p>
        </w:tc>
      </w:tr>
      <w:tr w:rsidR="005555C9" w:rsidRPr="005555C9" w14:paraId="391248B4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FD7C7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AF0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79EA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50.5 (48.1–52.9)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ECFC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CDF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99.2 (98.3–99.7)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BAAA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99.6 (99.5–99.6)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E1FA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0.667 (0.646–0.688)</w:t>
            </w:r>
          </w:p>
        </w:tc>
      </w:tr>
      <w:tr w:rsidR="005555C9" w:rsidRPr="005555C9" w14:paraId="41EE4816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BE9DA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F61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C669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55.5 (53.0–57.8)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8CB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F94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99.1 (98.2–99.6)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3C5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99.6 (99.6–99.6)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75D2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0.709 (0.690–0.729)</w:t>
            </w:r>
          </w:p>
        </w:tc>
      </w:tr>
      <w:tr w:rsidR="005555C9" w:rsidRPr="005555C9" w14:paraId="3E289D0B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4B6E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BA3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ADC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57.9 (55.5–60.2)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7E20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749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98.8 (98.0–99.4)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2B2A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99.6 (99.6–99.7)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3BB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0.728 (0.709–0.747)</w:t>
            </w:r>
          </w:p>
        </w:tc>
      </w:tr>
      <w:tr w:rsidR="005555C9" w:rsidRPr="005555C9" w14:paraId="402501AC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8670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AMI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4F8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7BE6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75.3 (73.6–77.0)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0114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4A9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98.7 (98.1–99.2)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EE669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99.7 (99.7–99.7)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A3CA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0.853 (0.841–0.864)</w:t>
            </w:r>
          </w:p>
        </w:tc>
      </w:tr>
      <w:tr w:rsidR="005555C9" w:rsidRPr="005555C9" w14:paraId="4E699F56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EFC2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E23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DBD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85.0 (83.5–86.4)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0518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3EB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97.1 (96.3–97.7)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00A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99.8 (99.8–99.8)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C349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0.905 (0.896–0.914)</w:t>
            </w:r>
          </w:p>
        </w:tc>
      </w:tr>
      <w:tr w:rsidR="005555C9" w:rsidRPr="005555C9" w14:paraId="107259FC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27B96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FF0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CCEC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89.4 (88.2–90.6)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657E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99.9 (99.9–100.0)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7B89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95.6 (94.7–96.4)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0AFF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99.9 (99.8–99.9)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E14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0.923 (0.915–0.931)</w:t>
            </w:r>
          </w:p>
        </w:tc>
      </w:tr>
      <w:tr w:rsidR="005555C9" w:rsidRPr="005555C9" w14:paraId="4D4A6F63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DA90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7AC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6A5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67.4 (65.5–69.2)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6AF0E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7F5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99.2 (98.7–99.6)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B22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99.6 (99.6–99.6)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469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0.800 (0.787–0.814)</w:t>
            </w:r>
          </w:p>
        </w:tc>
      </w:tr>
      <w:tr w:rsidR="005555C9" w:rsidRPr="005555C9" w14:paraId="13650FE2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F7B7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FDA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59EC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72.7 (71.0–74.5)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9DB9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B0F4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98.8 (98.2–99.3)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59FD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99.7 (99.6–99.7)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2940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0.836 (0.824–0.848)</w:t>
            </w:r>
          </w:p>
        </w:tc>
      </w:tr>
      <w:tr w:rsidR="005555C9" w:rsidRPr="005555C9" w14:paraId="53CE57AC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0DF2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C34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E1D6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75.3 (73.5–76.9)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B1BF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806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98.3 (97.6–98.8)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3611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99.7 (99.7–99.7)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2E6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0.851 (0.839–0.862)</w:t>
            </w:r>
          </w:p>
        </w:tc>
      </w:tr>
      <w:tr w:rsidR="005555C9" w:rsidRPr="005555C9" w14:paraId="7A1D365E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6400C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C8A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67728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62.4 (60.5–64.3)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5F8F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E22B5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99.2 (98.6–99.6)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64BF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99.5 (99.5–99.5)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C8D1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0.764 (0.749–0.778)</w:t>
            </w:r>
          </w:p>
        </w:tc>
      </w:tr>
      <w:tr w:rsidR="005555C9" w:rsidRPr="005555C9" w14:paraId="27C3D2A2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A8F6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C61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59A0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66.8 (64.9–68.6)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2DC6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324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99.1 (98.5–99.5)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921E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99.6 (99.5–99.6)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6F076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0.796 (0.782–0.809)</w:t>
            </w:r>
          </w:p>
        </w:tc>
      </w:tr>
      <w:tr w:rsidR="005555C9" w:rsidRPr="005555C9" w14:paraId="30B7EB0B" w14:textId="77777777" w:rsidTr="00E46706">
        <w:trPr>
          <w:gridAfter w:val="1"/>
          <w:wAfter w:w="371" w:type="dxa"/>
          <w:trHeight w:val="3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5CAE" w14:textId="77777777" w:rsidR="00E46706" w:rsidRPr="005555C9" w:rsidRDefault="00E46706" w:rsidP="00E4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5227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A54B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68.9 (67.1–70.7)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F2034A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100.0 (100.0–100.0)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50DF1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98.9 (98.3–99.3)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A4AB24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99.6 (99.6–99.6)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6870D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>0.810 (0.797–0.823)</w:t>
            </w:r>
          </w:p>
        </w:tc>
      </w:tr>
      <w:tr w:rsidR="005555C9" w:rsidRPr="005555C9" w14:paraId="0BCF3D78" w14:textId="77777777" w:rsidTr="00E46706">
        <w:trPr>
          <w:trHeight w:val="320"/>
        </w:trPr>
        <w:tc>
          <w:tcPr>
            <w:tcW w:w="4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0DF5D" w14:textId="77777777" w:rsidR="00E46706" w:rsidRPr="005555C9" w:rsidRDefault="00E46706" w:rsidP="00E46706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 w:rsidRPr="005555C9">
              <w:rPr>
                <w:rFonts w:ascii="Arial" w:hAnsi="Arial" w:cs="Arial"/>
                <w:sz w:val="20"/>
                <w:szCs w:val="20"/>
              </w:rPr>
              <w:t xml:space="preserve"> The top kappa value is in bold face type.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5A88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E6622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0F733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838FF" w14:textId="77777777" w:rsidR="00E46706" w:rsidRPr="005555C9" w:rsidRDefault="00E46706" w:rsidP="00E4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5555C9" w:rsidRPr="005555C9" w14:paraId="4EF4396C" w14:textId="77777777" w:rsidTr="00E46706">
        <w:trPr>
          <w:trHeight w:val="320"/>
        </w:trPr>
        <w:tc>
          <w:tcPr>
            <w:tcW w:w="141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5EC3A" w14:textId="77777777" w:rsidR="00E46706" w:rsidRPr="005555C9" w:rsidRDefault="00E46706" w:rsidP="00E46706">
            <w:pPr>
              <w:rPr>
                <w:rFonts w:ascii="Arial" w:hAnsi="Arial" w:cs="Arial"/>
                <w:sz w:val="20"/>
                <w:szCs w:val="20"/>
              </w:rPr>
            </w:pPr>
            <w:r w:rsidRPr="005555C9">
              <w:rPr>
                <w:rFonts w:ascii="Arial" w:hAnsi="Arial" w:cs="Arial"/>
                <w:b/>
                <w:bCs/>
                <w:sz w:val="20"/>
                <w:szCs w:val="20"/>
              </w:rPr>
              <w:t>Abbreviations:</w:t>
            </w:r>
            <w:r w:rsidRPr="005555C9">
              <w:rPr>
                <w:rFonts w:ascii="Arial" w:hAnsi="Arial" w:cs="Arial"/>
                <w:sz w:val="20"/>
                <w:szCs w:val="20"/>
              </w:rPr>
              <w:t xml:space="preserve"> AMI, acute myocardial infarction; CI, confidence interval; PPV, positive predictive value; NPV, negative predictive value, STEMI, ST-elevation myocardial infarction, NSTEMI: non-ST-elevation myocardial infarction</w:t>
            </w:r>
          </w:p>
        </w:tc>
      </w:tr>
    </w:tbl>
    <w:p w14:paraId="4F799F9C" w14:textId="728DB5EC" w:rsidR="004B0972" w:rsidRPr="00E46706" w:rsidRDefault="004B0972" w:rsidP="001308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4B0972" w:rsidRPr="00E46706" w:rsidSect="002B78DE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F12"/>
    <w:multiLevelType w:val="hybridMultilevel"/>
    <w:tmpl w:val="C45CA1DE"/>
    <w:lvl w:ilvl="0" w:tplc="2F5C6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C929EC"/>
    <w:multiLevelType w:val="hybridMultilevel"/>
    <w:tmpl w:val="A9B4C9C8"/>
    <w:lvl w:ilvl="0" w:tplc="2E365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8876060">
    <w:abstractNumId w:val="0"/>
  </w:num>
  <w:num w:numId="2" w16cid:durableId="203865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B5"/>
    <w:rsid w:val="0000186B"/>
    <w:rsid w:val="00032648"/>
    <w:rsid w:val="00036738"/>
    <w:rsid w:val="00053BA9"/>
    <w:rsid w:val="000630EC"/>
    <w:rsid w:val="000631FC"/>
    <w:rsid w:val="00070235"/>
    <w:rsid w:val="00077931"/>
    <w:rsid w:val="000A2D96"/>
    <w:rsid w:val="000E67F0"/>
    <w:rsid w:val="001308AB"/>
    <w:rsid w:val="001606EC"/>
    <w:rsid w:val="001940A7"/>
    <w:rsid w:val="001D0A4F"/>
    <w:rsid w:val="001E3F33"/>
    <w:rsid w:val="00202C09"/>
    <w:rsid w:val="00215F56"/>
    <w:rsid w:val="002243B6"/>
    <w:rsid w:val="0024173F"/>
    <w:rsid w:val="00244839"/>
    <w:rsid w:val="00292287"/>
    <w:rsid w:val="00294428"/>
    <w:rsid w:val="002B78DE"/>
    <w:rsid w:val="00301087"/>
    <w:rsid w:val="0030165D"/>
    <w:rsid w:val="00303DD2"/>
    <w:rsid w:val="00304D76"/>
    <w:rsid w:val="00315BD3"/>
    <w:rsid w:val="00342E65"/>
    <w:rsid w:val="003458DF"/>
    <w:rsid w:val="00347D9C"/>
    <w:rsid w:val="0037513A"/>
    <w:rsid w:val="003929B7"/>
    <w:rsid w:val="0039790C"/>
    <w:rsid w:val="003A62BF"/>
    <w:rsid w:val="003D2786"/>
    <w:rsid w:val="003D3344"/>
    <w:rsid w:val="004070BF"/>
    <w:rsid w:val="00441FBB"/>
    <w:rsid w:val="00454EE6"/>
    <w:rsid w:val="00466F05"/>
    <w:rsid w:val="004A362A"/>
    <w:rsid w:val="004B0972"/>
    <w:rsid w:val="004B5EF3"/>
    <w:rsid w:val="004C347F"/>
    <w:rsid w:val="004D00AF"/>
    <w:rsid w:val="004D086B"/>
    <w:rsid w:val="00503C44"/>
    <w:rsid w:val="00504B8F"/>
    <w:rsid w:val="00532205"/>
    <w:rsid w:val="005353FC"/>
    <w:rsid w:val="00542A5B"/>
    <w:rsid w:val="005555C9"/>
    <w:rsid w:val="005646BA"/>
    <w:rsid w:val="00575AFC"/>
    <w:rsid w:val="00594524"/>
    <w:rsid w:val="005B19A9"/>
    <w:rsid w:val="005C7C17"/>
    <w:rsid w:val="005C7F25"/>
    <w:rsid w:val="005D65C1"/>
    <w:rsid w:val="005F41C1"/>
    <w:rsid w:val="006D012B"/>
    <w:rsid w:val="007A1E68"/>
    <w:rsid w:val="007A6B92"/>
    <w:rsid w:val="007E3848"/>
    <w:rsid w:val="007F6D54"/>
    <w:rsid w:val="00831C41"/>
    <w:rsid w:val="008E62AA"/>
    <w:rsid w:val="008F4E38"/>
    <w:rsid w:val="00901C2E"/>
    <w:rsid w:val="009126E7"/>
    <w:rsid w:val="00912C81"/>
    <w:rsid w:val="0092298C"/>
    <w:rsid w:val="00940B3F"/>
    <w:rsid w:val="00947525"/>
    <w:rsid w:val="009A084E"/>
    <w:rsid w:val="009A1733"/>
    <w:rsid w:val="009B0903"/>
    <w:rsid w:val="009E0903"/>
    <w:rsid w:val="009E2D76"/>
    <w:rsid w:val="009E5FAD"/>
    <w:rsid w:val="009F55B5"/>
    <w:rsid w:val="00A157B1"/>
    <w:rsid w:val="00A579D7"/>
    <w:rsid w:val="00A664D2"/>
    <w:rsid w:val="00A7360A"/>
    <w:rsid w:val="00AA5E2F"/>
    <w:rsid w:val="00AF6FF2"/>
    <w:rsid w:val="00B52FC1"/>
    <w:rsid w:val="00B60380"/>
    <w:rsid w:val="00B90EA8"/>
    <w:rsid w:val="00B91015"/>
    <w:rsid w:val="00BB2641"/>
    <w:rsid w:val="00BB5D4E"/>
    <w:rsid w:val="00BB7CBD"/>
    <w:rsid w:val="00C060CB"/>
    <w:rsid w:val="00C246F8"/>
    <w:rsid w:val="00C669EF"/>
    <w:rsid w:val="00CD34BD"/>
    <w:rsid w:val="00D0524F"/>
    <w:rsid w:val="00D35C9B"/>
    <w:rsid w:val="00D45F2D"/>
    <w:rsid w:val="00D71821"/>
    <w:rsid w:val="00D74716"/>
    <w:rsid w:val="00D95DF7"/>
    <w:rsid w:val="00DC35C1"/>
    <w:rsid w:val="00DC720B"/>
    <w:rsid w:val="00E135C3"/>
    <w:rsid w:val="00E43EA4"/>
    <w:rsid w:val="00E46706"/>
    <w:rsid w:val="00E61AB5"/>
    <w:rsid w:val="00E76CD9"/>
    <w:rsid w:val="00EC6D9D"/>
    <w:rsid w:val="00F02329"/>
    <w:rsid w:val="00F234C4"/>
    <w:rsid w:val="00F3532C"/>
    <w:rsid w:val="00F5232F"/>
    <w:rsid w:val="00F668C0"/>
    <w:rsid w:val="00FA43E7"/>
    <w:rsid w:val="00FB3A66"/>
    <w:rsid w:val="00FB5F87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436B"/>
  <w15:chartTrackingRefBased/>
  <w15:docId w15:val="{2552CCD7-796F-3845-AAC8-123560C3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235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02329"/>
  </w:style>
  <w:style w:type="table" w:styleId="a4">
    <w:name w:val="Table Grid"/>
    <w:basedOn w:val="a1"/>
    <w:uiPriority w:val="39"/>
    <w:rsid w:val="00542A5B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5FAD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EBD89-F7EF-4341-8609-02FF9432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蔡銘仁</dc:creator>
  <cp:keywords/>
  <dc:description/>
  <cp:lastModifiedBy>銘仁 蔡</cp:lastModifiedBy>
  <cp:revision>6</cp:revision>
  <dcterms:created xsi:type="dcterms:W3CDTF">2023-07-16T00:41:00Z</dcterms:created>
  <dcterms:modified xsi:type="dcterms:W3CDTF">2023-10-04T03:05:00Z</dcterms:modified>
</cp:coreProperties>
</file>