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8A75F" w14:textId="77777777" w:rsidR="00972902" w:rsidRPr="009A34D9" w:rsidRDefault="00972902" w:rsidP="00972902">
      <w:pPr>
        <w:wordWrap/>
        <w:snapToGrid w:val="0"/>
        <w:spacing w:line="480" w:lineRule="auto"/>
        <w:contextualSpacing/>
        <w:jc w:val="center"/>
        <w:rPr>
          <w:rFonts w:ascii="Arial" w:hAnsi="Arial" w:cs="Arial"/>
          <w:b/>
          <w:bCs/>
          <w:szCs w:val="20"/>
        </w:rPr>
      </w:pPr>
      <w:bookmarkStart w:id="0" w:name="_Hlk135146557"/>
    </w:p>
    <w:p w14:paraId="0FF6111A" w14:textId="77777777" w:rsidR="009A34D9" w:rsidRPr="00B11895" w:rsidRDefault="009A34D9" w:rsidP="009A34D9">
      <w:pPr>
        <w:wordWrap/>
        <w:snapToGrid w:val="0"/>
        <w:spacing w:line="360" w:lineRule="auto"/>
        <w:contextualSpacing/>
        <w:jc w:val="center"/>
        <w:rPr>
          <w:rFonts w:ascii="Arial" w:hAnsi="Arial" w:cs="Arial"/>
          <w:b/>
          <w:bCs/>
          <w:sz w:val="32"/>
          <w:szCs w:val="32"/>
        </w:rPr>
      </w:pPr>
      <w:r w:rsidRPr="00B11895">
        <w:rPr>
          <w:rFonts w:ascii="Arial" w:hAnsi="Arial" w:cs="Arial"/>
          <w:b/>
          <w:bCs/>
          <w:sz w:val="32"/>
          <w:szCs w:val="32"/>
        </w:rPr>
        <w:t xml:space="preserve">Survival prediction model for patients with hepatocellular carcinoma and extrahepatic metastasis </w:t>
      </w:r>
    </w:p>
    <w:p w14:paraId="6DFABC7A" w14:textId="77777777" w:rsidR="009A34D9" w:rsidRPr="00B11895" w:rsidRDefault="009A34D9" w:rsidP="009A34D9">
      <w:pPr>
        <w:wordWrap/>
        <w:snapToGrid w:val="0"/>
        <w:spacing w:line="360" w:lineRule="auto"/>
        <w:contextualSpacing/>
        <w:jc w:val="center"/>
        <w:rPr>
          <w:rFonts w:ascii="Arial" w:hAnsi="Arial" w:cs="Arial"/>
          <w:b/>
          <w:bCs/>
          <w:sz w:val="32"/>
          <w:szCs w:val="32"/>
        </w:rPr>
      </w:pPr>
      <w:r w:rsidRPr="00B11895">
        <w:rPr>
          <w:rFonts w:ascii="Arial" w:hAnsi="Arial" w:cs="Arial"/>
          <w:b/>
          <w:bCs/>
          <w:sz w:val="32"/>
          <w:szCs w:val="32"/>
        </w:rPr>
        <w:t>based on XGBoost algorithm</w:t>
      </w:r>
    </w:p>
    <w:p w14:paraId="3D02FA9B" w14:textId="77777777" w:rsidR="00972902" w:rsidRPr="009A34D9" w:rsidRDefault="00972902" w:rsidP="00972902">
      <w:pPr>
        <w:wordWrap/>
        <w:snapToGrid w:val="0"/>
        <w:spacing w:line="480" w:lineRule="auto"/>
        <w:contextualSpacing/>
        <w:jc w:val="center"/>
        <w:rPr>
          <w:rFonts w:ascii="Arial" w:hAnsi="Arial" w:cs="Arial"/>
          <w:szCs w:val="20"/>
        </w:rPr>
      </w:pPr>
      <w:bookmarkStart w:id="1" w:name="_GoBack"/>
      <w:bookmarkEnd w:id="1"/>
    </w:p>
    <w:p w14:paraId="3654F249" w14:textId="77777777" w:rsidR="00972902" w:rsidRPr="009A34D9" w:rsidRDefault="00972902" w:rsidP="00972902">
      <w:pPr>
        <w:wordWrap/>
        <w:snapToGrid w:val="0"/>
        <w:spacing w:line="480" w:lineRule="auto"/>
        <w:contextualSpacing/>
        <w:jc w:val="center"/>
        <w:rPr>
          <w:rFonts w:ascii="Arial" w:hAnsi="Arial" w:cs="Arial"/>
          <w:szCs w:val="20"/>
        </w:rPr>
      </w:pPr>
      <w:r w:rsidRPr="009A34D9">
        <w:rPr>
          <w:rFonts w:ascii="Arial" w:hAnsi="Arial" w:cs="Arial"/>
          <w:b/>
          <w:bCs/>
          <w:szCs w:val="20"/>
        </w:rPr>
        <w:t>Short title:</w:t>
      </w:r>
      <w:r w:rsidRPr="009A34D9">
        <w:rPr>
          <w:rFonts w:ascii="Arial" w:hAnsi="Arial" w:cs="Arial"/>
          <w:szCs w:val="20"/>
        </w:rPr>
        <w:t xml:space="preserve"> Survival prediction of advanced HCC patients</w:t>
      </w:r>
    </w:p>
    <w:p w14:paraId="73DFBC86" w14:textId="77777777" w:rsidR="00972902" w:rsidRPr="009A34D9" w:rsidRDefault="00972902" w:rsidP="00972902">
      <w:pPr>
        <w:wordWrap/>
        <w:snapToGrid w:val="0"/>
        <w:spacing w:line="480" w:lineRule="auto"/>
        <w:contextualSpacing/>
        <w:rPr>
          <w:rFonts w:ascii="Arial" w:hAnsi="Arial" w:cs="Arial"/>
          <w:szCs w:val="20"/>
        </w:rPr>
      </w:pPr>
    </w:p>
    <w:p w14:paraId="695050FF" w14:textId="77777777" w:rsidR="00972902" w:rsidRPr="009A34D9" w:rsidRDefault="00972902" w:rsidP="00972902">
      <w:pPr>
        <w:wordWrap/>
        <w:snapToGrid w:val="0"/>
        <w:spacing w:after="0" w:line="480" w:lineRule="auto"/>
        <w:contextualSpacing/>
        <w:jc w:val="left"/>
        <w:rPr>
          <w:rFonts w:ascii="Arial" w:hAnsi="Arial" w:cs="Arial"/>
          <w:szCs w:val="20"/>
        </w:rPr>
      </w:pPr>
      <w:bookmarkStart w:id="2" w:name="_Hlk135147686"/>
      <w:r w:rsidRPr="009A34D9">
        <w:rPr>
          <w:rFonts w:ascii="Arial" w:hAnsi="Arial" w:cs="Arial"/>
          <w:b/>
          <w:bCs/>
          <w:szCs w:val="20"/>
        </w:rPr>
        <w:t>Authors:</w:t>
      </w:r>
      <w:bookmarkStart w:id="3" w:name="_Hlk88307597"/>
      <w:r w:rsidRPr="009A34D9">
        <w:rPr>
          <w:rFonts w:ascii="Arial" w:eastAsia="맑은 고딕" w:hAnsi="Arial" w:cs="Arial"/>
          <w:szCs w:val="20"/>
        </w:rPr>
        <w:t xml:space="preserve"> Jihye Lim</w:t>
      </w:r>
      <w:r w:rsidRPr="009A34D9">
        <w:rPr>
          <w:rFonts w:ascii="Arial" w:hAnsi="Arial" w:cs="Arial"/>
          <w:szCs w:val="20"/>
          <w:vertAlign w:val="superscript"/>
        </w:rPr>
        <w:t>1</w:t>
      </w:r>
      <w:r w:rsidRPr="009A34D9">
        <w:rPr>
          <w:rFonts w:ascii="Arial" w:hAnsi="Arial" w:cs="Arial"/>
          <w:szCs w:val="20"/>
        </w:rPr>
        <w:t>, Hyeon-Gi Jeon</w:t>
      </w:r>
      <w:r w:rsidRPr="009A34D9">
        <w:rPr>
          <w:rFonts w:ascii="Arial" w:hAnsi="Arial" w:cs="Arial"/>
          <w:szCs w:val="20"/>
          <w:vertAlign w:val="superscript"/>
        </w:rPr>
        <w:t>2</w:t>
      </w:r>
      <w:r w:rsidRPr="009A34D9">
        <w:rPr>
          <w:rFonts w:ascii="Arial" w:hAnsi="Arial" w:cs="Arial"/>
          <w:szCs w:val="20"/>
        </w:rPr>
        <w:t>, Yeonjoo Seo</w:t>
      </w:r>
      <w:r w:rsidRPr="009A34D9">
        <w:rPr>
          <w:rFonts w:ascii="Arial" w:hAnsi="Arial" w:cs="Arial"/>
          <w:szCs w:val="20"/>
          <w:vertAlign w:val="superscript"/>
        </w:rPr>
        <w:t>1</w:t>
      </w:r>
      <w:r w:rsidRPr="009A34D9">
        <w:rPr>
          <w:rFonts w:ascii="Arial" w:hAnsi="Arial" w:cs="Arial"/>
          <w:szCs w:val="20"/>
        </w:rPr>
        <w:t>, Moonjin Kim</w:t>
      </w:r>
      <w:r w:rsidRPr="009A34D9">
        <w:rPr>
          <w:rFonts w:ascii="Arial" w:hAnsi="Arial" w:cs="Arial"/>
          <w:szCs w:val="20"/>
          <w:vertAlign w:val="superscript"/>
        </w:rPr>
        <w:t>3</w:t>
      </w:r>
      <w:r w:rsidRPr="009A34D9">
        <w:rPr>
          <w:rFonts w:ascii="Arial" w:hAnsi="Arial" w:cs="Arial"/>
          <w:szCs w:val="20"/>
        </w:rPr>
        <w:t>, Ja Un Moon</w:t>
      </w:r>
      <w:r w:rsidRPr="009A34D9">
        <w:rPr>
          <w:rFonts w:ascii="Arial" w:hAnsi="Arial" w:cs="Arial"/>
          <w:szCs w:val="20"/>
          <w:vertAlign w:val="superscript"/>
        </w:rPr>
        <w:t>4</w:t>
      </w:r>
      <w:r w:rsidRPr="009A34D9">
        <w:rPr>
          <w:rFonts w:ascii="Arial" w:hAnsi="Arial" w:cs="Arial"/>
          <w:szCs w:val="20"/>
        </w:rPr>
        <w:t xml:space="preserve">, and </w:t>
      </w:r>
      <w:bookmarkStart w:id="4" w:name="_Hlk123289141"/>
      <w:r w:rsidRPr="009A34D9">
        <w:rPr>
          <w:rFonts w:ascii="Arial" w:hAnsi="Arial" w:cs="Arial"/>
          <w:szCs w:val="20"/>
        </w:rPr>
        <w:t>Se Hyun Cho</w:t>
      </w:r>
      <w:bookmarkEnd w:id="4"/>
      <w:r w:rsidRPr="009A34D9">
        <w:rPr>
          <w:rFonts w:ascii="Arial" w:hAnsi="Arial" w:cs="Arial"/>
          <w:szCs w:val="20"/>
          <w:vertAlign w:val="superscript"/>
        </w:rPr>
        <w:t>1</w:t>
      </w:r>
    </w:p>
    <w:bookmarkEnd w:id="0"/>
    <w:bookmarkEnd w:id="2"/>
    <w:bookmarkEnd w:id="3"/>
    <w:p w14:paraId="5E20B1F4" w14:textId="77777777" w:rsidR="00AA273F" w:rsidRPr="009A34D9" w:rsidRDefault="00AA273F" w:rsidP="00AA273F">
      <w:pPr>
        <w:wordWrap/>
        <w:snapToGrid w:val="0"/>
        <w:spacing w:line="480" w:lineRule="auto"/>
        <w:contextualSpacing/>
        <w:rPr>
          <w:rFonts w:ascii="Arial" w:hAnsi="Arial" w:cs="Arial"/>
          <w:szCs w:val="20"/>
        </w:rPr>
      </w:pPr>
    </w:p>
    <w:p w14:paraId="2757D1DB" w14:textId="77777777" w:rsidR="00AA273F" w:rsidRPr="009A34D9" w:rsidRDefault="00AA273F" w:rsidP="00AA273F">
      <w:pPr>
        <w:wordWrap/>
        <w:snapToGrid w:val="0"/>
        <w:spacing w:line="480" w:lineRule="auto"/>
        <w:contextualSpacing/>
        <w:rPr>
          <w:rFonts w:ascii="Arial" w:hAnsi="Arial" w:cs="Arial"/>
          <w:b/>
          <w:bCs/>
          <w:szCs w:val="20"/>
        </w:rPr>
      </w:pPr>
      <w:r w:rsidRPr="009A34D9">
        <w:rPr>
          <w:rFonts w:ascii="Arial" w:hAnsi="Arial" w:cs="Arial"/>
          <w:b/>
          <w:bCs/>
          <w:szCs w:val="20"/>
        </w:rPr>
        <w:t xml:space="preserve">Table of contents </w:t>
      </w:r>
    </w:p>
    <w:p w14:paraId="6F1A8DD5" w14:textId="77777777" w:rsidR="00AA273F" w:rsidRPr="009A34D9" w:rsidRDefault="00AA273F" w:rsidP="00AA273F">
      <w:pPr>
        <w:pStyle w:val="a3"/>
        <w:numPr>
          <w:ilvl w:val="0"/>
          <w:numId w:val="1"/>
        </w:numPr>
        <w:wordWrap/>
        <w:snapToGrid w:val="0"/>
        <w:spacing w:line="480" w:lineRule="auto"/>
        <w:ind w:leftChars="0"/>
        <w:contextualSpacing/>
        <w:rPr>
          <w:rFonts w:ascii="Arial" w:hAnsi="Arial" w:cs="Arial"/>
          <w:szCs w:val="20"/>
        </w:rPr>
      </w:pPr>
      <w:r w:rsidRPr="009A34D9">
        <w:rPr>
          <w:rFonts w:ascii="Arial" w:hAnsi="Arial" w:cs="Arial"/>
          <w:szCs w:val="20"/>
        </w:rPr>
        <w:t>Supplementary Figure 1. Survival probability of hepatocellular carcinoma (HCC) patients with extrahepatic metastasis.</w:t>
      </w:r>
    </w:p>
    <w:p w14:paraId="68C004F6" w14:textId="77777777" w:rsidR="00AA273F" w:rsidRPr="009A34D9" w:rsidRDefault="00AA273F" w:rsidP="00AA273F">
      <w:pPr>
        <w:pStyle w:val="a3"/>
        <w:numPr>
          <w:ilvl w:val="0"/>
          <w:numId w:val="1"/>
        </w:numPr>
        <w:wordWrap/>
        <w:snapToGrid w:val="0"/>
        <w:spacing w:line="480" w:lineRule="auto"/>
        <w:ind w:leftChars="0"/>
        <w:contextualSpacing/>
        <w:rPr>
          <w:rFonts w:ascii="Arial" w:hAnsi="Arial" w:cs="Arial"/>
          <w:szCs w:val="20"/>
        </w:rPr>
      </w:pPr>
      <w:r w:rsidRPr="009A34D9">
        <w:rPr>
          <w:rFonts w:ascii="Arial" w:hAnsi="Arial" w:cs="Arial"/>
          <w:szCs w:val="20"/>
        </w:rPr>
        <w:t>Supplementary Figure 2. Decision trees for (A) 3-, (B) 6-, and (C) 12- months survival prediction model.</w:t>
      </w:r>
    </w:p>
    <w:p w14:paraId="298B3074" w14:textId="77777777" w:rsidR="00AA273F" w:rsidRPr="009A34D9" w:rsidRDefault="00AA273F" w:rsidP="00AA273F">
      <w:pPr>
        <w:wordWrap/>
        <w:snapToGrid w:val="0"/>
        <w:spacing w:line="480" w:lineRule="auto"/>
        <w:contextualSpacing/>
        <w:rPr>
          <w:rFonts w:ascii="Arial" w:hAnsi="Arial" w:cs="Arial"/>
          <w:szCs w:val="20"/>
        </w:rPr>
      </w:pPr>
      <w:r w:rsidRPr="009A34D9">
        <w:rPr>
          <w:rFonts w:ascii="Arial" w:hAnsi="Arial" w:cs="Arial"/>
          <w:szCs w:val="20"/>
        </w:rPr>
        <w:br w:type="page"/>
      </w:r>
    </w:p>
    <w:p w14:paraId="5BCE98DF" w14:textId="77777777" w:rsidR="00AA273F" w:rsidRPr="009A34D9" w:rsidRDefault="00AA273F" w:rsidP="00AA273F">
      <w:pPr>
        <w:wordWrap/>
        <w:snapToGrid w:val="0"/>
        <w:spacing w:line="480" w:lineRule="auto"/>
        <w:contextualSpacing/>
        <w:rPr>
          <w:rFonts w:ascii="Arial" w:hAnsi="Arial" w:cs="Arial"/>
          <w:szCs w:val="20"/>
        </w:rPr>
      </w:pPr>
      <w:r w:rsidRPr="009A34D9">
        <w:rPr>
          <w:rFonts w:ascii="Arial" w:hAnsi="Arial" w:cs="Arial"/>
          <w:b/>
          <w:bCs/>
          <w:szCs w:val="20"/>
        </w:rPr>
        <w:lastRenderedPageBreak/>
        <w:t xml:space="preserve">Supplementary </w:t>
      </w:r>
      <w:r w:rsidRPr="009A34D9">
        <w:rPr>
          <w:rFonts w:ascii="Arial" w:hAnsi="Arial" w:cs="Arial"/>
          <w:b/>
          <w:bCs/>
          <w:color w:val="000000" w:themeColor="text1"/>
          <w:szCs w:val="20"/>
        </w:rPr>
        <w:t>Figure 1.</w:t>
      </w:r>
      <w:r w:rsidRPr="009A34D9">
        <w:rPr>
          <w:rFonts w:ascii="Arial" w:hAnsi="Arial" w:cs="Arial"/>
          <w:color w:val="000000" w:themeColor="text1"/>
          <w:szCs w:val="20"/>
        </w:rPr>
        <w:t xml:space="preserve"> </w:t>
      </w:r>
      <w:r w:rsidRPr="009A34D9">
        <w:rPr>
          <w:rFonts w:ascii="Arial" w:hAnsi="Arial" w:cs="Arial"/>
          <w:szCs w:val="20"/>
        </w:rPr>
        <w:t>Survival probability of hepatocellular carcinoma (HCC) patients with extrahepatic metastasis.</w:t>
      </w:r>
    </w:p>
    <w:p w14:paraId="1FCB8ED6" w14:textId="77777777" w:rsidR="00AA273F" w:rsidRPr="009A34D9" w:rsidRDefault="00AA273F" w:rsidP="00AA273F">
      <w:pPr>
        <w:wordWrap/>
        <w:snapToGrid w:val="0"/>
        <w:spacing w:line="480" w:lineRule="auto"/>
        <w:contextualSpacing/>
        <w:rPr>
          <w:rFonts w:ascii="Arial" w:hAnsi="Arial" w:cs="Arial"/>
          <w:szCs w:val="20"/>
        </w:rPr>
      </w:pPr>
      <w:r w:rsidRPr="009A34D9">
        <w:rPr>
          <w:rFonts w:ascii="Arial" w:hAnsi="Arial" w:cs="Arial"/>
          <w:szCs w:val="20"/>
        </w:rPr>
        <w:t>(A) Child-Pugh class, (B) number of tumors, (C) size of tumor, (D) vascular or bile duct invasion, (E) metastatic site, and (F) primary anti-HCC treatment</w:t>
      </w:r>
    </w:p>
    <w:p w14:paraId="526FCBCC" w14:textId="77777777" w:rsidR="00AA273F" w:rsidRPr="009A34D9" w:rsidRDefault="00AA273F" w:rsidP="00AA273F">
      <w:pPr>
        <w:wordWrap/>
        <w:snapToGrid w:val="0"/>
        <w:spacing w:line="480" w:lineRule="auto"/>
        <w:contextualSpacing/>
        <w:rPr>
          <w:rFonts w:ascii="Arial" w:hAnsi="Arial" w:cs="Arial"/>
          <w:szCs w:val="20"/>
        </w:rPr>
      </w:pPr>
      <w:r w:rsidRPr="009A34D9">
        <w:rPr>
          <w:rFonts w:ascii="Arial" w:hAnsi="Arial" w:cs="Arial"/>
          <w:noProof/>
          <w:szCs w:val="20"/>
        </w:rPr>
        <w:drawing>
          <wp:inline distT="0" distB="0" distL="0" distR="0" wp14:anchorId="58FAAB83" wp14:editId="2392B601">
            <wp:extent cx="5731510" cy="3223895"/>
            <wp:effectExtent l="0" t="0" r="2540" b="0"/>
            <wp:docPr id="1" name="그래픽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A2C86" w14:textId="77777777" w:rsidR="00AA273F" w:rsidRPr="009A34D9" w:rsidRDefault="00AA273F" w:rsidP="00AA273F">
      <w:pPr>
        <w:wordWrap/>
        <w:snapToGrid w:val="0"/>
        <w:spacing w:line="480" w:lineRule="auto"/>
        <w:contextualSpacing/>
        <w:rPr>
          <w:rFonts w:ascii="Arial" w:hAnsi="Arial" w:cs="Arial"/>
          <w:szCs w:val="20"/>
        </w:rPr>
      </w:pPr>
      <w:r w:rsidRPr="009A34D9">
        <w:rPr>
          <w:rFonts w:ascii="Arial" w:hAnsi="Arial" w:cs="Arial"/>
          <w:noProof/>
          <w:szCs w:val="20"/>
        </w:rPr>
        <w:drawing>
          <wp:inline distT="0" distB="0" distL="0" distR="0" wp14:anchorId="4E5D100A" wp14:editId="633D3B01">
            <wp:extent cx="5731510" cy="3223895"/>
            <wp:effectExtent l="0" t="0" r="2540" b="0"/>
            <wp:docPr id="2" name="그래픽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ADB3C" w14:textId="77777777" w:rsidR="00AA273F" w:rsidRPr="009A34D9" w:rsidRDefault="00AA273F" w:rsidP="00AA273F">
      <w:pPr>
        <w:wordWrap/>
        <w:snapToGrid w:val="0"/>
        <w:spacing w:line="480" w:lineRule="auto"/>
        <w:contextualSpacing/>
        <w:rPr>
          <w:rFonts w:ascii="Arial" w:hAnsi="Arial" w:cs="Arial"/>
          <w:szCs w:val="20"/>
        </w:rPr>
      </w:pPr>
      <w:r w:rsidRPr="009A34D9">
        <w:rPr>
          <w:rFonts w:ascii="Arial" w:hAnsi="Arial" w:cs="Arial"/>
          <w:noProof/>
          <w:szCs w:val="20"/>
        </w:rPr>
        <w:lastRenderedPageBreak/>
        <w:drawing>
          <wp:inline distT="0" distB="0" distL="0" distR="0" wp14:anchorId="3F0D7A5E" wp14:editId="031C3C4C">
            <wp:extent cx="5731510" cy="3223895"/>
            <wp:effectExtent l="0" t="0" r="2540" b="0"/>
            <wp:docPr id="3" name="그래픽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95C5F" w14:textId="77777777" w:rsidR="00AA273F" w:rsidRPr="009A34D9" w:rsidRDefault="00AA273F" w:rsidP="00AA273F">
      <w:pPr>
        <w:wordWrap/>
        <w:snapToGrid w:val="0"/>
        <w:spacing w:line="480" w:lineRule="auto"/>
        <w:contextualSpacing/>
        <w:rPr>
          <w:rFonts w:ascii="Arial" w:hAnsi="Arial" w:cs="Arial"/>
          <w:szCs w:val="20"/>
        </w:rPr>
      </w:pPr>
      <w:r w:rsidRPr="009A34D9">
        <w:rPr>
          <w:rFonts w:ascii="Arial" w:hAnsi="Arial" w:cs="Arial"/>
          <w:noProof/>
          <w:szCs w:val="20"/>
        </w:rPr>
        <w:drawing>
          <wp:inline distT="0" distB="0" distL="0" distR="0" wp14:anchorId="6D41E269" wp14:editId="1397B5D5">
            <wp:extent cx="5731510" cy="3223895"/>
            <wp:effectExtent l="0" t="0" r="2540" b="0"/>
            <wp:docPr id="4" name="그래픽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97E9B" w14:textId="77777777" w:rsidR="00AA273F" w:rsidRPr="009A34D9" w:rsidRDefault="00AA273F" w:rsidP="00AA273F">
      <w:pPr>
        <w:wordWrap/>
        <w:snapToGrid w:val="0"/>
        <w:spacing w:line="480" w:lineRule="auto"/>
        <w:contextualSpacing/>
        <w:rPr>
          <w:rFonts w:ascii="Arial" w:hAnsi="Arial" w:cs="Arial"/>
          <w:noProof/>
          <w:szCs w:val="20"/>
        </w:rPr>
      </w:pPr>
      <w:r w:rsidRPr="009A34D9">
        <w:rPr>
          <w:rFonts w:ascii="Arial" w:hAnsi="Arial" w:cs="Arial"/>
          <w:noProof/>
          <w:szCs w:val="20"/>
        </w:rPr>
        <w:lastRenderedPageBreak/>
        <w:drawing>
          <wp:inline distT="0" distB="0" distL="0" distR="0" wp14:anchorId="3E277522" wp14:editId="0AC58181">
            <wp:extent cx="5731510" cy="3223895"/>
            <wp:effectExtent l="0" t="0" r="2540" b="0"/>
            <wp:docPr id="5" name="그래픽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34D9">
        <w:rPr>
          <w:rFonts w:ascii="Arial" w:hAnsi="Arial" w:cs="Arial"/>
          <w:noProof/>
          <w:szCs w:val="20"/>
        </w:rPr>
        <w:t xml:space="preserve"> </w:t>
      </w:r>
      <w:r w:rsidRPr="009A34D9">
        <w:rPr>
          <w:rFonts w:ascii="Arial" w:hAnsi="Arial" w:cs="Arial"/>
          <w:noProof/>
          <w:szCs w:val="20"/>
        </w:rPr>
        <w:drawing>
          <wp:inline distT="0" distB="0" distL="0" distR="0" wp14:anchorId="5605F7C5" wp14:editId="3DFF2C77">
            <wp:extent cx="5731510" cy="3223895"/>
            <wp:effectExtent l="0" t="0" r="2540" b="0"/>
            <wp:docPr id="6" name="그래픽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B6351" w14:textId="77777777" w:rsidR="00FE15D6" w:rsidRPr="009A34D9" w:rsidRDefault="00FE15D6" w:rsidP="00FE15D6">
      <w:pPr>
        <w:wordWrap/>
        <w:snapToGrid w:val="0"/>
        <w:spacing w:line="480" w:lineRule="auto"/>
        <w:contextualSpacing/>
        <w:rPr>
          <w:rFonts w:ascii="Arial" w:hAnsi="Arial" w:cs="Arial"/>
          <w:szCs w:val="20"/>
        </w:rPr>
      </w:pPr>
      <w:r w:rsidRPr="009A34D9">
        <w:rPr>
          <w:rFonts w:ascii="Arial" w:hAnsi="Arial" w:cs="Arial"/>
          <w:szCs w:val="20"/>
        </w:rPr>
        <w:t>Abbreviations: LN, lymph node</w:t>
      </w:r>
    </w:p>
    <w:p w14:paraId="76DACED5" w14:textId="77777777" w:rsidR="00AA273F" w:rsidRPr="009A34D9" w:rsidRDefault="00AA273F" w:rsidP="00AA273F">
      <w:pPr>
        <w:wordWrap/>
        <w:snapToGrid w:val="0"/>
        <w:spacing w:line="480" w:lineRule="auto"/>
        <w:contextualSpacing/>
        <w:rPr>
          <w:rFonts w:ascii="Arial" w:hAnsi="Arial" w:cs="Arial"/>
          <w:noProof/>
          <w:szCs w:val="20"/>
        </w:rPr>
      </w:pPr>
      <w:r w:rsidRPr="009A34D9">
        <w:rPr>
          <w:rFonts w:ascii="Arial" w:hAnsi="Arial" w:cs="Arial"/>
          <w:noProof/>
          <w:szCs w:val="20"/>
        </w:rPr>
        <w:br w:type="page"/>
      </w:r>
    </w:p>
    <w:p w14:paraId="433DA901" w14:textId="77777777" w:rsidR="00AA273F" w:rsidRPr="009A34D9" w:rsidRDefault="00AA273F" w:rsidP="00AA273F">
      <w:pPr>
        <w:wordWrap/>
        <w:snapToGrid w:val="0"/>
        <w:spacing w:line="480" w:lineRule="auto"/>
        <w:contextualSpacing/>
        <w:rPr>
          <w:rFonts w:ascii="Arial" w:hAnsi="Arial" w:cs="Arial"/>
          <w:szCs w:val="20"/>
        </w:rPr>
      </w:pPr>
      <w:r w:rsidRPr="009A34D9">
        <w:rPr>
          <w:rFonts w:ascii="Arial" w:hAnsi="Arial" w:cs="Arial"/>
          <w:b/>
          <w:bCs/>
          <w:szCs w:val="20"/>
        </w:rPr>
        <w:lastRenderedPageBreak/>
        <w:t>Supplementary Figure 2.</w:t>
      </w:r>
      <w:r w:rsidRPr="009A34D9">
        <w:rPr>
          <w:rFonts w:ascii="Arial" w:hAnsi="Arial" w:cs="Arial"/>
          <w:szCs w:val="20"/>
        </w:rPr>
        <w:t xml:space="preserve"> Decision trees for (A) 3-, (B) 6-, and (C) 12- months survival prediction model.</w:t>
      </w:r>
    </w:p>
    <w:p w14:paraId="2F896D4C" w14:textId="77777777" w:rsidR="00AA273F" w:rsidRPr="009A34D9" w:rsidRDefault="00AA273F" w:rsidP="00AA273F">
      <w:pPr>
        <w:wordWrap/>
        <w:snapToGrid w:val="0"/>
        <w:spacing w:line="480" w:lineRule="auto"/>
        <w:contextualSpacing/>
        <w:rPr>
          <w:rFonts w:ascii="Arial" w:hAnsi="Arial" w:cs="Arial"/>
          <w:szCs w:val="20"/>
        </w:rPr>
      </w:pPr>
      <w:r w:rsidRPr="009A34D9">
        <w:rPr>
          <w:rFonts w:ascii="Arial" w:hAnsi="Arial" w:cs="Arial"/>
          <w:noProof/>
          <w:szCs w:val="20"/>
        </w:rPr>
        <w:drawing>
          <wp:inline distT="0" distB="0" distL="0" distR="0" wp14:anchorId="01599A4A" wp14:editId="6580C02E">
            <wp:extent cx="5725015" cy="1869667"/>
            <wp:effectExtent l="0" t="0" r="0" b="0"/>
            <wp:docPr id="8" name="그래픽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0"/>
                        </a:ext>
                      </a:extLst>
                    </a:blip>
                    <a:srcRect l="89" t="21391" r="-1" b="20601"/>
                    <a:stretch/>
                  </pic:blipFill>
                  <pic:spPr bwMode="auto">
                    <a:xfrm>
                      <a:off x="0" y="0"/>
                      <a:ext cx="5726402" cy="187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2BF98" w14:textId="77777777" w:rsidR="00AA273F" w:rsidRPr="009A34D9" w:rsidRDefault="00AA273F" w:rsidP="00AA273F">
      <w:pPr>
        <w:wordWrap/>
        <w:snapToGrid w:val="0"/>
        <w:spacing w:line="480" w:lineRule="auto"/>
        <w:contextualSpacing/>
        <w:rPr>
          <w:rFonts w:ascii="Arial" w:hAnsi="Arial" w:cs="Arial"/>
          <w:szCs w:val="20"/>
        </w:rPr>
      </w:pPr>
      <w:r w:rsidRPr="009A34D9">
        <w:rPr>
          <w:rFonts w:ascii="Arial" w:hAnsi="Arial" w:cs="Arial"/>
          <w:noProof/>
          <w:szCs w:val="20"/>
        </w:rPr>
        <w:drawing>
          <wp:inline distT="0" distB="0" distL="0" distR="0" wp14:anchorId="17598081" wp14:editId="5FA380FF">
            <wp:extent cx="5730956" cy="2160844"/>
            <wp:effectExtent l="0" t="0" r="3175" b="0"/>
            <wp:docPr id="9" name="그래픽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2"/>
                        </a:ext>
                      </a:extLst>
                    </a:blip>
                    <a:srcRect t="27095" b="5873"/>
                    <a:stretch/>
                  </pic:blipFill>
                  <pic:spPr bwMode="auto">
                    <a:xfrm>
                      <a:off x="0" y="0"/>
                      <a:ext cx="5731510" cy="2161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D12E5" w14:textId="77777777" w:rsidR="00AA273F" w:rsidRPr="009A34D9" w:rsidRDefault="00AA273F" w:rsidP="00AA273F">
      <w:pPr>
        <w:wordWrap/>
        <w:snapToGrid w:val="0"/>
        <w:spacing w:line="480" w:lineRule="auto"/>
        <w:contextualSpacing/>
        <w:rPr>
          <w:rFonts w:ascii="Arial" w:hAnsi="Arial" w:cs="Arial"/>
          <w:szCs w:val="20"/>
        </w:rPr>
      </w:pPr>
      <w:r w:rsidRPr="009A34D9">
        <w:rPr>
          <w:rFonts w:ascii="Arial" w:hAnsi="Arial" w:cs="Arial"/>
          <w:noProof/>
          <w:szCs w:val="20"/>
        </w:rPr>
        <w:drawing>
          <wp:inline distT="0" distB="0" distL="0" distR="0" wp14:anchorId="1E988FF4" wp14:editId="5DD74AE5">
            <wp:extent cx="5730754" cy="1828800"/>
            <wp:effectExtent l="0" t="0" r="3810" b="0"/>
            <wp:docPr id="10" name="그래픽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4"/>
                        </a:ext>
                      </a:extLst>
                    </a:blip>
                    <a:srcRect t="26620" b="16646"/>
                    <a:stretch/>
                  </pic:blipFill>
                  <pic:spPr bwMode="auto">
                    <a:xfrm>
                      <a:off x="0" y="0"/>
                      <a:ext cx="5731510" cy="1829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8A648" w14:textId="77777777" w:rsidR="00A04167" w:rsidRPr="009A34D9" w:rsidRDefault="00A04167">
      <w:pPr>
        <w:rPr>
          <w:rFonts w:ascii="Arial" w:hAnsi="Arial" w:cs="Arial"/>
          <w:szCs w:val="20"/>
        </w:rPr>
      </w:pPr>
    </w:p>
    <w:sectPr w:rsidR="00A04167" w:rsidRPr="009A34D9" w:rsidSect="003C072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80758A" w14:textId="77777777" w:rsidR="00AF07B3" w:rsidRDefault="00AF07B3" w:rsidP="009A34D9">
      <w:pPr>
        <w:spacing w:after="0" w:line="240" w:lineRule="auto"/>
      </w:pPr>
      <w:r>
        <w:separator/>
      </w:r>
    </w:p>
  </w:endnote>
  <w:endnote w:type="continuationSeparator" w:id="0">
    <w:p w14:paraId="017D8785" w14:textId="77777777" w:rsidR="00AF07B3" w:rsidRDefault="00AF07B3" w:rsidP="009A3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1DFEBD" w14:textId="77777777" w:rsidR="00AF07B3" w:rsidRDefault="00AF07B3" w:rsidP="009A34D9">
      <w:pPr>
        <w:spacing w:after="0" w:line="240" w:lineRule="auto"/>
      </w:pPr>
      <w:r>
        <w:separator/>
      </w:r>
    </w:p>
  </w:footnote>
  <w:footnote w:type="continuationSeparator" w:id="0">
    <w:p w14:paraId="0157533F" w14:textId="77777777" w:rsidR="00AF07B3" w:rsidRDefault="00AF07B3" w:rsidP="009A34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165FCF"/>
    <w:multiLevelType w:val="hybridMultilevel"/>
    <w:tmpl w:val="B45832CC"/>
    <w:lvl w:ilvl="0" w:tplc="795EB044">
      <w:numFmt w:val="bullet"/>
      <w:lvlText w:val="●"/>
      <w:lvlJc w:val="left"/>
      <w:pPr>
        <w:ind w:left="8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73F"/>
    <w:rsid w:val="00074345"/>
    <w:rsid w:val="00972902"/>
    <w:rsid w:val="009A34D9"/>
    <w:rsid w:val="00A04167"/>
    <w:rsid w:val="00AA273F"/>
    <w:rsid w:val="00AF07B3"/>
    <w:rsid w:val="00BF412D"/>
    <w:rsid w:val="00FE1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BEBFAC"/>
  <w15:chartTrackingRefBased/>
  <w15:docId w15:val="{2DCB2D2D-6279-4DAD-B2CD-639A523A9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273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273F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9A34D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9A34D9"/>
  </w:style>
  <w:style w:type="paragraph" w:styleId="a5">
    <w:name w:val="footer"/>
    <w:basedOn w:val="a"/>
    <w:link w:val="Char0"/>
    <w:uiPriority w:val="99"/>
    <w:unhideWhenUsed/>
    <w:rsid w:val="009A34D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9A34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4.png"/><Relationship Id="rId18" Type="http://schemas.openxmlformats.org/officeDocument/2006/relationships/image" Target="media/image12.sv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8.sv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image" Target="media/image4.sv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8.svg"/><Relationship Id="rId22" Type="http://schemas.openxmlformats.org/officeDocument/2006/relationships/image" Target="media/image16.sv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142</Words>
  <Characters>813</Characters>
  <Application>Microsoft Office Word</Application>
  <DocSecurity>0</DocSecurity>
  <Lines>6</Lines>
  <Paragraphs>1</Paragraphs>
  <ScaleCrop>false</ScaleCrop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임지혜</dc:creator>
  <cp:keywords/>
  <dc:description/>
  <cp:lastModifiedBy>cmc</cp:lastModifiedBy>
  <cp:revision>6</cp:revision>
  <dcterms:created xsi:type="dcterms:W3CDTF">2023-05-16T07:21:00Z</dcterms:created>
  <dcterms:modified xsi:type="dcterms:W3CDTF">2023-07-10T09:04:00Z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Fasoo_Trace_ID" pid="5">
    <vt:lpwstr>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</vt:lpwstr>
  </property>
  <property fmtid="{D5CDD505-2E9C-101B-9397-08002B2CF9AE}" name="FDRClass" pid="6">
    <vt:lpwstr>0</vt:lpwstr>
  </property>
  <property fmtid="{D5CDD505-2E9C-101B-9397-08002B2CF9AE}" name="FDRSet" pid="7">
    <vt:lpwstr>manual</vt:lpwstr>
  </property>
</Properties>
</file>